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502E1" w14:textId="77777777" w:rsidR="008536B4" w:rsidRDefault="008536B4">
      <w:pPr>
        <w:pStyle w:val="p1"/>
      </w:pPr>
      <w:r>
        <w:rPr>
          <w:rStyle w:val="s1"/>
        </w:rPr>
        <w:t>Module:</w:t>
      </w:r>
      <w:r>
        <w:rPr>
          <w:rStyle w:val="s2"/>
        </w:rPr>
        <w:t xml:space="preserve"> Introduction to Health and Social Care</w:t>
      </w:r>
    </w:p>
    <w:p w14:paraId="1C5C2EF5" w14:textId="77777777" w:rsidR="008536B4" w:rsidRDefault="008536B4">
      <w:pPr>
        <w:pStyle w:val="p1"/>
      </w:pPr>
      <w:r>
        <w:rPr>
          <w:rStyle w:val="s1"/>
        </w:rPr>
        <w:t>Module Code:</w:t>
      </w:r>
      <w:r>
        <w:rPr>
          <w:rStyle w:val="s2"/>
        </w:rPr>
        <w:t xml:space="preserve"> LCHS4003</w:t>
      </w:r>
    </w:p>
    <w:p w14:paraId="17822FD8" w14:textId="77777777" w:rsidR="008536B4" w:rsidRDefault="008536B4">
      <w:pPr>
        <w:pStyle w:val="p1"/>
      </w:pPr>
      <w:r>
        <w:rPr>
          <w:rStyle w:val="s1"/>
        </w:rPr>
        <w:t>Assignment Title:</w:t>
      </w:r>
      <w:r>
        <w:rPr>
          <w:rStyle w:val="s2"/>
        </w:rPr>
        <w:t xml:space="preserve"> Written Assignment – Case Study of Mrs Mann</w:t>
      </w:r>
    </w:p>
    <w:p w14:paraId="787225D7" w14:textId="03830280" w:rsidR="008536B4" w:rsidRDefault="008536B4">
      <w:pPr>
        <w:pStyle w:val="p1"/>
      </w:pPr>
      <w:r>
        <w:rPr>
          <w:rStyle w:val="s1"/>
        </w:rPr>
        <w:t>Student Name:</w:t>
      </w:r>
      <w:r>
        <w:rPr>
          <w:rStyle w:val="s2"/>
        </w:rPr>
        <w:t xml:space="preserve"> </w:t>
      </w:r>
      <w:r w:rsidR="00037173">
        <w:rPr>
          <w:rStyle w:val="s2"/>
        </w:rPr>
        <w:t xml:space="preserve"> Paola Elena Manolache </w:t>
      </w:r>
    </w:p>
    <w:p w14:paraId="4E22A809" w14:textId="0CAB7840" w:rsidR="008536B4" w:rsidRDefault="008536B4">
      <w:pPr>
        <w:pStyle w:val="p1"/>
      </w:pPr>
      <w:r>
        <w:rPr>
          <w:rStyle w:val="s1"/>
        </w:rPr>
        <w:t>Student ID:</w:t>
      </w:r>
      <w:r>
        <w:rPr>
          <w:rStyle w:val="s2"/>
        </w:rPr>
        <w:t xml:space="preserve"> </w:t>
      </w:r>
      <w:r w:rsidR="004B25C7">
        <w:rPr>
          <w:rStyle w:val="s2"/>
        </w:rPr>
        <w:t>2419638</w:t>
      </w:r>
    </w:p>
    <w:p w14:paraId="22952F92" w14:textId="77777777" w:rsidR="008536B4" w:rsidRDefault="008536B4">
      <w:pPr>
        <w:pStyle w:val="p1"/>
      </w:pPr>
      <w:r>
        <w:rPr>
          <w:rStyle w:val="s1"/>
        </w:rPr>
        <w:t>Lecturer:</w:t>
      </w:r>
      <w:r>
        <w:rPr>
          <w:rStyle w:val="s2"/>
        </w:rPr>
        <w:t xml:space="preserve"> Dr </w:t>
      </w:r>
      <w:proofErr w:type="spellStart"/>
      <w:r>
        <w:rPr>
          <w:rStyle w:val="s2"/>
        </w:rPr>
        <w:t>Raheela</w:t>
      </w:r>
      <w:proofErr w:type="spellEnd"/>
      <w:r>
        <w:rPr>
          <w:rStyle w:val="s2"/>
        </w:rPr>
        <w:t xml:space="preserve"> Sheikh</w:t>
      </w:r>
    </w:p>
    <w:p w14:paraId="504EC6C2" w14:textId="77777777" w:rsidR="008536B4" w:rsidRDefault="008536B4">
      <w:pPr>
        <w:pStyle w:val="p1"/>
      </w:pPr>
      <w:r>
        <w:rPr>
          <w:rStyle w:val="s1"/>
        </w:rPr>
        <w:t>Word Count:</w:t>
      </w:r>
      <w:r>
        <w:rPr>
          <w:rStyle w:val="s2"/>
        </w:rPr>
        <w:t xml:space="preserve"> </w:t>
      </w:r>
      <w:r>
        <w:rPr>
          <w:rStyle w:val="s3"/>
        </w:rPr>
        <w:t>[Remove or fill in after final check]</w:t>
      </w:r>
    </w:p>
    <w:p w14:paraId="792BEEB1" w14:textId="77777777" w:rsidR="008536B4" w:rsidRDefault="008536B4">
      <w:pPr>
        <w:pStyle w:val="p1"/>
        <w:rPr>
          <w:rStyle w:val="s2"/>
        </w:rPr>
      </w:pPr>
      <w:r>
        <w:rPr>
          <w:rStyle w:val="s1"/>
        </w:rPr>
        <w:t>Submission Date:</w:t>
      </w:r>
      <w:r>
        <w:rPr>
          <w:rStyle w:val="s2"/>
        </w:rPr>
        <w:t xml:space="preserve"> 21 November 2025, 10:00 am</w:t>
      </w:r>
    </w:p>
    <w:p w14:paraId="5992178C" w14:textId="77777777" w:rsidR="00B61E2C" w:rsidRDefault="00B61E2C">
      <w:pPr>
        <w:pStyle w:val="p1"/>
        <w:rPr>
          <w:rStyle w:val="s2"/>
        </w:rPr>
      </w:pPr>
    </w:p>
    <w:p w14:paraId="57085020" w14:textId="77777777" w:rsidR="00B61E2C" w:rsidRDefault="00B61E2C">
      <w:pPr>
        <w:pStyle w:val="p1"/>
      </w:pPr>
    </w:p>
    <w:p w14:paraId="04ED4C67" w14:textId="77777777" w:rsidR="00B61E2C" w:rsidRDefault="00B61E2C">
      <w:pPr>
        <w:pStyle w:val="p1"/>
        <w:numPr>
          <w:ilvl w:val="0"/>
          <w:numId w:val="1"/>
        </w:numPr>
      </w:pPr>
      <w:r>
        <w:rPr>
          <w:rStyle w:val="s1"/>
        </w:rPr>
        <w:t>Introduction</w:t>
      </w:r>
      <w:r>
        <w:rPr>
          <w:rStyle w:val="s2"/>
        </w:rPr>
        <w:t xml:space="preserve"> …………………………………………………………………………… 2</w:t>
      </w:r>
    </w:p>
    <w:p w14:paraId="1E98BC20" w14:textId="77777777" w:rsidR="00B61E2C" w:rsidRDefault="00B61E2C">
      <w:pPr>
        <w:pStyle w:val="p1"/>
        <w:numPr>
          <w:ilvl w:val="0"/>
          <w:numId w:val="1"/>
        </w:numPr>
      </w:pPr>
      <w:r>
        <w:rPr>
          <w:rStyle w:val="s1"/>
        </w:rPr>
        <w:t>Effective Communication in Mrs Mann’s Care</w:t>
      </w:r>
      <w:r>
        <w:rPr>
          <w:rStyle w:val="s2"/>
        </w:rPr>
        <w:t xml:space="preserve"> …………………. 3</w:t>
      </w:r>
    </w:p>
    <w:p w14:paraId="6475CDA5" w14:textId="77777777" w:rsidR="00B61E2C" w:rsidRDefault="00B61E2C">
      <w:pPr>
        <w:pStyle w:val="p1"/>
        <w:numPr>
          <w:ilvl w:val="0"/>
          <w:numId w:val="1"/>
        </w:numPr>
      </w:pPr>
      <w:r>
        <w:rPr>
          <w:rStyle w:val="s1"/>
        </w:rPr>
        <w:t>Administrative and Record-Keeping Skills</w:t>
      </w:r>
      <w:r>
        <w:rPr>
          <w:rStyle w:val="s2"/>
        </w:rPr>
        <w:t xml:space="preserve"> ………………………….. 5</w:t>
      </w:r>
    </w:p>
    <w:p w14:paraId="165F31B9" w14:textId="77777777" w:rsidR="00B61E2C" w:rsidRDefault="00B61E2C">
      <w:pPr>
        <w:pStyle w:val="p1"/>
        <w:numPr>
          <w:ilvl w:val="0"/>
          <w:numId w:val="1"/>
        </w:numPr>
      </w:pPr>
      <w:r>
        <w:rPr>
          <w:rStyle w:val="s1"/>
        </w:rPr>
        <w:t>Collaborative Working with Other Professionals</w:t>
      </w:r>
      <w:r>
        <w:rPr>
          <w:rStyle w:val="s2"/>
        </w:rPr>
        <w:t xml:space="preserve"> ………………… 7</w:t>
      </w:r>
    </w:p>
    <w:p w14:paraId="5D034692" w14:textId="77777777" w:rsidR="00B61E2C" w:rsidRDefault="00B61E2C">
      <w:pPr>
        <w:pStyle w:val="p1"/>
        <w:numPr>
          <w:ilvl w:val="0"/>
          <w:numId w:val="1"/>
        </w:numPr>
      </w:pPr>
      <w:r>
        <w:rPr>
          <w:rStyle w:val="s1"/>
        </w:rPr>
        <w:t>Conclusion</w:t>
      </w:r>
      <w:r>
        <w:rPr>
          <w:rStyle w:val="s2"/>
        </w:rPr>
        <w:t xml:space="preserve"> ……………………………………………………………………………… 8</w:t>
      </w:r>
    </w:p>
    <w:p w14:paraId="61B72A00" w14:textId="77777777" w:rsidR="00B61E2C" w:rsidRDefault="00B61E2C">
      <w:pPr>
        <w:pStyle w:val="p1"/>
        <w:numPr>
          <w:ilvl w:val="0"/>
          <w:numId w:val="1"/>
        </w:numPr>
      </w:pPr>
      <w:r>
        <w:rPr>
          <w:rStyle w:val="s1"/>
        </w:rPr>
        <w:t>Reference List</w:t>
      </w:r>
      <w:r>
        <w:rPr>
          <w:rStyle w:val="s2"/>
        </w:rPr>
        <w:t xml:space="preserve"> ……………………………………………………………………….. 9</w:t>
      </w:r>
    </w:p>
    <w:p w14:paraId="73619A3D" w14:textId="77777777" w:rsidR="008536B4" w:rsidRDefault="008536B4" w:rsidP="00055EA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D397222" w14:textId="4AB0956F" w:rsidR="00055EAE" w:rsidRPr="00055EAE" w:rsidRDefault="00055EAE" w:rsidP="00055EA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5EAE">
        <w:rPr>
          <w:rFonts w:ascii="Times New Roman" w:eastAsia="Times New Roman" w:hAnsi="Times New Roman" w:cs="Times New Roman"/>
          <w:b/>
          <w:bCs/>
          <w:kern w:val="0"/>
          <w:sz w:val="27"/>
          <w:szCs w:val="27"/>
          <w14:ligatures w14:val="none"/>
        </w:rPr>
        <w:t>Introduction</w:t>
      </w:r>
    </w:p>
    <w:p w14:paraId="6FDC4868"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70D2B79D"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This report will discuss the case of Mrs Mann, a 72-year-old woman who has recently been discharged from hospital after having hip replacement surgery. She lives alone and receives daily care visits to help with personal care and mobility. Mrs Mann’s first language is Urdu, and her limited English can make communication difficult between her and the health care team. The care team includes a physiotherapist, GP, and domiciliary care staff. There have been concerns about inconsistent documentation and poor communication that led to a delay in her medication adjustment.</w:t>
      </w:r>
    </w:p>
    <w:p w14:paraId="5EDAE936"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The purpose of this report is to explore three main aspects that affect her care. First, it will explain the importance of effective communication and how Argyle’s Communication Cycle can be applied. Second, it will discuss good administrative and record-keeping practices with reference to the Data Protection Act 2018. Lastly, it will examine the importance of collaboration among professionals.</w:t>
      </w:r>
    </w:p>
    <w:p w14:paraId="0F319B1B" w14:textId="77777777" w:rsidR="00055EAE" w:rsidRPr="00055EAE" w:rsidRDefault="00055EAE" w:rsidP="00055EAE">
      <w:pPr>
        <w:spacing w:after="0" w:line="240" w:lineRule="auto"/>
        <w:rPr>
          <w:rFonts w:ascii="Times New Roman" w:eastAsia="Times New Roman" w:hAnsi="Times New Roman" w:cs="Times New Roman"/>
          <w:kern w:val="0"/>
          <w14:ligatures w14:val="none"/>
        </w:rPr>
      </w:pPr>
      <w:r w:rsidRPr="00055EAE">
        <w:rPr>
          <w:rFonts w:ascii="Times New Roman" w:eastAsia="Times New Roman" w:hAnsi="Times New Roman" w:cs="Times New Roman"/>
          <w:noProof/>
          <w:kern w:val="0"/>
          <w14:ligatures w14:val="none"/>
        </w:rPr>
        <mc:AlternateContent>
          <mc:Choice Requires="wps">
            <w:drawing>
              <wp:inline distT="0" distB="0" distL="0" distR="0" wp14:anchorId="256C5DFB" wp14:editId="495E2233">
                <wp:extent cx="5731510" cy="1270"/>
                <wp:effectExtent l="0" t="31750" r="0" b="36830"/>
                <wp:docPr id="197908510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21C432"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D181027" w14:textId="77777777" w:rsidR="00055EAE" w:rsidRPr="00055EAE" w:rsidRDefault="00055EAE" w:rsidP="00055EAE">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55EAE">
        <w:rPr>
          <w:rFonts w:ascii="Times New Roman" w:eastAsia="Times New Roman" w:hAnsi="Times New Roman" w:cs="Times New Roman"/>
          <w:b/>
          <w:bCs/>
          <w:kern w:val="0"/>
          <w:sz w:val="27"/>
          <w:szCs w:val="27"/>
          <w14:ligatures w14:val="none"/>
        </w:rPr>
        <w:lastRenderedPageBreak/>
        <w:t>Effective Communication in Mrs Mann’s Care</w:t>
      </w:r>
    </w:p>
    <w:p w14:paraId="1F30B4F6"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2A9B0089"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Effective communication is one of the most important parts of good quality care in health and social care settings. When communication is done well, it helps to build trust between the service user and the care team, ensures the right information is passed on, and improves overall outcomes. In the case of Mrs Mann, communication is especially important because English is not her first language, which can lead to misunderstandings about medication, mobility exercises, or personal care needs.</w:t>
      </w:r>
    </w:p>
    <w:p w14:paraId="17703FF8"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4852C969"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According to the Equality Act 2010, health and social care workers have a duty to make reasonable adjustments to support people who face communication barriers, such as those caused by language or disability (Legislation.gov.uk, 2010). For Mrs Mann, this could mean providing an interpreter, using translation tools, or giving written instructions in Urdu. Her daughter can help with interpretation, but professionals must also make sure that Mrs Mann’s own voice is heard in decisions about her care.</w:t>
      </w:r>
    </w:p>
    <w:p w14:paraId="2B05A374"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125C589C"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Argyle’s Communication Cycle (1972) can help explain how communication happens between care workers and Mrs Mann. The model includes six stages: idea, message coded, message sent, message received, message decoded, and feedback. For example, when a care worker explains a new medication routine, they must first think about how to share the information clearly, use simple language, and then check that Mrs Mann has understood by asking her to repeat it back. This feedback stage is important to make sure the message was understood correctly and helps to avoid mistakes.</w:t>
      </w:r>
    </w:p>
    <w:p w14:paraId="7BC00660"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10C18970"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Barriers to communication can include language differences, cultural misunderstandings, or even hearing problems common in older adults (Thompson, 2018). To overcome these barriers, care workers should use non-verbal communication, such as gestures and pictures, maintain eye contact, and show empathy. Active listening is also key, meaning staff should give their full attention to Mrs Mann when she speaks and respond appropriately.</w:t>
      </w:r>
    </w:p>
    <w:p w14:paraId="6BC24B34"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17CBE89A"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In Mrs Mann’s situation, using clear communication and ensuring cultural sensitivity can make her feel respected and involved in her care. It will also help to prevent further incidents like the missed communication that caused the medication delay. Overall, effective communication guided by Argyle’s model and equality principles helps provide safe, person-centred care that meets Mrs Mann’s individual needs.</w:t>
      </w:r>
    </w:p>
    <w:p w14:paraId="04A72634" w14:textId="77777777" w:rsidR="00055EAE" w:rsidRPr="00055EAE" w:rsidRDefault="00055EAE" w:rsidP="00055EAE">
      <w:pPr>
        <w:spacing w:after="0" w:line="240" w:lineRule="auto"/>
        <w:rPr>
          <w:rFonts w:ascii="Times New Roman" w:eastAsia="Times New Roman" w:hAnsi="Times New Roman" w:cs="Times New Roman"/>
          <w:kern w:val="0"/>
          <w14:ligatures w14:val="none"/>
        </w:rPr>
      </w:pPr>
      <w:r w:rsidRPr="00055EAE">
        <w:rPr>
          <w:rFonts w:ascii="Times New Roman" w:eastAsia="Times New Roman" w:hAnsi="Times New Roman" w:cs="Times New Roman"/>
          <w:noProof/>
          <w:kern w:val="0"/>
          <w14:ligatures w14:val="none"/>
        </w:rPr>
        <mc:AlternateContent>
          <mc:Choice Requires="wps">
            <w:drawing>
              <wp:inline distT="0" distB="0" distL="0" distR="0" wp14:anchorId="3B52EB53" wp14:editId="771A9F19">
                <wp:extent cx="5731510" cy="1270"/>
                <wp:effectExtent l="0" t="31750" r="0" b="36830"/>
                <wp:docPr id="652860116"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560740"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B714C98" w14:textId="77777777" w:rsidR="00055EAE" w:rsidRPr="00055EAE" w:rsidRDefault="00055EAE" w:rsidP="00055EAE">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55EAE">
        <w:rPr>
          <w:rFonts w:ascii="Times New Roman" w:eastAsia="Times New Roman" w:hAnsi="Times New Roman" w:cs="Times New Roman"/>
          <w:b/>
          <w:bCs/>
          <w:kern w:val="0"/>
          <w:sz w:val="27"/>
          <w:szCs w:val="27"/>
          <w14:ligatures w14:val="none"/>
        </w:rPr>
        <w:t>Administrative and Record-Keeping Skills</w:t>
      </w:r>
    </w:p>
    <w:p w14:paraId="6494236E"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2220265A"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Good administrative skills and accurate record-keeping are essential for safe and professional practice in health and social care. Poor documentation can lead to serious problems such as missed medication, delayed treatment, or inconsistent care. In Mrs Mann’s case, there were issues with inconsistent record-keeping, which led to confusion about her medication plan and a delay in adjusting her prescription. This shows how important it is for all professionals to maintain accurate, timely, and clear records.</w:t>
      </w:r>
    </w:p>
    <w:p w14:paraId="466C1A0B"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3C2FFF8C"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The Data Protection Act 2018 and the UK General Data Protection Regulation (GDPR) set out rules for how personal data should be collected, stored, and shared (ICO, 2018). Health care staff must ensure that Mrs Mann’s records are kept confidential and only shared with professionals directly involved in her care. For example, the GP, physiotherapist, and care agency should all have access to up-to-date information about her medication and progress, but her information should not be shared with anyone else without consent.</w:t>
      </w:r>
    </w:p>
    <w:p w14:paraId="186B78C0"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6E041DE3"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 xml:space="preserve">The </w:t>
      </w:r>
      <w:proofErr w:type="spellStart"/>
      <w:r w:rsidRPr="00055EAE">
        <w:rPr>
          <w:rFonts w:ascii="Times New Roman" w:hAnsi="Times New Roman" w:cs="Times New Roman"/>
          <w:kern w:val="0"/>
          <w14:ligatures w14:val="none"/>
        </w:rPr>
        <w:t>Caldicott</w:t>
      </w:r>
      <w:proofErr w:type="spellEnd"/>
      <w:r w:rsidRPr="00055EAE">
        <w:rPr>
          <w:rFonts w:ascii="Times New Roman" w:hAnsi="Times New Roman" w:cs="Times New Roman"/>
          <w:kern w:val="0"/>
          <w14:ligatures w14:val="none"/>
        </w:rPr>
        <w:t xml:space="preserve"> Principles (NHS, 2013) also provide guidance on how patient information should be handled responsibly. One key principle states that patient information should only be shared on a “need-to-know” basis. This means staff should only access or share information that is necessary for their role. For Mrs Mann, this could mean sharing updates between the physiotherapist and care team but not with unrelated parties.</w:t>
      </w:r>
    </w:p>
    <w:p w14:paraId="2EFB79E3"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007FCD04"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Accurate record-keeping also helps with accountability and legal protection for staff. When records are complete and well organised, it shows that care has been delivered correctly and in line with policy. Good administrative practice includes writing daily care notes, updating risk assessments, and recording medication changes. According to the Nursing and Midwifery Council (NMC, 2018), all records must be factual, dated, signed, and written as soon as possible after care is delivered.</w:t>
      </w:r>
    </w:p>
    <w:p w14:paraId="41E8B3DF"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17494C4E"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To improve practice, the care agency could introduce a digital recording system that allows staff to update records in real time. This would reduce errors caused by missing paperwork or late entries. Regular training on data protection and documentation standards would also help ensure consistency and understanding among all staff.</w:t>
      </w:r>
    </w:p>
    <w:p w14:paraId="7201068D"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2C655499"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 xml:space="preserve">In summary, strong administrative and record-keeping skills are vital for ensuring safe care and protecting the privacy and dignity of service users like Mrs Mann. By following the Data Protection Act, GDPR, and </w:t>
      </w:r>
      <w:proofErr w:type="spellStart"/>
      <w:r w:rsidRPr="00055EAE">
        <w:rPr>
          <w:rFonts w:ascii="Times New Roman" w:hAnsi="Times New Roman" w:cs="Times New Roman"/>
          <w:kern w:val="0"/>
          <w14:ligatures w14:val="none"/>
        </w:rPr>
        <w:t>Caldicott</w:t>
      </w:r>
      <w:proofErr w:type="spellEnd"/>
      <w:r w:rsidRPr="00055EAE">
        <w:rPr>
          <w:rFonts w:ascii="Times New Roman" w:hAnsi="Times New Roman" w:cs="Times New Roman"/>
          <w:kern w:val="0"/>
          <w14:ligatures w14:val="none"/>
        </w:rPr>
        <w:t xml:space="preserve"> Principles, care professionals can promote trust, accountability, and high-quality service delivery.</w:t>
      </w:r>
    </w:p>
    <w:p w14:paraId="466B3159" w14:textId="77777777" w:rsidR="00055EAE" w:rsidRPr="00055EAE" w:rsidRDefault="00055EAE" w:rsidP="00055EAE">
      <w:pPr>
        <w:spacing w:after="0" w:line="240" w:lineRule="auto"/>
        <w:rPr>
          <w:rFonts w:ascii="Times New Roman" w:eastAsia="Times New Roman" w:hAnsi="Times New Roman" w:cs="Times New Roman"/>
          <w:kern w:val="0"/>
          <w14:ligatures w14:val="none"/>
        </w:rPr>
      </w:pPr>
      <w:r w:rsidRPr="00055EAE">
        <w:rPr>
          <w:rFonts w:ascii="Times New Roman" w:eastAsia="Times New Roman" w:hAnsi="Times New Roman" w:cs="Times New Roman"/>
          <w:noProof/>
          <w:kern w:val="0"/>
          <w14:ligatures w14:val="none"/>
        </w:rPr>
        <mc:AlternateContent>
          <mc:Choice Requires="wps">
            <w:drawing>
              <wp:inline distT="0" distB="0" distL="0" distR="0" wp14:anchorId="53567B04" wp14:editId="37BA28BD">
                <wp:extent cx="5731510" cy="1270"/>
                <wp:effectExtent l="0" t="31750" r="0" b="36830"/>
                <wp:docPr id="59879160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BB0F98"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950ECEA" w14:textId="77777777" w:rsidR="00055EAE" w:rsidRPr="00055EAE" w:rsidRDefault="00055EAE" w:rsidP="00055EAE">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55EAE">
        <w:rPr>
          <w:rFonts w:ascii="Times New Roman" w:eastAsia="Times New Roman" w:hAnsi="Times New Roman" w:cs="Times New Roman"/>
          <w:b/>
          <w:bCs/>
          <w:kern w:val="0"/>
          <w:sz w:val="27"/>
          <w:szCs w:val="27"/>
          <w14:ligatures w14:val="none"/>
        </w:rPr>
        <w:lastRenderedPageBreak/>
        <w:t>Collaborative Working with Other Professionals</w:t>
      </w:r>
    </w:p>
    <w:p w14:paraId="509D8EB8"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47790E26"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Collaborative working is a key part of effective health and social care practice. It means that different professionals, such as GPs, physiotherapists, and care workers, work together to support a person’s overall wellbeing. In Mrs Mann’s case, her recovery depends on good teamwork between her care staff, physiotherapist, and GP. Each professional has different skills and responsibilities, but they all share the same goal of helping her regain independence and stay safe at home.</w:t>
      </w:r>
    </w:p>
    <w:p w14:paraId="0A209176"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1E79248D"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Effective collaboration improves communication, reduces duplication of work, and prevents mistakes like the missed medication adjustment. According to the Department of Health and Social Care (2022), partnership working ensures that care is person-centred and that decisions are made with the individual’s input. Regular multi-disciplinary meetings can help to review Mrs Mann’s progress and make sure everyone involved understands her care plan.</w:t>
      </w:r>
    </w:p>
    <w:p w14:paraId="287BF00B"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35B4A007"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However, collaboration can also be challenging. Professionals may face issues such as unclear roles, lack of communication, or differences in priorities (</w:t>
      </w:r>
      <w:proofErr w:type="spellStart"/>
      <w:r w:rsidRPr="00055EAE">
        <w:rPr>
          <w:rFonts w:ascii="Times New Roman" w:hAnsi="Times New Roman" w:cs="Times New Roman"/>
          <w:kern w:val="0"/>
          <w14:ligatures w14:val="none"/>
        </w:rPr>
        <w:t>Glasby</w:t>
      </w:r>
      <w:proofErr w:type="spellEnd"/>
      <w:r w:rsidRPr="00055EAE">
        <w:rPr>
          <w:rFonts w:ascii="Times New Roman" w:hAnsi="Times New Roman" w:cs="Times New Roman"/>
          <w:kern w:val="0"/>
          <w14:ligatures w14:val="none"/>
        </w:rPr>
        <w:t xml:space="preserve"> and Dickinson, 2014). To overcome these problems, it is important to promote mutual respect, good communication, and shared goals. Using digital tools such as shared care records or secure messaging platforms can also make information exchange faster and more reliable.</w:t>
      </w:r>
    </w:p>
    <w:p w14:paraId="6D6BF1B3"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612452F7"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Another useful approach is the Integrated Care Model, which focuses on connecting services around the person’s needs rather than working separately. This model would support Mrs Mann by coordinating her physiotherapy, GP care, and home visits under one shared plan. Overall, collaborative practice not only improves safety and efficiency but also enhances Mrs Mann’s recovery experience and quality of life.</w:t>
      </w:r>
    </w:p>
    <w:p w14:paraId="498FBFFF" w14:textId="77777777" w:rsidR="00055EAE" w:rsidRPr="00055EAE" w:rsidRDefault="00055EAE" w:rsidP="00055EAE">
      <w:pPr>
        <w:spacing w:after="0" w:line="240" w:lineRule="auto"/>
        <w:rPr>
          <w:rFonts w:ascii="Times New Roman" w:eastAsia="Times New Roman" w:hAnsi="Times New Roman" w:cs="Times New Roman"/>
          <w:kern w:val="0"/>
          <w14:ligatures w14:val="none"/>
        </w:rPr>
      </w:pPr>
      <w:r w:rsidRPr="00055EAE">
        <w:rPr>
          <w:rFonts w:ascii="Times New Roman" w:eastAsia="Times New Roman" w:hAnsi="Times New Roman" w:cs="Times New Roman"/>
          <w:noProof/>
          <w:kern w:val="0"/>
          <w14:ligatures w14:val="none"/>
        </w:rPr>
        <mc:AlternateContent>
          <mc:Choice Requires="wps">
            <w:drawing>
              <wp:inline distT="0" distB="0" distL="0" distR="0" wp14:anchorId="7BB99DCB" wp14:editId="1AE76B5C">
                <wp:extent cx="5731510" cy="1270"/>
                <wp:effectExtent l="0" t="31750" r="0" b="36830"/>
                <wp:docPr id="203462500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F9598D"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AC5738D" w14:textId="77777777" w:rsidR="00055EAE" w:rsidRPr="00055EAE" w:rsidRDefault="00055EAE" w:rsidP="00055EAE">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55EAE">
        <w:rPr>
          <w:rFonts w:ascii="Times New Roman" w:eastAsia="Times New Roman" w:hAnsi="Times New Roman" w:cs="Times New Roman"/>
          <w:b/>
          <w:bCs/>
          <w:kern w:val="0"/>
          <w:sz w:val="27"/>
          <w:szCs w:val="27"/>
          <w14:ligatures w14:val="none"/>
        </w:rPr>
        <w:t>Conclusion</w:t>
      </w:r>
    </w:p>
    <w:p w14:paraId="73EEC0DC"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2969B38E"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 xml:space="preserve">In conclusion, Mrs Mann’s case shows how communication, record-keeping, and teamwork all play essential roles in delivering safe and person-centred care. Effective communication, based on Argyle’s Communication Cycle and equality principles, helps to overcome language barriers and ensures her needs are clearly understood. Accurate administrative and record-keeping practices, guided by the Data Protection Act 2018 and </w:t>
      </w:r>
      <w:proofErr w:type="spellStart"/>
      <w:r w:rsidRPr="00055EAE">
        <w:rPr>
          <w:rFonts w:ascii="Times New Roman" w:hAnsi="Times New Roman" w:cs="Times New Roman"/>
          <w:kern w:val="0"/>
          <w14:ligatures w14:val="none"/>
        </w:rPr>
        <w:t>Caldicott</w:t>
      </w:r>
      <w:proofErr w:type="spellEnd"/>
      <w:r w:rsidRPr="00055EAE">
        <w:rPr>
          <w:rFonts w:ascii="Times New Roman" w:hAnsi="Times New Roman" w:cs="Times New Roman"/>
          <w:kern w:val="0"/>
          <w14:ligatures w14:val="none"/>
        </w:rPr>
        <w:t xml:space="preserve"> Principles, protect her privacy and ensure information is reliable. Finally, collaborative working between the GP, physiotherapist, and care staff improves coordination and prevents mistakes.</w:t>
      </w:r>
    </w:p>
    <w:p w14:paraId="571A1D2F"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lastRenderedPageBreak/>
        <w:t>By improving these three key areas, health and social care professionals can ensure that Mrs Mann receives consistent, respectful, and high-quality care. This approach also supports the wider goals of the health and social care system—promoting dignity, safety, and equality for all service users.</w:t>
      </w:r>
    </w:p>
    <w:p w14:paraId="1FDE82AC" w14:textId="77777777" w:rsidR="00055EAE" w:rsidRPr="00055EAE" w:rsidRDefault="00055EAE" w:rsidP="00055EAE">
      <w:pPr>
        <w:spacing w:after="0" w:line="240" w:lineRule="auto"/>
        <w:rPr>
          <w:rFonts w:ascii="Times New Roman" w:eastAsia="Times New Roman" w:hAnsi="Times New Roman" w:cs="Times New Roman"/>
          <w:kern w:val="0"/>
          <w14:ligatures w14:val="none"/>
        </w:rPr>
      </w:pPr>
      <w:r w:rsidRPr="00055EAE">
        <w:rPr>
          <w:rFonts w:ascii="Times New Roman" w:eastAsia="Times New Roman" w:hAnsi="Times New Roman" w:cs="Times New Roman"/>
          <w:noProof/>
          <w:kern w:val="0"/>
          <w14:ligatures w14:val="none"/>
        </w:rPr>
        <mc:AlternateContent>
          <mc:Choice Requires="wps">
            <w:drawing>
              <wp:inline distT="0" distB="0" distL="0" distR="0" wp14:anchorId="3B0E7094" wp14:editId="3401B489">
                <wp:extent cx="5731510" cy="1270"/>
                <wp:effectExtent l="0" t="33655" r="0" b="38735"/>
                <wp:docPr id="1468909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C406B8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47B7DB" w14:textId="77777777" w:rsidR="00055EAE" w:rsidRPr="00055EAE" w:rsidRDefault="00055EAE" w:rsidP="00055EAE">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055EAE">
        <w:rPr>
          <w:rFonts w:ascii="Times New Roman" w:eastAsia="Times New Roman" w:hAnsi="Times New Roman" w:cs="Times New Roman"/>
          <w:b/>
          <w:bCs/>
          <w:kern w:val="0"/>
          <w:sz w:val="27"/>
          <w:szCs w:val="27"/>
          <w14:ligatures w14:val="none"/>
        </w:rPr>
        <w:t>Reference List</w:t>
      </w:r>
    </w:p>
    <w:p w14:paraId="78652F50"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
    <w:p w14:paraId="5CD4F956"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Argyle, M. (1972) The Psychology of Interpersonal Behaviour. London: Penguin.</w:t>
      </w:r>
    </w:p>
    <w:p w14:paraId="716E3A05"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 xml:space="preserve">Department of Health and Social Care (2022) Working together to improve health and social care for all. Available at: </w:t>
      </w:r>
      <w:hyperlink r:id="rId5" w:history="1">
        <w:r w:rsidRPr="00055EAE">
          <w:rPr>
            <w:rFonts w:ascii="Times New Roman" w:hAnsi="Times New Roman" w:cs="Times New Roman"/>
            <w:color w:val="0000FF"/>
            <w:kern w:val="0"/>
            <w:u w:val="single"/>
            <w14:ligatures w14:val="none"/>
          </w:rPr>
          <w:t>https://www.gov.uk</w:t>
        </w:r>
      </w:hyperlink>
    </w:p>
    <w:p w14:paraId="2CB4D398"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proofErr w:type="spellStart"/>
      <w:r w:rsidRPr="00055EAE">
        <w:rPr>
          <w:rFonts w:ascii="Times New Roman" w:hAnsi="Times New Roman" w:cs="Times New Roman"/>
          <w:kern w:val="0"/>
          <w14:ligatures w14:val="none"/>
        </w:rPr>
        <w:t>Glasby</w:t>
      </w:r>
      <w:proofErr w:type="spellEnd"/>
      <w:r w:rsidRPr="00055EAE">
        <w:rPr>
          <w:rFonts w:ascii="Times New Roman" w:hAnsi="Times New Roman" w:cs="Times New Roman"/>
          <w:kern w:val="0"/>
          <w14:ligatures w14:val="none"/>
        </w:rPr>
        <w:t>, J. and Dickinson, H. (2014) Partnership Working in Health and Social Care: What Is Integrated Care and How Can We Deliver It? 2nd ed. Bristol: Policy Press.</w:t>
      </w:r>
    </w:p>
    <w:p w14:paraId="302638C6"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 xml:space="preserve">Information Commissioner’s Office (ICO) (2018) Guide to the General Data Protection Regulation (GDPR). Available at: </w:t>
      </w:r>
      <w:hyperlink r:id="rId6" w:history="1">
        <w:r w:rsidRPr="00055EAE">
          <w:rPr>
            <w:rFonts w:ascii="Times New Roman" w:hAnsi="Times New Roman" w:cs="Times New Roman"/>
            <w:color w:val="0000FF"/>
            <w:kern w:val="0"/>
            <w:u w:val="single"/>
            <w14:ligatures w14:val="none"/>
          </w:rPr>
          <w:t>https://ico.org.uk</w:t>
        </w:r>
      </w:hyperlink>
    </w:p>
    <w:p w14:paraId="455CD381"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 xml:space="preserve">Legislation.gov.uk (2010) Equality Act 2010. Available at: </w:t>
      </w:r>
      <w:hyperlink r:id="rId7" w:history="1">
        <w:r w:rsidRPr="00055EAE">
          <w:rPr>
            <w:rFonts w:ascii="Times New Roman" w:hAnsi="Times New Roman" w:cs="Times New Roman"/>
            <w:color w:val="0000FF"/>
            <w:kern w:val="0"/>
            <w:u w:val="single"/>
            <w14:ligatures w14:val="none"/>
          </w:rPr>
          <w:t>https://www.legislation.gov.uk</w:t>
        </w:r>
      </w:hyperlink>
    </w:p>
    <w:p w14:paraId="152AD1F5"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 xml:space="preserve">NHS (2013) The </w:t>
      </w:r>
      <w:proofErr w:type="spellStart"/>
      <w:r w:rsidRPr="00055EAE">
        <w:rPr>
          <w:rFonts w:ascii="Times New Roman" w:hAnsi="Times New Roman" w:cs="Times New Roman"/>
          <w:kern w:val="0"/>
          <w14:ligatures w14:val="none"/>
        </w:rPr>
        <w:t>Caldicott</w:t>
      </w:r>
      <w:proofErr w:type="spellEnd"/>
      <w:r w:rsidRPr="00055EAE">
        <w:rPr>
          <w:rFonts w:ascii="Times New Roman" w:hAnsi="Times New Roman" w:cs="Times New Roman"/>
          <w:kern w:val="0"/>
          <w14:ligatures w14:val="none"/>
        </w:rPr>
        <w:t xml:space="preserve"> Principles. Available at: </w:t>
      </w:r>
      <w:hyperlink r:id="rId8" w:history="1">
        <w:r w:rsidRPr="00055EAE">
          <w:rPr>
            <w:rFonts w:ascii="Times New Roman" w:hAnsi="Times New Roman" w:cs="Times New Roman"/>
            <w:color w:val="0000FF"/>
            <w:kern w:val="0"/>
            <w:u w:val="single"/>
            <w14:ligatures w14:val="none"/>
          </w:rPr>
          <w:t>https://www.gov.uk/government/publications</w:t>
        </w:r>
      </w:hyperlink>
    </w:p>
    <w:p w14:paraId="26C57288"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Nursing and Midwifery Council (2018) The Code: Professional Standards of Practice and Behaviour for Nurses and Midwives. London: NMC.</w:t>
      </w:r>
    </w:p>
    <w:p w14:paraId="7FC78CAA" w14:textId="77777777" w:rsidR="00055EAE" w:rsidRPr="00055EAE" w:rsidRDefault="00055EAE" w:rsidP="00055EAE">
      <w:pPr>
        <w:spacing w:before="100" w:beforeAutospacing="1" w:after="100" w:afterAutospacing="1" w:line="240" w:lineRule="auto"/>
        <w:rPr>
          <w:rFonts w:ascii="Times New Roman" w:hAnsi="Times New Roman" w:cs="Times New Roman"/>
          <w:kern w:val="0"/>
          <w14:ligatures w14:val="none"/>
        </w:rPr>
      </w:pPr>
      <w:r w:rsidRPr="00055EAE">
        <w:rPr>
          <w:rFonts w:ascii="Times New Roman" w:hAnsi="Times New Roman" w:cs="Times New Roman"/>
          <w:kern w:val="0"/>
          <w14:ligatures w14:val="none"/>
        </w:rPr>
        <w:t xml:space="preserve">Thompson, N. (2018) Effective Communication: A Guide for Health and Social Care. Basingstoke: </w:t>
      </w:r>
      <w:proofErr w:type="spellStart"/>
      <w:r w:rsidRPr="00055EAE">
        <w:rPr>
          <w:rFonts w:ascii="Times New Roman" w:hAnsi="Times New Roman" w:cs="Times New Roman"/>
          <w:kern w:val="0"/>
          <w14:ligatures w14:val="none"/>
        </w:rPr>
        <w:t>Palgrave</w:t>
      </w:r>
      <w:proofErr w:type="spellEnd"/>
      <w:r w:rsidRPr="00055EAE">
        <w:rPr>
          <w:rFonts w:ascii="Times New Roman" w:hAnsi="Times New Roman" w:cs="Times New Roman"/>
          <w:kern w:val="0"/>
          <w14:ligatures w14:val="none"/>
        </w:rPr>
        <w:t xml:space="preserve"> Macmillan.</w:t>
      </w:r>
    </w:p>
    <w:p w14:paraId="75C2CC4E" w14:textId="77777777" w:rsidR="00055EAE" w:rsidRDefault="00055EAE"/>
    <w:sectPr w:rsidR="00055E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143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3314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EAE"/>
    <w:rsid w:val="00037173"/>
    <w:rsid w:val="00055EAE"/>
    <w:rsid w:val="004B25C7"/>
    <w:rsid w:val="008536B4"/>
    <w:rsid w:val="00B61E2C"/>
    <w:rsid w:val="00C905F6"/>
    <w:rsid w:val="00CA314B"/>
    <w:rsid w:val="00ED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8F8CBF"/>
  <w15:chartTrackingRefBased/>
  <w15:docId w15:val="{DE4224CB-023F-264F-AF60-A1CF819F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5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EAE"/>
    <w:rPr>
      <w:rFonts w:eastAsiaTheme="majorEastAsia" w:cstheme="majorBidi"/>
      <w:color w:val="272727" w:themeColor="text1" w:themeTint="D8"/>
    </w:rPr>
  </w:style>
  <w:style w:type="paragraph" w:styleId="Title">
    <w:name w:val="Title"/>
    <w:basedOn w:val="Normal"/>
    <w:next w:val="Normal"/>
    <w:link w:val="TitleChar"/>
    <w:uiPriority w:val="10"/>
    <w:qFormat/>
    <w:rsid w:val="00055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EAE"/>
    <w:pPr>
      <w:spacing w:before="160"/>
      <w:jc w:val="center"/>
    </w:pPr>
    <w:rPr>
      <w:i/>
      <w:iCs/>
      <w:color w:val="404040" w:themeColor="text1" w:themeTint="BF"/>
    </w:rPr>
  </w:style>
  <w:style w:type="character" w:customStyle="1" w:styleId="QuoteChar">
    <w:name w:val="Quote Char"/>
    <w:basedOn w:val="DefaultParagraphFont"/>
    <w:link w:val="Quote"/>
    <w:uiPriority w:val="29"/>
    <w:rsid w:val="00055EAE"/>
    <w:rPr>
      <w:i/>
      <w:iCs/>
      <w:color w:val="404040" w:themeColor="text1" w:themeTint="BF"/>
    </w:rPr>
  </w:style>
  <w:style w:type="paragraph" w:styleId="ListParagraph">
    <w:name w:val="List Paragraph"/>
    <w:basedOn w:val="Normal"/>
    <w:uiPriority w:val="34"/>
    <w:qFormat/>
    <w:rsid w:val="00055EAE"/>
    <w:pPr>
      <w:ind w:left="720"/>
      <w:contextualSpacing/>
    </w:pPr>
  </w:style>
  <w:style w:type="character" w:styleId="IntenseEmphasis">
    <w:name w:val="Intense Emphasis"/>
    <w:basedOn w:val="DefaultParagraphFont"/>
    <w:uiPriority w:val="21"/>
    <w:qFormat/>
    <w:rsid w:val="00055EAE"/>
    <w:rPr>
      <w:i/>
      <w:iCs/>
      <w:color w:val="0F4761" w:themeColor="accent1" w:themeShade="BF"/>
    </w:rPr>
  </w:style>
  <w:style w:type="paragraph" w:styleId="IntenseQuote">
    <w:name w:val="Intense Quote"/>
    <w:basedOn w:val="Normal"/>
    <w:next w:val="Normal"/>
    <w:link w:val="IntenseQuoteChar"/>
    <w:uiPriority w:val="30"/>
    <w:qFormat/>
    <w:rsid w:val="00055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EAE"/>
    <w:rPr>
      <w:i/>
      <w:iCs/>
      <w:color w:val="0F4761" w:themeColor="accent1" w:themeShade="BF"/>
    </w:rPr>
  </w:style>
  <w:style w:type="character" w:styleId="IntenseReference">
    <w:name w:val="Intense Reference"/>
    <w:basedOn w:val="DefaultParagraphFont"/>
    <w:uiPriority w:val="32"/>
    <w:qFormat/>
    <w:rsid w:val="00055EAE"/>
    <w:rPr>
      <w:b/>
      <w:bCs/>
      <w:smallCaps/>
      <w:color w:val="0F4761" w:themeColor="accent1" w:themeShade="BF"/>
      <w:spacing w:val="5"/>
    </w:rPr>
  </w:style>
  <w:style w:type="character" w:customStyle="1" w:styleId="s1">
    <w:name w:val="s1"/>
    <w:basedOn w:val="DefaultParagraphFont"/>
    <w:rsid w:val="00055EAE"/>
  </w:style>
  <w:style w:type="paragraph" w:customStyle="1" w:styleId="p2">
    <w:name w:val="p2"/>
    <w:basedOn w:val="Normal"/>
    <w:rsid w:val="00055EA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55EAE"/>
  </w:style>
  <w:style w:type="paragraph" w:customStyle="1" w:styleId="p3">
    <w:name w:val="p3"/>
    <w:basedOn w:val="Normal"/>
    <w:rsid w:val="00055EAE"/>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055EAE"/>
  </w:style>
  <w:style w:type="character" w:styleId="Hyperlink">
    <w:name w:val="Hyperlink"/>
    <w:basedOn w:val="DefaultParagraphFont"/>
    <w:uiPriority w:val="99"/>
    <w:semiHidden/>
    <w:unhideWhenUsed/>
    <w:rsid w:val="00055EAE"/>
    <w:rPr>
      <w:color w:val="0000FF"/>
      <w:u w:val="single"/>
    </w:rPr>
  </w:style>
  <w:style w:type="paragraph" w:customStyle="1" w:styleId="p1">
    <w:name w:val="p1"/>
    <w:basedOn w:val="Normal"/>
    <w:rsid w:val="008536B4"/>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 TargetMode="External"/><Relationship Id="rId3" Type="http://schemas.openxmlformats.org/officeDocument/2006/relationships/settings" Target="settings.xml"/><Relationship Id="rId7" Type="http://schemas.openxmlformats.org/officeDocument/2006/relationships/hyperlink" Target="https://www.legislation.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o.org.uk" TargetMode="External"/><Relationship Id="rId5" Type="http://schemas.openxmlformats.org/officeDocument/2006/relationships/hyperlink" Target="https://www.gov.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1586</Words>
  <Characters>9046</Characters>
  <Application>Microsoft Office Word</Application>
  <DocSecurity>0</DocSecurity>
  <Lines>75</Lines>
  <Paragraphs>21</Paragraphs>
  <ScaleCrop>false</ScaleCrop>
  <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Jasmine-Vanessa Cretu</dc:creator>
  <cp:keywords/>
  <dc:description/>
  <cp:lastModifiedBy>Elena Manolache</cp:lastModifiedBy>
  <cp:revision>4</cp:revision>
  <dcterms:created xsi:type="dcterms:W3CDTF">2025-10-11T15:38:00Z</dcterms:created>
  <dcterms:modified xsi:type="dcterms:W3CDTF">2025-10-13T17:40:00Z</dcterms:modified>
</cp:coreProperties>
</file>