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color w:val="0F4761" w:themeColor="accent1" w:themeShade="BF"/>
          <w:sz w:val="40"/>
          <w:szCs w:val="40"/>
        </w:rPr>
        <w:id w:val="1095130675"/>
        <w:docPartObj>
          <w:docPartGallery w:val="Cover Pages"/>
          <w:docPartUnique/>
        </w:docPartObj>
      </w:sdtPr>
      <w:sdtEndPr/>
      <w:sdtContent>
        <w:p w14:paraId="7FEF0DED" w14:textId="77777777" w:rsidR="00A94CDF" w:rsidRDefault="00A94CDF">
          <w:r>
            <w:rPr>
              <w:noProof/>
              <w:lang w:eastAsia="zh-CN"/>
            </w:rPr>
            <mc:AlternateContent>
              <mc:Choice Requires="wps">
                <w:drawing>
                  <wp:anchor distT="0" distB="0" distL="114300" distR="114300" simplePos="0" relativeHeight="251660288" behindDoc="0" locked="0" layoutInCell="1" allowOverlap="1" wp14:anchorId="5BE08D39" wp14:editId="5096BDFD">
                    <wp:simplePos x="0" y="0"/>
                    <wp:positionH relativeFrom="margin">
                      <wp:posOffset>4686300</wp:posOffset>
                    </wp:positionH>
                    <wp:positionV relativeFrom="page">
                      <wp:posOffset>241300</wp:posOffset>
                    </wp:positionV>
                    <wp:extent cx="1044575" cy="987552"/>
                    <wp:effectExtent l="0" t="0" r="0" b="6350"/>
                    <wp:wrapNone/>
                    <wp:docPr id="130" name="Rectangl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575"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730153" w14:textId="297AFA8F" w:rsidR="00A94CDF" w:rsidRPr="00A94CDF" w:rsidRDefault="003463EE">
                                <w:pPr>
                                  <w:pStyle w:val="NoSpacing"/>
                                  <w:jc w:val="right"/>
                                  <w:rPr>
                                    <w:color w:val="FFFFFF" w:themeColor="background1"/>
                                    <w:sz w:val="24"/>
                                    <w:szCs w:val="24"/>
                                    <w:lang w:val="en-GB"/>
                                  </w:rPr>
                                </w:pPr>
                                <w:r>
                                  <w:rPr>
                                    <w:color w:val="FFFFFF" w:themeColor="background1"/>
                                    <w:sz w:val="24"/>
                                    <w:szCs w:val="24"/>
                                    <w:lang w:val="en-GB"/>
                                  </w:rPr>
                                  <w:t>13/01/2026</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5BE08D39" id="Rectangle 73" o:spid="_x0000_s1026" style="position:absolute;margin-left:369pt;margin-top:19pt;width:82.25pt;height:77.7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" fillcolor="#156082 [3204]" stroked="f" strokeweight="1pt">
                    <o:lock v:ext="edit" aspectratio="t"/>
                    <v:textbox inset="3.6pt,,3.6pt">
                      <w:txbxContent>
                        <w:p w14:paraId="40730153" w14:textId="297AFA8F" w:rsidR="00A94CDF" w:rsidRPr="00A94CDF" w:rsidRDefault="003463EE">
                          <w:pPr>
                            <w:pStyle w:val="NoSpacing"/>
                            <w:jc w:val="right"/>
                            <w:rPr>
                              <w:color w:val="FFFFFF" w:themeColor="background1"/>
                              <w:sz w:val="24"/>
                              <w:szCs w:val="24"/>
                              <w:lang w:val="en-GB"/>
                            </w:rPr>
                          </w:pPr>
                          <w:r>
                            <w:rPr>
                              <w:color w:val="FFFFFF" w:themeColor="background1"/>
                              <w:sz w:val="24"/>
                              <w:szCs w:val="24"/>
                              <w:lang w:val="en-GB"/>
                            </w:rPr>
                            <w:t>13/01/2026</w:t>
                          </w:r>
                        </w:p>
                      </w:txbxContent>
                    </v:textbox>
                    <w10:wrap anchorx="margin" anchory="page"/>
                  </v:rect>
                </w:pict>
              </mc:Fallback>
            </mc:AlternateContent>
          </w:r>
        </w:p>
        <w:p w14:paraId="10F62746" w14:textId="77777777" w:rsidR="00A94CDF" w:rsidRDefault="00A94CDF">
          <w:pPr>
            <w:sectPr w:rsidR="00A94CDF" w:rsidSect="00A94CDF">
              <w:footerReference w:type="even" r:id="rId9"/>
              <w:footerReference w:type="default" r:id="rId10"/>
              <w:pgSz w:w="11906" w:h="16838"/>
              <w:pgMar w:top="1440" w:right="1440" w:bottom="1440" w:left="1440" w:header="708" w:footer="708" w:gutter="0"/>
              <w:pgNumType w:start="0"/>
              <w:cols w:space="708"/>
              <w:titlePg/>
              <w:docGrid w:linePitch="360"/>
            </w:sectPr>
          </w:pPr>
          <w:r>
            <w:rPr>
              <w:noProof/>
              <w:lang w:eastAsia="zh-CN"/>
            </w:rPr>
            <mc:AlternateContent>
              <mc:Choice Requires="wpg">
                <w:drawing>
                  <wp:anchor distT="0" distB="0" distL="114300" distR="114300" simplePos="0" relativeHeight="251659264" behindDoc="1" locked="0" layoutInCell="1" allowOverlap="1" wp14:anchorId="42037D89" wp14:editId="1AF3B67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6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712DAFE" w14:textId="04BFE6E1" w:rsidR="00A94CDF" w:rsidRDefault="00D3188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463EE">
                                        <w:rPr>
                                          <w:color w:val="FFFFFF" w:themeColor="background1"/>
                                          <w:sz w:val="72"/>
                                          <w:szCs w:val="72"/>
                                        </w:rPr>
                                        <w:t>EIA Critique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2037D89" id="Group 67"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712DAFE" w14:textId="04BFE6E1" w:rsidR="00A94CDF" w:rsidRDefault="004A1C2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463EE">
                                  <w:rPr>
                                    <w:color w:val="FFFFFF" w:themeColor="background1"/>
                                    <w:sz w:val="72"/>
                                    <w:szCs w:val="72"/>
                                  </w:rPr>
                                  <w:t>EIA Critique</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2336" behindDoc="0" locked="0" layoutInCell="1" allowOverlap="1" wp14:anchorId="12AB5723" wp14:editId="523A88C5">
                    <wp:simplePos x="0" y="0"/>
                    <wp:positionH relativeFrom="page">
                      <wp:align>center</wp:align>
                    </wp:positionH>
                    <wp:positionV relativeFrom="margin">
                      <wp:align>bottom</wp:align>
                    </wp:positionV>
                    <wp:extent cx="5753100" cy="146304"/>
                    <wp:effectExtent l="0" t="0" r="0" b="5715"/>
                    <wp:wrapSquare wrapText="bothSides"/>
                    <wp:docPr id="128" name="Text Box 6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69AF7D" w14:textId="37872AA3" w:rsidR="00A94CDF" w:rsidRDefault="00D3188A">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A94CDF">
                                      <w:rPr>
                                        <w:caps/>
                                        <w:color w:val="7F7F7F" w:themeColor="text1" w:themeTint="80"/>
                                        <w:sz w:val="18"/>
                                        <w:szCs w:val="18"/>
                                      </w:rPr>
                                      <w:t>University of wales trinity saint david</w:t>
                                    </w:r>
                                  </w:sdtContent>
                                </w:sdt>
                                <w:r w:rsidR="00A94CDF">
                                  <w:rPr>
                                    <w:caps/>
                                    <w:color w:val="7F7F7F" w:themeColor="text1" w:themeTint="80"/>
                                    <w:sz w:val="18"/>
                                    <w:szCs w:val="18"/>
                                  </w:rPr>
                                  <w:t> </w:t>
                                </w:r>
                                <w:r w:rsidR="00A94CDF">
                                  <w:rPr>
                                    <w:color w:val="7F7F7F" w:themeColor="text1" w:themeTint="80"/>
                                    <w:sz w:val="18"/>
                                    <w:szCs w:val="18"/>
                                  </w:rPr>
                                  <w:t>| </w:t>
                                </w:r>
                                <w:r w:rsidR="00B40DDD">
                                  <w:rPr>
                                    <w:color w:val="7F7F7F" w:themeColor="text1" w:themeTint="80"/>
                                    <w:sz w:val="18"/>
                                    <w:szCs w:val="18"/>
                                  </w:rPr>
                                  <w:t>2,169 Words</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2AB5723" id="_x0000_t202" coordsize="21600,21600" o:spt="202" path="m,l,21600r21600,l21600,xe">
                    <v:stroke joinstyle="miter"/>
                    <v:path gradientshapeok="t" o:connecttype="rect"/>
                  </v:shapetype>
                  <v:shape id="Text Box 69"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" filled="f" stroked="f" strokeweight=".5pt">
                    <v:textbox style="mso-fit-shape-to-text:t" inset="1in,0,86.4pt,0">
                      <w:txbxContent>
                        <w:p w14:paraId="1D69AF7D" w14:textId="37872AA3" w:rsidR="00A94CDF" w:rsidRDefault="00D3188A">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A94CDF">
                                <w:rPr>
                                  <w:caps/>
                                  <w:color w:val="7F7F7F" w:themeColor="text1" w:themeTint="80"/>
                                  <w:sz w:val="18"/>
                                  <w:szCs w:val="18"/>
                                </w:rPr>
                                <w:t>University of wales trinity saint david</w:t>
                              </w:r>
                            </w:sdtContent>
                          </w:sdt>
                          <w:r w:rsidR="00A94CDF">
                            <w:rPr>
                              <w:caps/>
                              <w:color w:val="7F7F7F" w:themeColor="text1" w:themeTint="80"/>
                              <w:sz w:val="18"/>
                              <w:szCs w:val="18"/>
                            </w:rPr>
                            <w:t> </w:t>
                          </w:r>
                          <w:r w:rsidR="00A94CDF">
                            <w:rPr>
                              <w:color w:val="7F7F7F" w:themeColor="text1" w:themeTint="80"/>
                              <w:sz w:val="18"/>
                              <w:szCs w:val="18"/>
                            </w:rPr>
                            <w:t>| </w:t>
                          </w:r>
                          <w:r w:rsidR="00B40DDD">
                            <w:rPr>
                              <w:color w:val="7F7F7F" w:themeColor="text1" w:themeTint="80"/>
                              <w:sz w:val="18"/>
                              <w:szCs w:val="18"/>
                            </w:rPr>
                            <w:t>2,169 Words</w:t>
                          </w:r>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1312" behindDoc="0" locked="0" layoutInCell="1" allowOverlap="1" wp14:anchorId="2A9DCA1B" wp14:editId="025F2DC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0"/>
                    <wp:wrapSquare wrapText="bothSides"/>
                    <wp:docPr id="129" name="Text Box 71"/>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EC7D6E3" w14:textId="3C9680FD" w:rsidR="00A94CDF" w:rsidRDefault="003463EE">
                                    <w:pPr>
                                      <w:pStyle w:val="NoSpacing"/>
                                      <w:spacing w:before="40" w:after="40"/>
                                      <w:rPr>
                                        <w:caps/>
                                        <w:color w:val="156082" w:themeColor="accent1"/>
                                        <w:sz w:val="28"/>
                                        <w:szCs w:val="28"/>
                                      </w:rPr>
                                    </w:pPr>
                                    <w:r>
                                      <w:rPr>
                                        <w:caps/>
                                        <w:color w:val="156082" w:themeColor="accent1"/>
                                        <w:sz w:val="28"/>
                                        <w:szCs w:val="28"/>
                                      </w:rPr>
                                      <w:t>Environmental Assessment, management and auditing</w:t>
                                    </w:r>
                                  </w:p>
                                </w:sdtContent>
                              </w:sdt>
                              <w:p w14:paraId="638BA059" w14:textId="1F615C2E" w:rsidR="00A94CDF" w:rsidRDefault="00D3188A">
                                <w:pPr>
                                  <w:pStyle w:val="NoSpacing"/>
                                  <w:spacing w:before="40" w:after="40"/>
                                  <w:rPr>
                                    <w:caps/>
                                    <w:color w:val="A02B93" w:themeColor="accent5"/>
                                    <w:sz w:val="24"/>
                                    <w:szCs w:val="24"/>
                                  </w:rPr>
                                </w:pPr>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3463EE">
                                      <w:rPr>
                                        <w:caps/>
                                        <w:color w:val="A02B93" w:themeColor="accent5"/>
                                        <w:sz w:val="24"/>
                                        <w:szCs w:val="24"/>
                                      </w:rPr>
                                      <w:t>Luca Burgess</w:t>
                                    </w:r>
                                  </w:sdtContent>
                                </w:sdt>
                                <w:r w:rsidR="003463EE">
                                  <w:rPr>
                                    <w:caps/>
                                    <w:color w:val="A02B93" w:themeColor="accent5"/>
                                    <w:sz w:val="24"/>
                                    <w:szCs w:val="24"/>
                                  </w:rPr>
                                  <w:t xml:space="preserve"> (2315074)</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A9DCA1B" id="Text Box 71"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&#13;&#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EC7D6E3" w14:textId="3C9680FD" w:rsidR="00A94CDF" w:rsidRDefault="003463EE">
                              <w:pPr>
                                <w:pStyle w:val="NoSpacing"/>
                                <w:spacing w:before="40" w:after="40"/>
                                <w:rPr>
                                  <w:caps/>
                                  <w:color w:val="156082" w:themeColor="accent1"/>
                                  <w:sz w:val="28"/>
                                  <w:szCs w:val="28"/>
                                </w:rPr>
                              </w:pPr>
                              <w:r>
                                <w:rPr>
                                  <w:caps/>
                                  <w:color w:val="156082" w:themeColor="accent1"/>
                                  <w:sz w:val="28"/>
                                  <w:szCs w:val="28"/>
                                </w:rPr>
                                <w:t>Environmental Assessment, management and auditing</w:t>
                              </w:r>
                            </w:p>
                          </w:sdtContent>
                        </w:sdt>
                        <w:p w14:paraId="638BA059" w14:textId="1F615C2E" w:rsidR="00A94CDF" w:rsidRDefault="004A1C2F">
                          <w:pPr>
                            <w:pStyle w:val="NoSpacing"/>
                            <w:spacing w:before="40" w:after="40"/>
                            <w:rPr>
                              <w:caps/>
                              <w:color w:val="A02B93" w:themeColor="accent5"/>
                              <w:sz w:val="24"/>
                              <w:szCs w:val="24"/>
                            </w:rPr>
                          </w:pPr>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3463EE">
                                <w:rPr>
                                  <w:caps/>
                                  <w:color w:val="A02B93" w:themeColor="accent5"/>
                                  <w:sz w:val="24"/>
                                  <w:szCs w:val="24"/>
                                </w:rPr>
                                <w:t>Luca Burgess</w:t>
                              </w:r>
                            </w:sdtContent>
                          </w:sdt>
                          <w:r w:rsidR="003463EE">
                            <w:rPr>
                              <w:caps/>
                              <w:color w:val="A02B93" w:themeColor="accent5"/>
                              <w:sz w:val="24"/>
                              <w:szCs w:val="24"/>
                            </w:rPr>
                            <w:t xml:space="preserve"> (2315074)</w:t>
                          </w:r>
                        </w:p>
                      </w:txbxContent>
                    </v:textbox>
                    <w10:wrap type="square" anchorx="page" anchory="page"/>
                  </v:shape>
                </w:pict>
              </mc:Fallback>
            </mc:AlternateContent>
          </w:r>
          <w:r>
            <w:br w:type="page"/>
          </w:r>
        </w:p>
        <w:sdt>
          <w:sdtPr>
            <w:rPr>
              <w:rFonts w:asciiTheme="minorHAnsi" w:eastAsiaTheme="minorHAnsi" w:hAnsiTheme="minorHAnsi" w:cstheme="minorBidi"/>
              <w:b w:val="0"/>
              <w:bCs w:val="0"/>
              <w:color w:val="auto"/>
              <w:kern w:val="2"/>
              <w:sz w:val="24"/>
              <w:szCs w:val="24"/>
              <w:lang w:val="en-GB"/>
              <w14:ligatures w14:val="standardContextual"/>
            </w:rPr>
            <w:id w:val="622349636"/>
            <w:docPartObj>
              <w:docPartGallery w:val="Table of Contents"/>
              <w:docPartUnique/>
            </w:docPartObj>
          </w:sdtPr>
          <w:sdtEndPr>
            <w:rPr>
              <w:noProof/>
            </w:rPr>
          </w:sdtEndPr>
          <w:sdtContent>
            <w:p w14:paraId="4E4D6ABE" w14:textId="77777777" w:rsidR="001B0633" w:rsidRDefault="001B0633">
              <w:pPr>
                <w:pStyle w:val="TOCHeading"/>
              </w:pPr>
              <w:r>
                <w:t>Table of Contents</w:t>
              </w:r>
            </w:p>
            <w:p w14:paraId="61508E94" w14:textId="690D2BB7" w:rsidR="00B40DDD" w:rsidRDefault="001B0633">
              <w:pPr>
                <w:pStyle w:val="TOC1"/>
                <w:tabs>
                  <w:tab w:val="left" w:pos="480"/>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9231585" w:history="1">
                <w:r w:rsidR="00B40DDD" w:rsidRPr="00E36FC2">
                  <w:rPr>
                    <w:rStyle w:val="Hyperlink"/>
                    <w:noProof/>
                  </w:rPr>
                  <w:t>1</w:t>
                </w:r>
                <w:r w:rsidR="00B40DDD">
                  <w:rPr>
                    <w:rFonts w:eastAsiaTheme="minorEastAsia"/>
                    <w:b w:val="0"/>
                    <w:bCs w:val="0"/>
                    <w:i w:val="0"/>
                    <w:iCs w:val="0"/>
                    <w:noProof/>
                    <w:lang w:eastAsia="en-GB"/>
                  </w:rPr>
                  <w:tab/>
                </w:r>
                <w:r w:rsidR="00B40DDD" w:rsidRPr="00E36FC2">
                  <w:rPr>
                    <w:rStyle w:val="Hyperlink"/>
                    <w:noProof/>
                  </w:rPr>
                  <w:t>Introduction</w:t>
                </w:r>
                <w:r w:rsidR="00B40DDD">
                  <w:rPr>
                    <w:noProof/>
                    <w:webHidden/>
                  </w:rPr>
                  <w:tab/>
                </w:r>
                <w:r w:rsidR="00B40DDD">
                  <w:rPr>
                    <w:noProof/>
                    <w:webHidden/>
                  </w:rPr>
                  <w:fldChar w:fldCharType="begin"/>
                </w:r>
                <w:r w:rsidR="00B40DDD">
                  <w:rPr>
                    <w:noProof/>
                    <w:webHidden/>
                  </w:rPr>
                  <w:instrText xml:space="preserve"> PAGEREF _Toc219231585 \h </w:instrText>
                </w:r>
                <w:r w:rsidR="00B40DDD">
                  <w:rPr>
                    <w:noProof/>
                    <w:webHidden/>
                  </w:rPr>
                </w:r>
                <w:r w:rsidR="00B40DDD">
                  <w:rPr>
                    <w:noProof/>
                    <w:webHidden/>
                  </w:rPr>
                  <w:fldChar w:fldCharType="separate"/>
                </w:r>
                <w:r w:rsidR="00B40DDD">
                  <w:rPr>
                    <w:noProof/>
                    <w:webHidden/>
                  </w:rPr>
                  <w:t>1</w:t>
                </w:r>
                <w:r w:rsidR="00B40DDD">
                  <w:rPr>
                    <w:noProof/>
                    <w:webHidden/>
                  </w:rPr>
                  <w:fldChar w:fldCharType="end"/>
                </w:r>
              </w:hyperlink>
            </w:p>
            <w:p w14:paraId="6A7AA864" w14:textId="3CB5A6A4" w:rsidR="00B40DDD" w:rsidRDefault="00B40DDD">
              <w:pPr>
                <w:pStyle w:val="TOC1"/>
                <w:tabs>
                  <w:tab w:val="left" w:pos="480"/>
                  <w:tab w:val="right" w:leader="dot" w:pos="9016"/>
                </w:tabs>
                <w:rPr>
                  <w:rFonts w:eastAsiaTheme="minorEastAsia"/>
                  <w:b w:val="0"/>
                  <w:bCs w:val="0"/>
                  <w:i w:val="0"/>
                  <w:iCs w:val="0"/>
                  <w:noProof/>
                  <w:lang w:eastAsia="en-GB"/>
                </w:rPr>
              </w:pPr>
              <w:hyperlink w:anchor="_Toc219231586" w:history="1">
                <w:r w:rsidRPr="00E36FC2">
                  <w:rPr>
                    <w:rStyle w:val="Hyperlink"/>
                    <w:noProof/>
                  </w:rPr>
                  <w:t>2</w:t>
                </w:r>
                <w:r>
                  <w:rPr>
                    <w:rFonts w:eastAsiaTheme="minorEastAsia"/>
                    <w:b w:val="0"/>
                    <w:bCs w:val="0"/>
                    <w:i w:val="0"/>
                    <w:iCs w:val="0"/>
                    <w:noProof/>
                    <w:lang w:eastAsia="en-GB"/>
                  </w:rPr>
                  <w:tab/>
                </w:r>
                <w:r w:rsidRPr="00E36FC2">
                  <w:rPr>
                    <w:rStyle w:val="Hyperlink"/>
                    <w:noProof/>
                  </w:rPr>
                  <w:t>Critique</w:t>
                </w:r>
                <w:r>
                  <w:rPr>
                    <w:noProof/>
                    <w:webHidden/>
                  </w:rPr>
                  <w:tab/>
                </w:r>
                <w:r>
                  <w:rPr>
                    <w:noProof/>
                    <w:webHidden/>
                  </w:rPr>
                  <w:fldChar w:fldCharType="begin"/>
                </w:r>
                <w:r>
                  <w:rPr>
                    <w:noProof/>
                    <w:webHidden/>
                  </w:rPr>
                  <w:instrText xml:space="preserve"> PAGEREF _Toc219231586 \h </w:instrText>
                </w:r>
                <w:r>
                  <w:rPr>
                    <w:noProof/>
                    <w:webHidden/>
                  </w:rPr>
                </w:r>
                <w:r>
                  <w:rPr>
                    <w:noProof/>
                    <w:webHidden/>
                  </w:rPr>
                  <w:fldChar w:fldCharType="separate"/>
                </w:r>
                <w:r>
                  <w:rPr>
                    <w:noProof/>
                    <w:webHidden/>
                  </w:rPr>
                  <w:t>2</w:t>
                </w:r>
                <w:r>
                  <w:rPr>
                    <w:noProof/>
                    <w:webHidden/>
                  </w:rPr>
                  <w:fldChar w:fldCharType="end"/>
                </w:r>
              </w:hyperlink>
            </w:p>
            <w:p w14:paraId="7E9B025B" w14:textId="26F3DF54" w:rsidR="00B40DDD" w:rsidRDefault="00B40DDD">
              <w:pPr>
                <w:pStyle w:val="TOC2"/>
                <w:tabs>
                  <w:tab w:val="left" w:pos="960"/>
                  <w:tab w:val="right" w:leader="dot" w:pos="9016"/>
                </w:tabs>
                <w:rPr>
                  <w:rFonts w:eastAsiaTheme="minorEastAsia"/>
                  <w:b w:val="0"/>
                  <w:bCs w:val="0"/>
                  <w:noProof/>
                  <w:sz w:val="24"/>
                  <w:szCs w:val="24"/>
                  <w:lang w:eastAsia="en-GB"/>
                </w:rPr>
              </w:pPr>
              <w:hyperlink w:anchor="_Toc219231587" w:history="1">
                <w:r w:rsidRPr="00E36FC2">
                  <w:rPr>
                    <w:rStyle w:val="Hyperlink"/>
                    <w:noProof/>
                  </w:rPr>
                  <w:t>2.1</w:t>
                </w:r>
                <w:r>
                  <w:rPr>
                    <w:rFonts w:eastAsiaTheme="minorEastAsia"/>
                    <w:b w:val="0"/>
                    <w:bCs w:val="0"/>
                    <w:noProof/>
                    <w:sz w:val="24"/>
                    <w:szCs w:val="24"/>
                    <w:lang w:eastAsia="en-GB"/>
                  </w:rPr>
                  <w:tab/>
                </w:r>
                <w:r w:rsidRPr="00E36FC2">
                  <w:rPr>
                    <w:rStyle w:val="Hyperlink"/>
                    <w:noProof/>
                  </w:rPr>
                  <w:t>Lee and Colley Review Method</w:t>
                </w:r>
                <w:r>
                  <w:rPr>
                    <w:noProof/>
                    <w:webHidden/>
                  </w:rPr>
                  <w:tab/>
                </w:r>
                <w:r>
                  <w:rPr>
                    <w:noProof/>
                    <w:webHidden/>
                  </w:rPr>
                  <w:fldChar w:fldCharType="begin"/>
                </w:r>
                <w:r>
                  <w:rPr>
                    <w:noProof/>
                    <w:webHidden/>
                  </w:rPr>
                  <w:instrText xml:space="preserve"> PAGEREF _Toc219231587 \h </w:instrText>
                </w:r>
                <w:r>
                  <w:rPr>
                    <w:noProof/>
                    <w:webHidden/>
                  </w:rPr>
                </w:r>
                <w:r>
                  <w:rPr>
                    <w:noProof/>
                    <w:webHidden/>
                  </w:rPr>
                  <w:fldChar w:fldCharType="separate"/>
                </w:r>
                <w:r>
                  <w:rPr>
                    <w:noProof/>
                    <w:webHidden/>
                  </w:rPr>
                  <w:t>2</w:t>
                </w:r>
                <w:r>
                  <w:rPr>
                    <w:noProof/>
                    <w:webHidden/>
                  </w:rPr>
                  <w:fldChar w:fldCharType="end"/>
                </w:r>
              </w:hyperlink>
            </w:p>
            <w:p w14:paraId="1BB64AD5" w14:textId="39383CB6" w:rsidR="00B40DDD" w:rsidRDefault="00B40DDD">
              <w:pPr>
                <w:pStyle w:val="TOC2"/>
                <w:tabs>
                  <w:tab w:val="left" w:pos="960"/>
                  <w:tab w:val="right" w:leader="dot" w:pos="9016"/>
                </w:tabs>
                <w:rPr>
                  <w:rFonts w:eastAsiaTheme="minorEastAsia"/>
                  <w:b w:val="0"/>
                  <w:bCs w:val="0"/>
                  <w:noProof/>
                  <w:sz w:val="24"/>
                  <w:szCs w:val="24"/>
                  <w:lang w:eastAsia="en-GB"/>
                </w:rPr>
              </w:pPr>
              <w:hyperlink w:anchor="_Toc219231588" w:history="1">
                <w:r w:rsidRPr="00E36FC2">
                  <w:rPr>
                    <w:rStyle w:val="Hyperlink"/>
                    <w:noProof/>
                  </w:rPr>
                  <w:t>2.2</w:t>
                </w:r>
                <w:r>
                  <w:rPr>
                    <w:rFonts w:eastAsiaTheme="minorEastAsia"/>
                    <w:b w:val="0"/>
                    <w:bCs w:val="0"/>
                    <w:noProof/>
                    <w:sz w:val="24"/>
                    <w:szCs w:val="24"/>
                    <w:lang w:eastAsia="en-GB"/>
                  </w:rPr>
                  <w:tab/>
                </w:r>
                <w:r w:rsidRPr="00E36FC2">
                  <w:rPr>
                    <w:rStyle w:val="Hyperlink"/>
                    <w:noProof/>
                  </w:rPr>
                  <w:t>Non-Technical Summary</w:t>
                </w:r>
                <w:r>
                  <w:rPr>
                    <w:noProof/>
                    <w:webHidden/>
                  </w:rPr>
                  <w:tab/>
                </w:r>
                <w:r>
                  <w:rPr>
                    <w:noProof/>
                    <w:webHidden/>
                  </w:rPr>
                  <w:fldChar w:fldCharType="begin"/>
                </w:r>
                <w:r>
                  <w:rPr>
                    <w:noProof/>
                    <w:webHidden/>
                  </w:rPr>
                  <w:instrText xml:space="preserve"> PAGEREF _Toc219231588 \h </w:instrText>
                </w:r>
                <w:r>
                  <w:rPr>
                    <w:noProof/>
                    <w:webHidden/>
                  </w:rPr>
                </w:r>
                <w:r>
                  <w:rPr>
                    <w:noProof/>
                    <w:webHidden/>
                  </w:rPr>
                  <w:fldChar w:fldCharType="separate"/>
                </w:r>
                <w:r>
                  <w:rPr>
                    <w:noProof/>
                    <w:webHidden/>
                  </w:rPr>
                  <w:t>2</w:t>
                </w:r>
                <w:r>
                  <w:rPr>
                    <w:noProof/>
                    <w:webHidden/>
                  </w:rPr>
                  <w:fldChar w:fldCharType="end"/>
                </w:r>
              </w:hyperlink>
            </w:p>
            <w:p w14:paraId="3B6184E7" w14:textId="1F45908C" w:rsidR="00B40DDD" w:rsidRDefault="00B40DDD">
              <w:pPr>
                <w:pStyle w:val="TOC2"/>
                <w:tabs>
                  <w:tab w:val="left" w:pos="960"/>
                  <w:tab w:val="right" w:leader="dot" w:pos="9016"/>
                </w:tabs>
                <w:rPr>
                  <w:rFonts w:eastAsiaTheme="minorEastAsia"/>
                  <w:b w:val="0"/>
                  <w:bCs w:val="0"/>
                  <w:noProof/>
                  <w:sz w:val="24"/>
                  <w:szCs w:val="24"/>
                  <w:lang w:eastAsia="en-GB"/>
                </w:rPr>
              </w:pPr>
              <w:hyperlink w:anchor="_Toc219231589" w:history="1">
                <w:r w:rsidRPr="00E36FC2">
                  <w:rPr>
                    <w:rStyle w:val="Hyperlink"/>
                    <w:noProof/>
                  </w:rPr>
                  <w:t>2.3</w:t>
                </w:r>
                <w:r>
                  <w:rPr>
                    <w:rFonts w:eastAsiaTheme="minorEastAsia"/>
                    <w:b w:val="0"/>
                    <w:bCs w:val="0"/>
                    <w:noProof/>
                    <w:sz w:val="24"/>
                    <w:szCs w:val="24"/>
                    <w:lang w:eastAsia="en-GB"/>
                  </w:rPr>
                  <w:tab/>
                </w:r>
                <w:r w:rsidRPr="00E36FC2">
                  <w:rPr>
                    <w:rStyle w:val="Hyperlink"/>
                    <w:noProof/>
                  </w:rPr>
                  <w:t>Screening and Scoping Options</w:t>
                </w:r>
                <w:r>
                  <w:rPr>
                    <w:noProof/>
                    <w:webHidden/>
                  </w:rPr>
                  <w:tab/>
                </w:r>
                <w:r>
                  <w:rPr>
                    <w:noProof/>
                    <w:webHidden/>
                  </w:rPr>
                  <w:fldChar w:fldCharType="begin"/>
                </w:r>
                <w:r>
                  <w:rPr>
                    <w:noProof/>
                    <w:webHidden/>
                  </w:rPr>
                  <w:instrText xml:space="preserve"> PAGEREF _Toc219231589 \h </w:instrText>
                </w:r>
                <w:r>
                  <w:rPr>
                    <w:noProof/>
                    <w:webHidden/>
                  </w:rPr>
                </w:r>
                <w:r>
                  <w:rPr>
                    <w:noProof/>
                    <w:webHidden/>
                  </w:rPr>
                  <w:fldChar w:fldCharType="separate"/>
                </w:r>
                <w:r>
                  <w:rPr>
                    <w:noProof/>
                    <w:webHidden/>
                  </w:rPr>
                  <w:t>3</w:t>
                </w:r>
                <w:r>
                  <w:rPr>
                    <w:noProof/>
                    <w:webHidden/>
                  </w:rPr>
                  <w:fldChar w:fldCharType="end"/>
                </w:r>
              </w:hyperlink>
            </w:p>
            <w:p w14:paraId="27345C40" w14:textId="4EB63F4F" w:rsidR="00B40DDD" w:rsidRDefault="00B40DDD">
              <w:pPr>
                <w:pStyle w:val="TOC2"/>
                <w:tabs>
                  <w:tab w:val="left" w:pos="960"/>
                  <w:tab w:val="right" w:leader="dot" w:pos="9016"/>
                </w:tabs>
                <w:rPr>
                  <w:rFonts w:eastAsiaTheme="minorEastAsia"/>
                  <w:b w:val="0"/>
                  <w:bCs w:val="0"/>
                  <w:noProof/>
                  <w:sz w:val="24"/>
                  <w:szCs w:val="24"/>
                  <w:lang w:eastAsia="en-GB"/>
                </w:rPr>
              </w:pPr>
              <w:hyperlink w:anchor="_Toc219231590" w:history="1">
                <w:r w:rsidRPr="00E36FC2">
                  <w:rPr>
                    <w:rStyle w:val="Hyperlink"/>
                    <w:noProof/>
                  </w:rPr>
                  <w:t>2.4</w:t>
                </w:r>
                <w:r>
                  <w:rPr>
                    <w:rFonts w:eastAsiaTheme="minorEastAsia"/>
                    <w:b w:val="0"/>
                    <w:bCs w:val="0"/>
                    <w:noProof/>
                    <w:sz w:val="24"/>
                    <w:szCs w:val="24"/>
                    <w:lang w:eastAsia="en-GB"/>
                  </w:rPr>
                  <w:tab/>
                </w:r>
                <w:r w:rsidRPr="00E36FC2">
                  <w:rPr>
                    <w:rStyle w:val="Hyperlink"/>
                    <w:noProof/>
                  </w:rPr>
                  <w:t>Alternatives Discussed</w:t>
                </w:r>
                <w:r>
                  <w:rPr>
                    <w:noProof/>
                    <w:webHidden/>
                  </w:rPr>
                  <w:tab/>
                </w:r>
                <w:r>
                  <w:rPr>
                    <w:noProof/>
                    <w:webHidden/>
                  </w:rPr>
                  <w:fldChar w:fldCharType="begin"/>
                </w:r>
                <w:r>
                  <w:rPr>
                    <w:noProof/>
                    <w:webHidden/>
                  </w:rPr>
                  <w:instrText xml:space="preserve"> PAGEREF _Toc219231590 \h </w:instrText>
                </w:r>
                <w:r>
                  <w:rPr>
                    <w:noProof/>
                    <w:webHidden/>
                  </w:rPr>
                </w:r>
                <w:r>
                  <w:rPr>
                    <w:noProof/>
                    <w:webHidden/>
                  </w:rPr>
                  <w:fldChar w:fldCharType="separate"/>
                </w:r>
                <w:r>
                  <w:rPr>
                    <w:noProof/>
                    <w:webHidden/>
                  </w:rPr>
                  <w:t>4</w:t>
                </w:r>
                <w:r>
                  <w:rPr>
                    <w:noProof/>
                    <w:webHidden/>
                  </w:rPr>
                  <w:fldChar w:fldCharType="end"/>
                </w:r>
              </w:hyperlink>
            </w:p>
            <w:p w14:paraId="1EC3BDEC" w14:textId="7B82BC62" w:rsidR="00B40DDD" w:rsidRDefault="00B40DDD">
              <w:pPr>
                <w:pStyle w:val="TOC2"/>
                <w:tabs>
                  <w:tab w:val="left" w:pos="960"/>
                  <w:tab w:val="right" w:leader="dot" w:pos="9016"/>
                </w:tabs>
                <w:rPr>
                  <w:rFonts w:eastAsiaTheme="minorEastAsia"/>
                  <w:b w:val="0"/>
                  <w:bCs w:val="0"/>
                  <w:noProof/>
                  <w:sz w:val="24"/>
                  <w:szCs w:val="24"/>
                  <w:lang w:eastAsia="en-GB"/>
                </w:rPr>
              </w:pPr>
              <w:hyperlink w:anchor="_Toc219231591" w:history="1">
                <w:r w:rsidRPr="00E36FC2">
                  <w:rPr>
                    <w:rStyle w:val="Hyperlink"/>
                    <w:noProof/>
                  </w:rPr>
                  <w:t>2.5</w:t>
                </w:r>
                <w:r>
                  <w:rPr>
                    <w:rFonts w:eastAsiaTheme="minorEastAsia"/>
                    <w:b w:val="0"/>
                    <w:bCs w:val="0"/>
                    <w:noProof/>
                    <w:sz w:val="24"/>
                    <w:szCs w:val="24"/>
                    <w:lang w:eastAsia="en-GB"/>
                  </w:rPr>
                  <w:tab/>
                </w:r>
                <w:r w:rsidRPr="00E36FC2">
                  <w:rPr>
                    <w:rStyle w:val="Hyperlink"/>
                    <w:noProof/>
                  </w:rPr>
                  <w:t>Public Engagement</w:t>
                </w:r>
                <w:r>
                  <w:rPr>
                    <w:noProof/>
                    <w:webHidden/>
                  </w:rPr>
                  <w:tab/>
                </w:r>
                <w:r>
                  <w:rPr>
                    <w:noProof/>
                    <w:webHidden/>
                  </w:rPr>
                  <w:fldChar w:fldCharType="begin"/>
                </w:r>
                <w:r>
                  <w:rPr>
                    <w:noProof/>
                    <w:webHidden/>
                  </w:rPr>
                  <w:instrText xml:space="preserve"> PAGEREF _Toc219231591 \h </w:instrText>
                </w:r>
                <w:r>
                  <w:rPr>
                    <w:noProof/>
                    <w:webHidden/>
                  </w:rPr>
                </w:r>
                <w:r>
                  <w:rPr>
                    <w:noProof/>
                    <w:webHidden/>
                  </w:rPr>
                  <w:fldChar w:fldCharType="separate"/>
                </w:r>
                <w:r>
                  <w:rPr>
                    <w:noProof/>
                    <w:webHidden/>
                  </w:rPr>
                  <w:t>4</w:t>
                </w:r>
                <w:r>
                  <w:rPr>
                    <w:noProof/>
                    <w:webHidden/>
                  </w:rPr>
                  <w:fldChar w:fldCharType="end"/>
                </w:r>
              </w:hyperlink>
            </w:p>
            <w:p w14:paraId="5659C2D3" w14:textId="513BAFE1" w:rsidR="00B40DDD" w:rsidRDefault="00B40DDD">
              <w:pPr>
                <w:pStyle w:val="TOC2"/>
                <w:tabs>
                  <w:tab w:val="left" w:pos="960"/>
                  <w:tab w:val="right" w:leader="dot" w:pos="9016"/>
                </w:tabs>
                <w:rPr>
                  <w:rFonts w:eastAsiaTheme="minorEastAsia"/>
                  <w:b w:val="0"/>
                  <w:bCs w:val="0"/>
                  <w:noProof/>
                  <w:sz w:val="24"/>
                  <w:szCs w:val="24"/>
                  <w:lang w:eastAsia="en-GB"/>
                </w:rPr>
              </w:pPr>
              <w:hyperlink w:anchor="_Toc219231592" w:history="1">
                <w:r w:rsidRPr="00E36FC2">
                  <w:rPr>
                    <w:rStyle w:val="Hyperlink"/>
                    <w:noProof/>
                  </w:rPr>
                  <w:t>2.6</w:t>
                </w:r>
                <w:r>
                  <w:rPr>
                    <w:rFonts w:eastAsiaTheme="minorEastAsia"/>
                    <w:b w:val="0"/>
                    <w:bCs w:val="0"/>
                    <w:noProof/>
                    <w:sz w:val="24"/>
                    <w:szCs w:val="24"/>
                    <w:lang w:eastAsia="en-GB"/>
                  </w:rPr>
                  <w:tab/>
                </w:r>
                <w:r w:rsidRPr="00E36FC2">
                  <w:rPr>
                    <w:rStyle w:val="Hyperlink"/>
                    <w:noProof/>
                  </w:rPr>
                  <w:t>Compare to Penrhos Leisure Village</w:t>
                </w:r>
                <w:r>
                  <w:rPr>
                    <w:noProof/>
                    <w:webHidden/>
                  </w:rPr>
                  <w:tab/>
                </w:r>
                <w:r>
                  <w:rPr>
                    <w:noProof/>
                    <w:webHidden/>
                  </w:rPr>
                  <w:fldChar w:fldCharType="begin"/>
                </w:r>
                <w:r>
                  <w:rPr>
                    <w:noProof/>
                    <w:webHidden/>
                  </w:rPr>
                  <w:instrText xml:space="preserve"> PAGEREF _Toc219231592 \h </w:instrText>
                </w:r>
                <w:r>
                  <w:rPr>
                    <w:noProof/>
                    <w:webHidden/>
                  </w:rPr>
                </w:r>
                <w:r>
                  <w:rPr>
                    <w:noProof/>
                    <w:webHidden/>
                  </w:rPr>
                  <w:fldChar w:fldCharType="separate"/>
                </w:r>
                <w:r>
                  <w:rPr>
                    <w:noProof/>
                    <w:webHidden/>
                  </w:rPr>
                  <w:t>5</w:t>
                </w:r>
                <w:r>
                  <w:rPr>
                    <w:noProof/>
                    <w:webHidden/>
                  </w:rPr>
                  <w:fldChar w:fldCharType="end"/>
                </w:r>
              </w:hyperlink>
            </w:p>
            <w:p w14:paraId="4C940C6B" w14:textId="4BF106F7" w:rsidR="00B40DDD" w:rsidRDefault="00B40DDD">
              <w:pPr>
                <w:pStyle w:val="TOC1"/>
                <w:tabs>
                  <w:tab w:val="left" w:pos="480"/>
                  <w:tab w:val="right" w:leader="dot" w:pos="9016"/>
                </w:tabs>
                <w:rPr>
                  <w:rFonts w:eastAsiaTheme="minorEastAsia"/>
                  <w:b w:val="0"/>
                  <w:bCs w:val="0"/>
                  <w:i w:val="0"/>
                  <w:iCs w:val="0"/>
                  <w:noProof/>
                  <w:lang w:eastAsia="en-GB"/>
                </w:rPr>
              </w:pPr>
              <w:hyperlink w:anchor="_Toc219231593" w:history="1">
                <w:r w:rsidRPr="00E36FC2">
                  <w:rPr>
                    <w:rStyle w:val="Hyperlink"/>
                    <w:noProof/>
                  </w:rPr>
                  <w:t>3</w:t>
                </w:r>
                <w:r>
                  <w:rPr>
                    <w:rFonts w:eastAsiaTheme="minorEastAsia"/>
                    <w:b w:val="0"/>
                    <w:bCs w:val="0"/>
                    <w:i w:val="0"/>
                    <w:iCs w:val="0"/>
                    <w:noProof/>
                    <w:lang w:eastAsia="en-GB"/>
                  </w:rPr>
                  <w:tab/>
                </w:r>
                <w:r w:rsidRPr="00E36FC2">
                  <w:rPr>
                    <w:rStyle w:val="Hyperlink"/>
                    <w:noProof/>
                  </w:rPr>
                  <w:t>Conclusion</w:t>
                </w:r>
                <w:r>
                  <w:rPr>
                    <w:noProof/>
                    <w:webHidden/>
                  </w:rPr>
                  <w:tab/>
                </w:r>
                <w:r>
                  <w:rPr>
                    <w:noProof/>
                    <w:webHidden/>
                  </w:rPr>
                  <w:fldChar w:fldCharType="begin"/>
                </w:r>
                <w:r>
                  <w:rPr>
                    <w:noProof/>
                    <w:webHidden/>
                  </w:rPr>
                  <w:instrText xml:space="preserve"> PAGEREF _Toc219231593 \h </w:instrText>
                </w:r>
                <w:r>
                  <w:rPr>
                    <w:noProof/>
                    <w:webHidden/>
                  </w:rPr>
                </w:r>
                <w:r>
                  <w:rPr>
                    <w:noProof/>
                    <w:webHidden/>
                  </w:rPr>
                  <w:fldChar w:fldCharType="separate"/>
                </w:r>
                <w:r>
                  <w:rPr>
                    <w:noProof/>
                    <w:webHidden/>
                  </w:rPr>
                  <w:t>6</w:t>
                </w:r>
                <w:r>
                  <w:rPr>
                    <w:noProof/>
                    <w:webHidden/>
                  </w:rPr>
                  <w:fldChar w:fldCharType="end"/>
                </w:r>
              </w:hyperlink>
            </w:p>
            <w:p w14:paraId="66AD30B2" w14:textId="6FF023BE" w:rsidR="00B40DDD" w:rsidRDefault="00B40DDD">
              <w:pPr>
                <w:pStyle w:val="TOC1"/>
                <w:tabs>
                  <w:tab w:val="left" w:pos="480"/>
                  <w:tab w:val="right" w:leader="dot" w:pos="9016"/>
                </w:tabs>
                <w:rPr>
                  <w:rFonts w:eastAsiaTheme="minorEastAsia"/>
                  <w:b w:val="0"/>
                  <w:bCs w:val="0"/>
                  <w:i w:val="0"/>
                  <w:iCs w:val="0"/>
                  <w:noProof/>
                  <w:lang w:eastAsia="en-GB"/>
                </w:rPr>
              </w:pPr>
              <w:hyperlink w:anchor="_Toc219231594" w:history="1">
                <w:r w:rsidRPr="00E36FC2">
                  <w:rPr>
                    <w:rStyle w:val="Hyperlink"/>
                    <w:noProof/>
                  </w:rPr>
                  <w:t>4</w:t>
                </w:r>
                <w:r>
                  <w:rPr>
                    <w:rFonts w:eastAsiaTheme="minorEastAsia"/>
                    <w:b w:val="0"/>
                    <w:bCs w:val="0"/>
                    <w:i w:val="0"/>
                    <w:iCs w:val="0"/>
                    <w:noProof/>
                    <w:lang w:eastAsia="en-GB"/>
                  </w:rPr>
                  <w:tab/>
                </w:r>
                <w:r w:rsidRPr="00E36FC2">
                  <w:rPr>
                    <w:rStyle w:val="Hyperlink"/>
                    <w:noProof/>
                  </w:rPr>
                  <w:t>Reference List</w:t>
                </w:r>
                <w:r>
                  <w:rPr>
                    <w:noProof/>
                    <w:webHidden/>
                  </w:rPr>
                  <w:tab/>
                </w:r>
                <w:r>
                  <w:rPr>
                    <w:noProof/>
                    <w:webHidden/>
                  </w:rPr>
                  <w:fldChar w:fldCharType="begin"/>
                </w:r>
                <w:r>
                  <w:rPr>
                    <w:noProof/>
                    <w:webHidden/>
                  </w:rPr>
                  <w:instrText xml:space="preserve"> PAGEREF _Toc219231594 \h </w:instrText>
                </w:r>
                <w:r>
                  <w:rPr>
                    <w:noProof/>
                    <w:webHidden/>
                  </w:rPr>
                </w:r>
                <w:r>
                  <w:rPr>
                    <w:noProof/>
                    <w:webHidden/>
                  </w:rPr>
                  <w:fldChar w:fldCharType="separate"/>
                </w:r>
                <w:r>
                  <w:rPr>
                    <w:noProof/>
                    <w:webHidden/>
                  </w:rPr>
                  <w:t>7</w:t>
                </w:r>
                <w:r>
                  <w:rPr>
                    <w:noProof/>
                    <w:webHidden/>
                  </w:rPr>
                  <w:fldChar w:fldCharType="end"/>
                </w:r>
              </w:hyperlink>
            </w:p>
            <w:p w14:paraId="3E0E57F9" w14:textId="1D3215FA" w:rsidR="001B0633" w:rsidRDefault="001B0633">
              <w:r>
                <w:rPr>
                  <w:b/>
                  <w:bCs/>
                  <w:noProof/>
                </w:rPr>
                <w:fldChar w:fldCharType="end"/>
              </w:r>
            </w:p>
          </w:sdtContent>
        </w:sdt>
        <w:p w14:paraId="4751C765" w14:textId="77777777" w:rsidR="00A94CDF" w:rsidRDefault="001B0633">
          <w:pPr>
            <w:sectPr w:rsidR="00A94CDF" w:rsidSect="00B30D09">
              <w:footerReference w:type="first" r:id="rId11"/>
              <w:pgSz w:w="11906" w:h="16838"/>
              <w:pgMar w:top="1440" w:right="1440" w:bottom="1440" w:left="1440" w:header="708" w:footer="708" w:gutter="0"/>
              <w:pgNumType w:fmt="lowerRoman" w:start="1"/>
              <w:cols w:space="708"/>
              <w:titlePg/>
              <w:docGrid w:linePitch="360"/>
            </w:sectPr>
          </w:pPr>
          <w:fldSimple w:instr=" TOC \h \z \c &quot;Figure&quot; ">
            <w:r>
              <w:rPr>
                <w:b/>
                <w:bCs/>
                <w:noProof/>
              </w:rPr>
              <w:t>No table of figures entries found.</w:t>
            </w:r>
          </w:fldSimple>
          <w:r w:rsidR="00A94CDF">
            <w:br w:type="page"/>
          </w:r>
        </w:p>
        <w:p w14:paraId="275B42A9" w14:textId="1E7E9F26" w:rsidR="00A94CDF" w:rsidRPr="003F7130" w:rsidRDefault="00A94CDF" w:rsidP="003F7130">
          <w:pPr>
            <w:pStyle w:val="Heading1"/>
          </w:pPr>
          <w:bookmarkStart w:id="0" w:name="_Toc219231585"/>
          <w:r>
            <w:lastRenderedPageBreak/>
            <w:t>Introduction</w:t>
          </w:r>
        </w:p>
      </w:sdtContent>
    </w:sdt>
    <w:bookmarkEnd w:id="0" w:displacedByCustomXml="prev"/>
    <w:p w14:paraId="4D75836C" w14:textId="43AAC219" w:rsidR="008A7ACE" w:rsidRDefault="00745CDD" w:rsidP="00AF1218">
      <w:r>
        <w:t xml:space="preserve">The </w:t>
      </w:r>
      <w:r w:rsidR="00AF1218">
        <w:t>Environmental Impact Assessment</w:t>
      </w:r>
      <w:r w:rsidR="00844656">
        <w:t>, EIA, is the process by which the potential environmental effects of a proposed project or development can be ascertained.</w:t>
      </w:r>
      <w:r w:rsidR="00AF1218">
        <w:t xml:space="preserve"> </w:t>
      </w:r>
      <w:r w:rsidR="005B0245">
        <w:t xml:space="preserve">The EIA assumes an important role in the planning system, where the environmental factors of a project or development are taken </w:t>
      </w:r>
      <w:r w:rsidR="00B7611A">
        <w:t>into consideration with the objective of preventing negative effects</w:t>
      </w:r>
      <w:r w:rsidR="00C428E9">
        <w:t xml:space="preserve"> </w:t>
      </w:r>
      <w:sdt>
        <w:sdtPr>
          <w:rPr>
            <w:rFonts w:ascii="Aptos" w:hAnsi="Aptos"/>
            <w:color w:val="000000"/>
          </w:rPr>
          <w:tag w:val="MENDELEY_CITATION_v3_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"/>
          <w:id w:val="1907493445"/>
          <w:placeholder>
            <w:docPart w:val="DefaultPlaceholder_-1854013440"/>
          </w:placeholder>
        </w:sdtPr>
        <w:sdtContent>
          <w:r w:rsidR="006E16D3" w:rsidRPr="006E16D3">
            <w:rPr>
              <w:rFonts w:ascii="Aptos" w:hAnsi="Aptos"/>
              <w:color w:val="000000"/>
            </w:rPr>
            <w:t>(International Institute for Sustainable Development, 2016)</w:t>
          </w:r>
        </w:sdtContent>
      </w:sdt>
      <w:r w:rsidR="00B7611A">
        <w:t xml:space="preserve">. </w:t>
      </w:r>
    </w:p>
    <w:p w14:paraId="2C3257A7" w14:textId="0FDDF005" w:rsidR="00AF1218" w:rsidRDefault="00C277A4" w:rsidP="00AF1218">
      <w:r>
        <w:t xml:space="preserve">In the United Kingdom, Environmental Impact Assessments are mandatory for specified </w:t>
      </w:r>
      <w:r w:rsidR="00E7312E">
        <w:t>forms of development in the Town and Country Planning (Environmental Impact Assessment) (Wales) Regulations of 2017</w:t>
      </w:r>
      <w:r w:rsidR="00126582">
        <w:t xml:space="preserve"> </w:t>
      </w:r>
      <w:sdt>
        <w:sdtPr>
          <w:rPr>
            <w:rFonts w:ascii="Aptos" w:hAnsi="Aptos"/>
            <w:color w:val="000000"/>
          </w:rPr>
          <w:tag w:val="MENDELEY_CITATION_v3_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"/>
          <w:id w:val="671690352"/>
          <w:placeholder>
            <w:docPart w:val="DefaultPlaceholder_-1854013440"/>
          </w:placeholder>
        </w:sdtPr>
        <w:sdtContent>
          <w:r w:rsidR="006E16D3" w:rsidRPr="006E16D3">
            <w:rPr>
              <w:rFonts w:ascii="Aptos" w:hAnsi="Aptos"/>
              <w:color w:val="000000"/>
            </w:rPr>
            <w:t>(Welsh Government, 2017)</w:t>
          </w:r>
        </w:sdtContent>
      </w:sdt>
      <w:r w:rsidR="00E7312E">
        <w:t xml:space="preserve">. This requires the assessment of probable significant </w:t>
      </w:r>
      <w:r w:rsidR="009C134C">
        <w:t xml:space="preserve">environmental impacts and consultation with statutory consultees and the public. </w:t>
      </w:r>
      <w:r w:rsidR="00F81DB6">
        <w:t xml:space="preserve">The Environmental Statement is highly relied upon in decision-making for the acceptability of the development in relation to the environment </w:t>
      </w:r>
    </w:p>
    <w:p w14:paraId="5C85572D" w14:textId="7B4B2DB0" w:rsidR="00AF1218" w:rsidRPr="00497866" w:rsidRDefault="00AF1218" w:rsidP="00AF1218">
      <w:r>
        <w:rPr>
          <w:rFonts w:ascii="Aptos" w:hAnsi="Aptos"/>
          <w:color w:val="000000"/>
        </w:rPr>
        <w:t xml:space="preserve">This report </w:t>
      </w:r>
      <w:r w:rsidR="008D5F63">
        <w:rPr>
          <w:rFonts w:ascii="Aptos" w:hAnsi="Aptos"/>
          <w:color w:val="000000"/>
        </w:rPr>
        <w:t>analyses</w:t>
      </w:r>
      <w:r>
        <w:rPr>
          <w:rFonts w:ascii="Aptos" w:hAnsi="Aptos"/>
          <w:color w:val="000000"/>
        </w:rPr>
        <w:t xml:space="preserve"> the Environmental Impact Assessment </w:t>
      </w:r>
      <w:r w:rsidR="008D5F63">
        <w:rPr>
          <w:rFonts w:ascii="Aptos" w:hAnsi="Aptos"/>
          <w:color w:val="000000"/>
        </w:rPr>
        <w:t xml:space="preserve">that has taken place in relation to the </w:t>
      </w:r>
      <w:r>
        <w:rPr>
          <w:rFonts w:ascii="Aptos" w:hAnsi="Aptos"/>
          <w:color w:val="000000"/>
        </w:rPr>
        <w:t xml:space="preserve">Parc Pelenna development in Neath, South Wales. The assessment </w:t>
      </w:r>
      <w:r w:rsidR="00CF42EE">
        <w:rPr>
          <w:rFonts w:ascii="Aptos" w:hAnsi="Aptos"/>
          <w:color w:val="000000"/>
        </w:rPr>
        <w:t>uses</w:t>
      </w:r>
      <w:r>
        <w:rPr>
          <w:rFonts w:ascii="Aptos" w:hAnsi="Aptos"/>
          <w:color w:val="000000"/>
        </w:rPr>
        <w:t xml:space="preserve"> the Lee and Colley </w:t>
      </w:r>
      <w:r w:rsidR="00CF42EE">
        <w:rPr>
          <w:rFonts w:ascii="Aptos" w:hAnsi="Aptos"/>
          <w:color w:val="000000"/>
        </w:rPr>
        <w:t>R</w:t>
      </w:r>
      <w:r>
        <w:rPr>
          <w:rFonts w:ascii="Aptos" w:hAnsi="Aptos"/>
          <w:color w:val="000000"/>
        </w:rPr>
        <w:t xml:space="preserve">eview method, a </w:t>
      </w:r>
      <w:r w:rsidR="00CF42EE">
        <w:rPr>
          <w:rFonts w:ascii="Aptos" w:hAnsi="Aptos"/>
          <w:color w:val="000000"/>
        </w:rPr>
        <w:t xml:space="preserve">well-established </w:t>
      </w:r>
      <w:r w:rsidR="00A07088">
        <w:rPr>
          <w:rFonts w:ascii="Aptos" w:hAnsi="Aptos"/>
          <w:color w:val="000000"/>
        </w:rPr>
        <w:t xml:space="preserve">approach that has been developed to test the effectiveness </w:t>
      </w:r>
      <w:r w:rsidR="00F92D2D">
        <w:rPr>
          <w:rFonts w:ascii="Aptos" w:hAnsi="Aptos"/>
          <w:color w:val="000000"/>
        </w:rPr>
        <w:t xml:space="preserve">of Environmental Statements </w:t>
      </w:r>
      <w:r w:rsidR="00BA6D7F">
        <w:rPr>
          <w:rFonts w:ascii="Aptos" w:hAnsi="Aptos"/>
          <w:color w:val="000000"/>
        </w:rPr>
        <w:t>in relation to best practice.</w:t>
      </w:r>
      <w:r>
        <w:rPr>
          <w:rFonts w:ascii="Aptos" w:hAnsi="Aptos"/>
          <w:color w:val="000000"/>
        </w:rPr>
        <w:t xml:space="preserve"> </w:t>
      </w:r>
    </w:p>
    <w:p w14:paraId="026E4570" w14:textId="073BB8C9" w:rsidR="00AF1218" w:rsidRDefault="00AF1218" w:rsidP="00AF1218">
      <w:r>
        <w:t xml:space="preserve">The report </w:t>
      </w:r>
      <w:r w:rsidR="00BA6D7F">
        <w:t>will discuss some of the major ph</w:t>
      </w:r>
      <w:r w:rsidR="00F84845">
        <w:t>ases involved in the EIA process, which include Non-Technical Summary, screening and scoping,</w:t>
      </w:r>
      <w:r w:rsidR="00F57510">
        <w:t xml:space="preserve"> alternatives and public engagement.</w:t>
      </w:r>
      <w:r w:rsidR="009E5900">
        <w:t xml:space="preserve"> There will be a comparison with the Penrhos Leisure Village EIA in order to determine weaknesses and strengths. The document shall be used to determine whether the EIA process in Parc Pelenna supports environmentally sustainable decision-making.</w:t>
      </w:r>
      <w:r w:rsidR="00F84845">
        <w:t xml:space="preserve"> </w:t>
      </w:r>
    </w:p>
    <w:p w14:paraId="26E63BC4" w14:textId="77777777" w:rsidR="003A4C05" w:rsidRDefault="003A4C05"/>
    <w:p w14:paraId="698F8413" w14:textId="77777777" w:rsidR="003A4C05" w:rsidRDefault="003A4C05"/>
    <w:p w14:paraId="41CABDBF" w14:textId="77777777" w:rsidR="003A4C05" w:rsidRDefault="003A4C05"/>
    <w:p w14:paraId="4E130270" w14:textId="77777777" w:rsidR="003E3D99" w:rsidRDefault="003E3D99"/>
    <w:p w14:paraId="772E21A0" w14:textId="77777777" w:rsidR="00AF1218" w:rsidRDefault="00AF1218"/>
    <w:p w14:paraId="413BBB03" w14:textId="77777777" w:rsidR="00D02205" w:rsidRDefault="00D02205"/>
    <w:p w14:paraId="3C258372" w14:textId="77777777" w:rsidR="00D02205" w:rsidRDefault="00D02205"/>
    <w:p w14:paraId="670F2762" w14:textId="0F3F38FB" w:rsidR="003A4C05" w:rsidRDefault="00540486" w:rsidP="003A4C05">
      <w:pPr>
        <w:pStyle w:val="Heading1"/>
      </w:pPr>
      <w:bookmarkStart w:id="1" w:name="_Toc219231586"/>
      <w:r>
        <w:lastRenderedPageBreak/>
        <w:t>Critique</w:t>
      </w:r>
      <w:bookmarkEnd w:id="1"/>
    </w:p>
    <w:p w14:paraId="7E10DC28" w14:textId="0B8FF419" w:rsidR="00C963D7" w:rsidRDefault="007E5839" w:rsidP="00C963D7">
      <w:pPr>
        <w:pStyle w:val="Heading2"/>
      </w:pPr>
      <w:bookmarkStart w:id="2" w:name="_Toc219231587"/>
      <w:r>
        <w:t>Lee and Colley Review Method</w:t>
      </w:r>
      <w:bookmarkEnd w:id="2"/>
    </w:p>
    <w:p w14:paraId="46EE75FB" w14:textId="20DEADA5" w:rsidR="00D74863" w:rsidRPr="0096427F" w:rsidRDefault="008C3EEE" w:rsidP="0096427F">
      <w:r>
        <w:t xml:space="preserve">The Lee and Colley </w:t>
      </w:r>
      <w:r w:rsidR="00163C7E">
        <w:t>r</w:t>
      </w:r>
      <w:r>
        <w:t xml:space="preserve">eview </w:t>
      </w:r>
      <w:r w:rsidR="00163C7E">
        <w:t>m</w:t>
      </w:r>
      <w:r>
        <w:t xml:space="preserve">ethod </w:t>
      </w:r>
      <w:r w:rsidR="00667834">
        <w:t xml:space="preserve">is a review technique created </w:t>
      </w:r>
      <w:r w:rsidR="00B13EF0">
        <w:t>to evaluate the quality of environmental statements and was initially designed by Raymond Colley i</w:t>
      </w:r>
      <w:r w:rsidR="00D74863">
        <w:t>n 1989</w:t>
      </w:r>
      <w:r w:rsidR="00D07EAA">
        <w:t xml:space="preserve"> </w:t>
      </w:r>
      <w:sdt>
        <w:sdtPr>
          <w:rPr>
            <w:rFonts w:ascii="Aptos" w:hAnsi="Aptos"/>
            <w:color w:val="000000"/>
          </w:rPr>
          <w:tag w:val="MENDELEY_CITATION_v3_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"/>
          <w:id w:val="1382059389"/>
          <w:placeholder>
            <w:docPart w:val="D1E0273AE4113149B3E6996E58558C81"/>
          </w:placeholder>
        </w:sdtPr>
        <w:sdtContent>
          <w:r w:rsidR="006E16D3" w:rsidRPr="006E16D3">
            <w:rPr>
              <w:rFonts w:ascii="Aptos" w:hAnsi="Aptos"/>
              <w:color w:val="000000"/>
            </w:rPr>
            <w:t>(Lee et al., 1999)</w:t>
          </w:r>
        </w:sdtContent>
      </w:sdt>
      <w:r w:rsidR="00B13EF0">
        <w:t xml:space="preserve">. </w:t>
      </w:r>
      <w:r w:rsidR="00891823">
        <w:t>This</w:t>
      </w:r>
      <w:r w:rsidR="007D5717">
        <w:t xml:space="preserve"> technique </w:t>
      </w:r>
      <w:r w:rsidR="009637B0">
        <w:t>was developed as a result of the EC Directive 85/337.</w:t>
      </w:r>
      <w:r w:rsidR="00891823">
        <w:t xml:space="preserve"> </w:t>
      </w:r>
      <w:r w:rsidR="00114766">
        <w:t>Th</w:t>
      </w:r>
      <w:r w:rsidR="002F536D">
        <w:t>is</w:t>
      </w:r>
      <w:r w:rsidR="00114766">
        <w:t xml:space="preserve"> </w:t>
      </w:r>
      <w:r w:rsidR="00ED38DB">
        <w:t xml:space="preserve">method was then refined by Lee Norman to make it </w:t>
      </w:r>
      <w:r w:rsidR="00F85038">
        <w:t xml:space="preserve">compliant with updated legislation. This is the reason it is known as the ‘Lee and Colley Review Method’. </w:t>
      </w:r>
      <w:r w:rsidR="000857E5">
        <w:t>This method will be used to analyse the EIA of Parc Pelena in this paper.</w:t>
      </w:r>
    </w:p>
    <w:p w14:paraId="68DB309B" w14:textId="29A4FA51" w:rsidR="00BF57F8" w:rsidRDefault="00BF57F8" w:rsidP="00BF57F8">
      <w:pPr>
        <w:pStyle w:val="Heading2"/>
      </w:pPr>
      <w:bookmarkStart w:id="3" w:name="_Toc219231588"/>
      <w:r>
        <w:t>Non-Technical Summary</w:t>
      </w:r>
      <w:bookmarkEnd w:id="3"/>
    </w:p>
    <w:p w14:paraId="049B2754" w14:textId="3A149B32" w:rsidR="00B766B4" w:rsidRDefault="00B766B4" w:rsidP="00B766B4">
      <w:r>
        <w:t>A Non</w:t>
      </w:r>
      <w:r w:rsidR="00F96191">
        <w:t>-Technical Summary</w:t>
      </w:r>
      <w:r w:rsidR="000D1AE3">
        <w:t xml:space="preserve"> (NTS)</w:t>
      </w:r>
      <w:r w:rsidR="00F96191">
        <w:t xml:space="preserve"> is </w:t>
      </w:r>
      <w:r w:rsidR="00DC5003">
        <w:t>meant</w:t>
      </w:r>
      <w:r w:rsidR="00F96191">
        <w:t xml:space="preserve"> to </w:t>
      </w:r>
      <w:r w:rsidR="009B46DD">
        <w:t>supply</w:t>
      </w:r>
      <w:r w:rsidR="00F96191">
        <w:t xml:space="preserve"> a c</w:t>
      </w:r>
      <w:r w:rsidR="009B46DD">
        <w:t>oncise</w:t>
      </w:r>
      <w:r w:rsidR="00F96191">
        <w:t xml:space="preserve"> and </w:t>
      </w:r>
      <w:r w:rsidR="009B46DD">
        <w:t>simple</w:t>
      </w:r>
      <w:r w:rsidR="00F96191">
        <w:t xml:space="preserve"> overview of the Environmental Statement for </w:t>
      </w:r>
      <w:r w:rsidR="009B46DD">
        <w:t xml:space="preserve">the benefit </w:t>
      </w:r>
      <w:r w:rsidR="00F96191">
        <w:t xml:space="preserve">of the </w:t>
      </w:r>
      <w:r w:rsidR="009B46DD">
        <w:t xml:space="preserve">general </w:t>
      </w:r>
      <w:r w:rsidR="00F96191">
        <w:t xml:space="preserve">public and other </w:t>
      </w:r>
      <w:r w:rsidR="009B46DD">
        <w:t>interested parties that lack technical knowledge in the subject</w:t>
      </w:r>
      <w:r w:rsidR="00F96191">
        <w:t xml:space="preserve">. As such, it </w:t>
      </w:r>
      <w:r w:rsidR="009B46DD">
        <w:t>is imperative in ensuring that public participation</w:t>
      </w:r>
      <w:r w:rsidR="00F96191">
        <w:t xml:space="preserve"> </w:t>
      </w:r>
      <w:r w:rsidR="004C4FD4">
        <w:t>in the EIA process</w:t>
      </w:r>
      <w:r w:rsidR="006A2A42">
        <w:t xml:space="preserve"> is facilitated</w:t>
      </w:r>
      <w:r w:rsidR="004C4FD4">
        <w:t xml:space="preserve">. </w:t>
      </w:r>
      <w:r w:rsidR="003E2280">
        <w:t>The reason for this is that many people will sole</w:t>
      </w:r>
      <w:r w:rsidR="00D7619A">
        <w:t>l</w:t>
      </w:r>
      <w:r w:rsidR="003E2280">
        <w:t xml:space="preserve">y use the NTS </w:t>
      </w:r>
      <w:r w:rsidR="00D7619A">
        <w:t>to evaluate an EIA</w:t>
      </w:r>
      <w:r w:rsidR="0091743C">
        <w:t xml:space="preserve"> </w:t>
      </w:r>
      <w:sdt>
        <w:sdtPr>
          <w:rPr>
            <w:rFonts w:ascii="Aptos" w:hAnsi="Aptos"/>
            <w:color w:val="000000"/>
          </w:rPr>
          <w:tag w:val="MENDELEY_CITATION_v3_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"/>
          <w:id w:val="-918858883"/>
          <w:placeholder>
            <w:docPart w:val="DefaultPlaceholder_-1854013440"/>
          </w:placeholder>
        </w:sdtPr>
        <w:sdtContent>
          <w:r w:rsidR="006E16D3" w:rsidRPr="006E16D3">
            <w:rPr>
              <w:rFonts w:ascii="Aptos" w:eastAsia="Times New Roman" w:hAnsi="Aptos"/>
              <w:color w:val="000000"/>
            </w:rPr>
            <w:t>(Institute of Environmental Management &amp; Assessment, 2023)</w:t>
          </w:r>
        </w:sdtContent>
      </w:sdt>
      <w:r w:rsidR="004C4FD4">
        <w:t>.</w:t>
      </w:r>
    </w:p>
    <w:p w14:paraId="295629A4" w14:textId="5CA00FE0" w:rsidR="002E37F5" w:rsidRDefault="00AB3048" w:rsidP="00B766B4">
      <w:r>
        <w:t xml:space="preserve">In the case of Parc Pelenna, the NTS </w:t>
      </w:r>
      <w:r w:rsidR="00D7619A">
        <w:t xml:space="preserve">covers </w:t>
      </w:r>
      <w:r w:rsidR="00945453">
        <w:t>most</w:t>
      </w:r>
      <w:r>
        <w:t xml:space="preserve"> of the minimum requirements set out in Directive 97/11/EC</w:t>
      </w:r>
      <w:r w:rsidR="00295A0D">
        <w:t xml:space="preserve">, including a description of the proposed development, an overview of likely environmental effects and </w:t>
      </w:r>
      <w:r w:rsidR="009B14C5">
        <w:t>includes</w:t>
      </w:r>
      <w:r w:rsidR="00295A0D">
        <w:t xml:space="preserve"> mitigation measures. The summary </w:t>
      </w:r>
      <w:r w:rsidR="009B14C5">
        <w:t>gives</w:t>
      </w:r>
      <w:r w:rsidR="00295A0D">
        <w:t xml:space="preserve"> a general </w:t>
      </w:r>
      <w:r w:rsidR="00B81621">
        <w:t>idea</w:t>
      </w:r>
      <w:r w:rsidR="00295A0D">
        <w:t xml:space="preserve"> of the site and </w:t>
      </w:r>
      <w:r w:rsidR="00B81621">
        <w:t>the environment</w:t>
      </w:r>
      <w:r w:rsidR="00295A0D">
        <w:t xml:space="preserve">, which </w:t>
      </w:r>
      <w:r w:rsidR="00B81621">
        <w:t>helps to determine the nature of the proposal</w:t>
      </w:r>
      <w:r w:rsidR="00D50FAE">
        <w:t>.</w:t>
      </w:r>
    </w:p>
    <w:p w14:paraId="08B956D9" w14:textId="2F4B363E" w:rsidR="00D50FAE" w:rsidRPr="00B766B4" w:rsidRDefault="00D50FAE" w:rsidP="00B766B4">
      <w:r>
        <w:t xml:space="preserve">However, the NTS </w:t>
      </w:r>
      <w:r w:rsidR="00D40071">
        <w:t>has several</w:t>
      </w:r>
      <w:r>
        <w:t xml:space="preserve"> weaknesses that </w:t>
      </w:r>
      <w:r w:rsidR="00D40071">
        <w:t>work against it</w:t>
      </w:r>
      <w:r>
        <w:t xml:space="preserve">. In particular, </w:t>
      </w:r>
      <w:r w:rsidR="006E144B">
        <w:t xml:space="preserve">it does not provide </w:t>
      </w:r>
      <w:r w:rsidR="00DB42DC">
        <w:t>information on the scale of development proposed.</w:t>
      </w:r>
      <w:r>
        <w:t xml:space="preserve"> </w:t>
      </w:r>
      <w:r w:rsidR="000A7771">
        <w:t xml:space="preserve">For instance, it does not state </w:t>
      </w:r>
      <w:r w:rsidR="002F5FBB">
        <w:t>the total site area that is proposed for</w:t>
      </w:r>
      <w:r w:rsidR="00C56771">
        <w:t xml:space="preserve"> the</w:t>
      </w:r>
      <w:r w:rsidR="002F5FBB">
        <w:t xml:space="preserve"> development.</w:t>
      </w:r>
      <w:r>
        <w:t xml:space="preserve"> </w:t>
      </w:r>
      <w:r w:rsidR="00C56771">
        <w:t xml:space="preserve">The lack of numerical information in this regard could work against the understanding </w:t>
      </w:r>
      <w:r w:rsidR="004B552E">
        <w:t xml:space="preserve">of the development by the public. In fact, the scale of development </w:t>
      </w:r>
      <w:r w:rsidR="008A5344">
        <w:t>could be an important factor in the development being accepted</w:t>
      </w:r>
      <w:r w:rsidR="00CF1112">
        <w:t xml:space="preserve"> </w:t>
      </w:r>
      <w:sdt>
        <w:sdtPr>
          <w:rPr>
            <w:rFonts w:ascii="Aptos" w:hAnsi="Aptos"/>
            <w:color w:val="000000"/>
          </w:rPr>
          <w:tag w:val="MENDELEY_CITATION_v3_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"/>
          <w:id w:val="-507825373"/>
          <w:placeholder>
            <w:docPart w:val="DefaultPlaceholder_-1854013440"/>
          </w:placeholder>
        </w:sdtPr>
        <w:sdtContent>
          <w:r w:rsidR="006E16D3" w:rsidRPr="006E16D3">
            <w:rPr>
              <w:rFonts w:ascii="Aptos" w:hAnsi="Aptos"/>
              <w:color w:val="000000"/>
            </w:rPr>
            <w:t>(The Urbanists, 2024)</w:t>
          </w:r>
        </w:sdtContent>
      </w:sdt>
      <w:r w:rsidR="008A5344">
        <w:t>.</w:t>
      </w:r>
    </w:p>
    <w:p w14:paraId="4968C073" w14:textId="51C9A50F" w:rsidR="0092764D" w:rsidRDefault="000D1AE3" w:rsidP="0096427F">
      <w:r>
        <w:t xml:space="preserve">Overall, while the NTS satisfies the minimum procedural requirements, it </w:t>
      </w:r>
      <w:r w:rsidR="00DE340B">
        <w:t>does not meet best practice standards.</w:t>
      </w:r>
      <w:r w:rsidR="006B1CDF">
        <w:t xml:space="preserve"> This is because it lacks quantified information</w:t>
      </w:r>
      <w:r w:rsidR="0013583C">
        <w:t>, as well as significant discussion of the meaning of the impact.</w:t>
      </w:r>
      <w:r w:rsidR="009029F6">
        <w:t xml:space="preserve"> A more effective NTS could have quantified elements, as well as direct associations between impact and mitigation.</w:t>
      </w:r>
      <w:r w:rsidR="001C5017">
        <w:t xml:space="preserve"> This is because it could have supported more informed participation.</w:t>
      </w:r>
    </w:p>
    <w:p w14:paraId="6DB7B400" w14:textId="77777777" w:rsidR="002E5D02" w:rsidRDefault="002E5D02" w:rsidP="0096427F">
      <w:pPr>
        <w:rPr>
          <w:vertAlign w:val="superscript"/>
        </w:rPr>
      </w:pPr>
    </w:p>
    <w:p w14:paraId="32CADBA9" w14:textId="77777777" w:rsidR="00F616BD" w:rsidRDefault="00F616BD" w:rsidP="0096427F">
      <w:pPr>
        <w:rPr>
          <w:vertAlign w:val="superscript"/>
        </w:rPr>
      </w:pPr>
    </w:p>
    <w:p w14:paraId="5CE3BC45" w14:textId="77777777" w:rsidR="001C5017" w:rsidRPr="00F36987" w:rsidRDefault="001C5017" w:rsidP="0096427F">
      <w:pPr>
        <w:rPr>
          <w:vertAlign w:val="superscript"/>
        </w:rPr>
      </w:pPr>
    </w:p>
    <w:p w14:paraId="2BB3EDD2" w14:textId="2C557252" w:rsidR="00BF57F8" w:rsidRDefault="00CA124D" w:rsidP="00BF57F8">
      <w:pPr>
        <w:pStyle w:val="Heading2"/>
      </w:pPr>
      <w:bookmarkStart w:id="4" w:name="_Toc219231589"/>
      <w:r>
        <w:lastRenderedPageBreak/>
        <w:t>Screening and Scoping Options</w:t>
      </w:r>
      <w:bookmarkEnd w:id="4"/>
    </w:p>
    <w:p w14:paraId="24807E05" w14:textId="48FEDED9" w:rsidR="00B7074A" w:rsidRDefault="0084433E" w:rsidP="0084433E">
      <w:r>
        <w:t>Screening is a formal proce</w:t>
      </w:r>
      <w:r w:rsidR="002F5A43">
        <w:t>dure</w:t>
      </w:r>
      <w:r>
        <w:t xml:space="preserve"> </w:t>
      </w:r>
      <w:r w:rsidR="002F5A43">
        <w:t>used</w:t>
      </w:r>
      <w:r>
        <w:t xml:space="preserve"> to determine whether </w:t>
      </w:r>
      <w:r w:rsidR="002F5A43">
        <w:t xml:space="preserve">there </w:t>
      </w:r>
      <w:r>
        <w:t>a</w:t>
      </w:r>
      <w:r w:rsidR="002F5A43">
        <w:t>re</w:t>
      </w:r>
      <w:r>
        <w:t xml:space="preserve"> p</w:t>
      </w:r>
      <w:r w:rsidR="0024738A">
        <w:t xml:space="preserve">otential environmental implications from a proposed </w:t>
      </w:r>
      <w:r>
        <w:t xml:space="preserve">development </w:t>
      </w:r>
      <w:r w:rsidR="00497003">
        <w:t xml:space="preserve">and, therefore, an Environmental Impact Assessment would be necessary. </w:t>
      </w:r>
      <w:r>
        <w:t>Under the Town and Country Planning (</w:t>
      </w:r>
      <w:r w:rsidR="0068238E">
        <w:t xml:space="preserve">Environmental Impact Assessment) (Wales) Regulations 2017, Schedule 2 developments are </w:t>
      </w:r>
      <w:r w:rsidR="009D4947">
        <w:t xml:space="preserve">screened depending on their size, location and potential environmental sensitivity. </w:t>
      </w:r>
      <w:r w:rsidR="002541F0">
        <w:t xml:space="preserve">The </w:t>
      </w:r>
      <w:r w:rsidR="0068238E">
        <w:t xml:space="preserve">purpose of screening is to ensure that EIA is applied proportionately, while still </w:t>
      </w:r>
      <w:r w:rsidR="00407165">
        <w:t>maintaining</w:t>
      </w:r>
      <w:r w:rsidR="0068238E">
        <w:t xml:space="preserve"> a precautionary approach </w:t>
      </w:r>
      <w:r w:rsidR="009B3373">
        <w:t>even in situations of uncertainty</w:t>
      </w:r>
      <w:r w:rsidR="00FA3410">
        <w:t xml:space="preserve"> </w:t>
      </w:r>
      <w:sdt>
        <w:sdtPr>
          <w:rPr>
            <w:rFonts w:ascii="Aptos" w:hAnsi="Aptos"/>
            <w:color w:val="000000"/>
          </w:rPr>
          <w:tag w:val="MENDELEY_CITATION_v3_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"/>
          <w:id w:val="-1909681462"/>
          <w:placeholder>
            <w:docPart w:val="DefaultPlaceholder_-1854013440"/>
          </w:placeholder>
        </w:sdtPr>
        <w:sdtContent>
          <w:r w:rsidR="006E16D3" w:rsidRPr="006E16D3">
            <w:rPr>
              <w:rFonts w:ascii="Aptos" w:hAnsi="Aptos"/>
              <w:color w:val="000000"/>
            </w:rPr>
            <w:t>(Dartford Borough Council, 2026)</w:t>
          </w:r>
        </w:sdtContent>
      </w:sdt>
      <w:r w:rsidR="0068238E">
        <w:t>.</w:t>
      </w:r>
    </w:p>
    <w:p w14:paraId="514C6565" w14:textId="65461FE3" w:rsidR="0068238E" w:rsidRDefault="00364742" w:rsidP="0084433E">
      <w:r>
        <w:t xml:space="preserve">In this case, the screening opinion </w:t>
      </w:r>
      <w:r w:rsidR="009B3373">
        <w:t>produced</w:t>
      </w:r>
      <w:r>
        <w:t xml:space="preserve"> by Neath Port Talbot County Council </w:t>
      </w:r>
      <w:r w:rsidR="000A19C4">
        <w:t>determined</w:t>
      </w:r>
      <w:r>
        <w:t xml:space="preserve"> that the Parc Pelenna development did require the preparation of an Environmental Statement. This </w:t>
      </w:r>
      <w:r w:rsidR="000A19C4">
        <w:t>view has been reached because of</w:t>
      </w:r>
      <w:r>
        <w:t xml:space="preserve"> the scale of the proposal, its location and the potential for significant </w:t>
      </w:r>
      <w:r w:rsidR="00881DA9">
        <w:t>environmental impacts</w:t>
      </w:r>
      <w:r w:rsidR="00F0178E">
        <w:t xml:space="preserve"> </w:t>
      </w:r>
      <w:sdt>
        <w:sdtPr>
          <w:rPr>
            <w:rFonts w:ascii="Aptos" w:hAnsi="Aptos"/>
            <w:color w:val="000000"/>
          </w:rPr>
          <w:tag w:val="MENDELEY_CITATION_v3_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"/>
          <w:id w:val="-1105954570"/>
          <w:placeholder>
            <w:docPart w:val="DefaultPlaceholder_-1854013440"/>
          </w:placeholder>
        </w:sdtPr>
        <w:sdtContent>
          <w:r w:rsidR="006E16D3" w:rsidRPr="006E16D3">
            <w:rPr>
              <w:rFonts w:ascii="Aptos" w:hAnsi="Aptos"/>
              <w:color w:val="000000"/>
            </w:rPr>
            <w:t>(Neath Port Talbot County Council, 2024)</w:t>
          </w:r>
        </w:sdtContent>
      </w:sdt>
      <w:r>
        <w:t xml:space="preserve">. The screening opinion also identified the importance of cumulative effects, which </w:t>
      </w:r>
      <w:r w:rsidR="00DD476A">
        <w:t>indicates that the council is adopting a cautious stance.</w:t>
      </w:r>
    </w:p>
    <w:p w14:paraId="5FD5E474" w14:textId="21AEEBE5" w:rsidR="00770857" w:rsidRDefault="00DD476A" w:rsidP="0084433E">
      <w:r>
        <w:t>After</w:t>
      </w:r>
      <w:r w:rsidR="00770857">
        <w:t xml:space="preserve"> the screening decision, a scoping proce</w:t>
      </w:r>
      <w:r>
        <w:t xml:space="preserve">dure </w:t>
      </w:r>
      <w:r w:rsidR="00770857">
        <w:t xml:space="preserve">was </w:t>
      </w:r>
      <w:r>
        <w:t>carried out</w:t>
      </w:r>
      <w:r w:rsidR="00770857">
        <w:t xml:space="preserve"> to determine which environmental topics should be included within the Environmental Statement. The Scoping Statement </w:t>
      </w:r>
      <w:r w:rsidR="002D72E5">
        <w:t>contains</w:t>
      </w:r>
      <w:r w:rsidR="00770857">
        <w:t xml:space="preserve"> a table </w:t>
      </w:r>
      <w:r w:rsidR="00531A41">
        <w:t>which states the</w:t>
      </w:r>
      <w:r w:rsidR="00770857">
        <w:t xml:space="preserve"> disciplines that were scoped out of further assessment. Arboriculture concluded that losses to certain Category A trees could be </w:t>
      </w:r>
      <w:r w:rsidR="00E374A3">
        <w:t>offset</w:t>
      </w:r>
      <w:r w:rsidR="00770857">
        <w:t xml:space="preserve"> through mitigation and replacement planting. Other disciplines scoped out included traffic and transport, air quality, noise and vibration</w:t>
      </w:r>
      <w:r w:rsidR="00375FB4">
        <w:t>, health and safety, historic environment and geoenvironmental considerations</w:t>
      </w:r>
      <w:r w:rsidR="001823D5">
        <w:t xml:space="preserve"> </w:t>
      </w:r>
      <w:sdt>
        <w:sdtPr>
          <w:rPr>
            <w:rFonts w:ascii="Aptos" w:hAnsi="Aptos"/>
            <w:color w:val="000000"/>
          </w:rPr>
          <w:tag w:val="MENDELEY_CITATION_v3_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"/>
          <w:id w:val="-71130179"/>
          <w:placeholder>
            <w:docPart w:val="DefaultPlaceholder_-1854013440"/>
          </w:placeholder>
        </w:sdtPr>
        <w:sdtContent>
          <w:r w:rsidR="006E16D3" w:rsidRPr="006E16D3">
            <w:rPr>
              <w:rFonts w:ascii="Aptos" w:hAnsi="Aptos"/>
              <w:color w:val="000000"/>
            </w:rPr>
            <w:t>(The Urbanists, 2024)</w:t>
          </w:r>
        </w:sdtContent>
      </w:sdt>
      <w:r w:rsidR="00375FB4">
        <w:t>.</w:t>
      </w:r>
    </w:p>
    <w:p w14:paraId="46C303FE" w14:textId="6C1F1897" w:rsidR="00375FB4" w:rsidRDefault="00375FB4" w:rsidP="0084433E">
      <w:r>
        <w:t xml:space="preserve">While scoping out topics can be justified where </w:t>
      </w:r>
      <w:r w:rsidR="004006E8">
        <w:t>clear evidence</w:t>
      </w:r>
      <w:r w:rsidR="0040635F">
        <w:t xml:space="preserve"> indicates the likelihood of significant effects to be low</w:t>
      </w:r>
      <w:r w:rsidR="00233087">
        <w:t xml:space="preserve">, this </w:t>
      </w:r>
      <w:r w:rsidR="00EA5A47">
        <w:t>method</w:t>
      </w:r>
      <w:r w:rsidR="00233087">
        <w:t xml:space="preserve"> relies heavily on the assumption that proposed mitigation measures </w:t>
      </w:r>
      <w:r w:rsidR="00EA5A47">
        <w:t>are likely to be</w:t>
      </w:r>
      <w:r w:rsidR="00233087">
        <w:t xml:space="preserve"> effective. </w:t>
      </w:r>
      <w:r w:rsidR="00721C0D">
        <w:t>Despite s</w:t>
      </w:r>
      <w:r w:rsidR="00233087">
        <w:t xml:space="preserve">coping out multiple disciplines may reduce </w:t>
      </w:r>
      <w:r w:rsidR="00EB11EB">
        <w:t xml:space="preserve">the time it takes to conduct the </w:t>
      </w:r>
      <w:r w:rsidR="00B7212B">
        <w:t>assessment;</w:t>
      </w:r>
      <w:r w:rsidR="00EB11EB">
        <w:t xml:space="preserve"> </w:t>
      </w:r>
      <w:r w:rsidR="00233087">
        <w:t xml:space="preserve">it risks limiting transparency and underestimating </w:t>
      </w:r>
      <w:r w:rsidR="00BA6928">
        <w:t xml:space="preserve">environmental effects, </w:t>
      </w:r>
      <w:r w:rsidR="00233087">
        <w:t xml:space="preserve">particularly in </w:t>
      </w:r>
      <w:r w:rsidR="00B7212B">
        <w:t>the rural environment where the development is proposed to take place.</w:t>
      </w:r>
      <w:r w:rsidR="00B71ACD">
        <w:t xml:space="preserve"> Best practice guidance </w:t>
      </w:r>
      <w:r w:rsidR="00470802">
        <w:t>states</w:t>
      </w:r>
      <w:r w:rsidR="00B71ACD">
        <w:t xml:space="preserve"> that scoping decisions should be clearly justified, especially where impacts are dismissed on the basis of mitigation</w:t>
      </w:r>
      <w:r w:rsidR="00D83719">
        <w:t xml:space="preserve"> measures</w:t>
      </w:r>
      <w:r w:rsidR="00B71ACD">
        <w:t xml:space="preserve"> that </w:t>
      </w:r>
      <w:r w:rsidR="00470802">
        <w:t>are</w:t>
      </w:r>
      <w:r w:rsidR="00B71ACD">
        <w:t xml:space="preserve"> yet to </w:t>
      </w:r>
      <w:r w:rsidR="00D83719">
        <w:t>take place</w:t>
      </w:r>
      <w:r w:rsidR="00B71ACD">
        <w:t>.</w:t>
      </w:r>
    </w:p>
    <w:p w14:paraId="1C512E0E" w14:textId="44D214F6" w:rsidR="00B71ACD" w:rsidRPr="002102E8" w:rsidRDefault="00D34831" w:rsidP="0084433E">
      <w:r>
        <w:t xml:space="preserve">Overall, the screening decision appears robust and defensible, demonstrating </w:t>
      </w:r>
      <w:r w:rsidR="00D45737">
        <w:t>good</w:t>
      </w:r>
      <w:r>
        <w:t xml:space="preserve"> professional judgement by the local planning authority. However, the scoping approach </w:t>
      </w:r>
      <w:r w:rsidR="004A5D8D">
        <w:t>has</w:t>
      </w:r>
      <w:r>
        <w:t xml:space="preserve"> </w:t>
      </w:r>
      <w:r w:rsidR="004A5D8D">
        <w:t>quite a narrow focus</w:t>
      </w:r>
      <w:r>
        <w:t xml:space="preserve">, with several environmental topics excluded at an early stage. While these exclusions </w:t>
      </w:r>
      <w:r w:rsidR="00B91D0D">
        <w:t>individually may seem valid</w:t>
      </w:r>
      <w:r>
        <w:t>, their exclusion</w:t>
      </w:r>
      <w:r w:rsidR="00C90984">
        <w:t xml:space="preserve"> of all of them</w:t>
      </w:r>
      <w:r>
        <w:t xml:space="preserve"> </w:t>
      </w:r>
      <w:r w:rsidR="00A358E5">
        <w:t>merits scrutiny</w:t>
      </w:r>
      <w:r>
        <w:t xml:space="preserve"> to ensure that the Environmental Statement remains comprehensive </w:t>
      </w:r>
      <w:r w:rsidR="0049158D">
        <w:t xml:space="preserve">enough </w:t>
      </w:r>
      <w:r>
        <w:t>to support informed decision-making.</w:t>
      </w:r>
    </w:p>
    <w:p w14:paraId="4B9151C1" w14:textId="327804F8" w:rsidR="00B7074A" w:rsidRDefault="00E95B50" w:rsidP="00B7074A">
      <w:pPr>
        <w:pStyle w:val="Heading2"/>
      </w:pPr>
      <w:bookmarkStart w:id="5" w:name="_Toc219231590"/>
      <w:r>
        <w:lastRenderedPageBreak/>
        <w:t>Alternatives Discussed</w:t>
      </w:r>
      <w:bookmarkEnd w:id="5"/>
    </w:p>
    <w:p w14:paraId="07157EB4" w14:textId="6673ACC3" w:rsidR="00B8173A" w:rsidRPr="00B8173A" w:rsidRDefault="004B5AD1" w:rsidP="00B8173A">
      <w:r>
        <w:t>In Volume 1, Chapter 5 of the Environmental Statement</w:t>
      </w:r>
      <w:r w:rsidR="004618B8">
        <w:t>,</w:t>
      </w:r>
      <w:r>
        <w:t xml:space="preserve"> the</w:t>
      </w:r>
      <w:r w:rsidR="005B5A9F">
        <w:t xml:space="preserve"> assessment of</w:t>
      </w:r>
      <w:r>
        <w:t xml:space="preserve"> alternatives </w:t>
      </w:r>
      <w:r w:rsidR="005B5A9F">
        <w:t>is presented</w:t>
      </w:r>
      <w:r w:rsidR="00A23799">
        <w:t xml:space="preserve">. </w:t>
      </w:r>
      <w:r w:rsidR="005B5A9F">
        <w:t xml:space="preserve">While the chapter is detailed, it primarily focuses on justifying the chosen site and development scale rather than exploring a genuine range of reasonable alternatives. The </w:t>
      </w:r>
      <w:r w:rsidR="000E7582">
        <w:t>assessment relies heavily on the site’s planning history, land ownership and commercial viability to explain why the proposed location was selected, with no</w:t>
      </w:r>
      <w:r w:rsidR="005D70D5">
        <w:t xml:space="preserve">t much </w:t>
      </w:r>
      <w:r w:rsidR="000E7582">
        <w:t>consideration of alternative sites</w:t>
      </w:r>
      <w:r w:rsidR="005F2324">
        <w:t xml:space="preserve"> </w:t>
      </w:r>
      <w:sdt>
        <w:sdtPr>
          <w:rPr>
            <w:rFonts w:ascii="Aptos" w:hAnsi="Aptos"/>
            <w:color w:val="000000"/>
          </w:rPr>
          <w:tag w:val="MENDELEY_CITATION_v3_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"/>
          <w:id w:val="-534347372"/>
          <w:placeholder>
            <w:docPart w:val="DefaultPlaceholder_-1854013440"/>
          </w:placeholder>
        </w:sdtPr>
        <w:sdtContent>
          <w:r w:rsidR="006E16D3" w:rsidRPr="006E16D3">
            <w:rPr>
              <w:rFonts w:ascii="Aptos" w:hAnsi="Aptos"/>
              <w:color w:val="000000"/>
            </w:rPr>
            <w:t>(</w:t>
          </w:r>
          <w:proofErr w:type="spellStart"/>
          <w:r w:rsidR="006E16D3" w:rsidRPr="006E16D3">
            <w:rPr>
              <w:rFonts w:ascii="Aptos" w:hAnsi="Aptos"/>
              <w:color w:val="000000"/>
            </w:rPr>
            <w:t>Trivselhus</w:t>
          </w:r>
          <w:proofErr w:type="spellEnd"/>
          <w:r w:rsidR="006E16D3" w:rsidRPr="006E16D3">
            <w:rPr>
              <w:rFonts w:ascii="Aptos" w:hAnsi="Aptos"/>
              <w:color w:val="000000"/>
            </w:rPr>
            <w:t xml:space="preserve"> UK, 2024)</w:t>
          </w:r>
        </w:sdtContent>
      </w:sdt>
      <w:r w:rsidR="000E7582">
        <w:t>.</w:t>
      </w:r>
      <w:r w:rsidR="00782F96">
        <w:t xml:space="preserve"> </w:t>
      </w:r>
      <w:r w:rsidR="000E7582">
        <w:t xml:space="preserve">As a result, </w:t>
      </w:r>
      <w:r w:rsidR="00782F96">
        <w:t xml:space="preserve">the alternatives assessment </w:t>
      </w:r>
      <w:r w:rsidR="00E91602">
        <w:t xml:space="preserve">is </w:t>
      </w:r>
      <w:r w:rsidR="00782F96">
        <w:t xml:space="preserve">more </w:t>
      </w:r>
      <w:r w:rsidR="00E91602">
        <w:t>of a</w:t>
      </w:r>
      <w:r w:rsidR="00782F96">
        <w:t xml:space="preserve"> justification of the preferred option than as a</w:t>
      </w:r>
      <w:r w:rsidR="000665E9">
        <w:t>n</w:t>
      </w:r>
      <w:r w:rsidR="00782F96">
        <w:t xml:space="preserve"> evaluation of different development scenarios, including a ‘do-nothing’ or reduced-scale </w:t>
      </w:r>
      <w:r w:rsidR="004A1C2F">
        <w:t>alternative, as encouraged by EIA best practice.</w:t>
      </w:r>
    </w:p>
    <w:p w14:paraId="6392D240" w14:textId="38584D49" w:rsidR="00D12DAD" w:rsidRDefault="00D12DAD" w:rsidP="00D12DAD">
      <w:pPr>
        <w:pStyle w:val="Heading2"/>
      </w:pPr>
      <w:bookmarkStart w:id="6" w:name="_Toc219231591"/>
      <w:r>
        <w:t>Public Engagement</w:t>
      </w:r>
      <w:bookmarkEnd w:id="6"/>
    </w:p>
    <w:p w14:paraId="624B6A1D" w14:textId="795EEC84" w:rsidR="00796C51" w:rsidRDefault="00796C51" w:rsidP="00796C51">
      <w:r>
        <w:t xml:space="preserve">Public engagement is fundamental </w:t>
      </w:r>
      <w:r w:rsidR="00231758">
        <w:t>to</w:t>
      </w:r>
      <w:r>
        <w:t xml:space="preserve"> the EIA process, </w:t>
      </w:r>
      <w:r w:rsidR="00DF129B">
        <w:t>with its main purpose the</w:t>
      </w:r>
      <w:r>
        <w:t xml:space="preserve"> inclusion</w:t>
      </w:r>
      <w:r w:rsidR="00D966F0">
        <w:t xml:space="preserve"> of </w:t>
      </w:r>
      <w:r w:rsidR="00DF129B">
        <w:t>public knowledge</w:t>
      </w:r>
      <w:r w:rsidR="00D966F0">
        <w:t xml:space="preserve"> in environmental decision-making. </w:t>
      </w:r>
      <w:r w:rsidR="00D721DA">
        <w:t xml:space="preserve">Effective consultation should provide opportunities for the public to comment on proposals </w:t>
      </w:r>
      <w:r w:rsidR="00DF129B">
        <w:t>and</w:t>
      </w:r>
      <w:r w:rsidR="00D721DA">
        <w:t xml:space="preserve"> also demonstrate how those comments have informed the development of the scheme. Best practice guidance emphasises that engagement should be meaningful, iterative and capable of influencing outcomes</w:t>
      </w:r>
      <w:r w:rsidR="00A72692">
        <w:t xml:space="preserve"> </w:t>
      </w:r>
      <w:sdt>
        <w:sdtPr>
          <w:rPr>
            <w:rFonts w:ascii="Aptos" w:hAnsi="Aptos"/>
            <w:color w:val="000000"/>
          </w:rPr>
          <w:tag w:val="MENDELEY_CITATION_v3_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"/>
          <w:id w:val="-1256132348"/>
          <w:placeholder>
            <w:docPart w:val="DefaultPlaceholder_-1854013440"/>
          </w:placeholder>
        </w:sdtPr>
        <w:sdtContent>
          <w:r w:rsidR="006E16D3" w:rsidRPr="006E16D3">
            <w:rPr>
              <w:rFonts w:ascii="Aptos" w:hAnsi="Aptos"/>
              <w:color w:val="000000"/>
            </w:rPr>
            <w:t>(</w:t>
          </w:r>
          <w:proofErr w:type="spellStart"/>
          <w:r w:rsidR="006E16D3" w:rsidRPr="006E16D3">
            <w:rPr>
              <w:rFonts w:ascii="Aptos" w:hAnsi="Aptos"/>
              <w:color w:val="000000"/>
            </w:rPr>
            <w:t>Glucker</w:t>
          </w:r>
          <w:proofErr w:type="spellEnd"/>
          <w:r w:rsidR="006E16D3" w:rsidRPr="006E16D3">
            <w:rPr>
              <w:rFonts w:ascii="Aptos" w:hAnsi="Aptos"/>
              <w:color w:val="000000"/>
            </w:rPr>
            <w:t xml:space="preserve"> et al., 2013)</w:t>
          </w:r>
        </w:sdtContent>
      </w:sdt>
      <w:r w:rsidR="006D3575">
        <w:t>.</w:t>
      </w:r>
      <w:r w:rsidR="00D721DA">
        <w:t xml:space="preserve"> </w:t>
      </w:r>
    </w:p>
    <w:p w14:paraId="09FB6BE1" w14:textId="6E049D11" w:rsidR="006B599D" w:rsidRDefault="006B599D" w:rsidP="00796C51">
      <w:r>
        <w:t>For the Parc Pelenna development, pub</w:t>
      </w:r>
      <w:r w:rsidR="002B7330">
        <w:t>l</w:t>
      </w:r>
      <w:r>
        <w:t xml:space="preserve">ic engagement was </w:t>
      </w:r>
      <w:r w:rsidR="003F4F1D">
        <w:t>done</w:t>
      </w:r>
      <w:r>
        <w:t xml:space="preserve"> through a Pre-Application Consultation (PAC) process, with the outcomes reported in the PAC report. The report summarises responses received from members of the public and statutory consultees, with key themes including concerns relating to traffic, landscape and visual impact, ecological effects and the scale of the proposed development. Responses are presented alongside a summary of the applicant’s replies, indicating how each issue has been addressed</w:t>
      </w:r>
      <w:r w:rsidR="002B613A">
        <w:t xml:space="preserve"> </w:t>
      </w:r>
      <w:sdt>
        <w:sdtPr>
          <w:rPr>
            <w:rFonts w:ascii="Aptos" w:hAnsi="Aptos"/>
            <w:color w:val="000000"/>
          </w:rPr>
          <w:tag w:val="MENDELEY_CITATION_v3_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"/>
          <w:id w:val="-1499881861"/>
          <w:placeholder>
            <w:docPart w:val="DefaultPlaceholder_-1854013440"/>
          </w:placeholder>
        </w:sdtPr>
        <w:sdtContent>
          <w:r w:rsidR="006E16D3" w:rsidRPr="006E16D3">
            <w:rPr>
              <w:rFonts w:ascii="Aptos" w:hAnsi="Aptos"/>
              <w:color w:val="000000"/>
            </w:rPr>
            <w:t>(</w:t>
          </w:r>
          <w:proofErr w:type="spellStart"/>
          <w:r w:rsidR="006E16D3" w:rsidRPr="006E16D3">
            <w:rPr>
              <w:rFonts w:ascii="Aptos" w:hAnsi="Aptos"/>
              <w:color w:val="000000"/>
            </w:rPr>
            <w:t>Trisvelus</w:t>
          </w:r>
          <w:proofErr w:type="spellEnd"/>
          <w:r w:rsidR="006E16D3" w:rsidRPr="006E16D3">
            <w:rPr>
              <w:rFonts w:ascii="Aptos" w:hAnsi="Aptos"/>
              <w:color w:val="000000"/>
            </w:rPr>
            <w:t xml:space="preserve"> UK, 2024)</w:t>
          </w:r>
        </w:sdtContent>
      </w:sdt>
      <w:r>
        <w:t xml:space="preserve">. </w:t>
      </w:r>
    </w:p>
    <w:p w14:paraId="7E4DE651" w14:textId="1EC18A29" w:rsidR="003F598D" w:rsidRDefault="002B7330" w:rsidP="00796C51">
      <w:r>
        <w:t xml:space="preserve">However, while the PAC process fulfils the </w:t>
      </w:r>
      <w:r w:rsidR="00983A04">
        <w:t>minimum requirements for consultation</w:t>
      </w:r>
      <w:r>
        <w:t xml:space="preserve">, </w:t>
      </w:r>
      <w:r w:rsidR="00983A04">
        <w:t>it’s</w:t>
      </w:r>
      <w:r>
        <w:t xml:space="preserve"> </w:t>
      </w:r>
      <w:r w:rsidR="00983A04">
        <w:t>not very effective.</w:t>
      </w:r>
      <w:r>
        <w:t xml:space="preserve"> The public responses are </w:t>
      </w:r>
      <w:r w:rsidR="00F25C0D">
        <w:t>highly summarised</w:t>
      </w:r>
      <w:r>
        <w:t xml:space="preserve">, with limited detail on the nature of </w:t>
      </w:r>
      <w:r w:rsidR="00212939">
        <w:t xml:space="preserve">the </w:t>
      </w:r>
      <w:r>
        <w:t xml:space="preserve">objections raised. Furthermore, the consultation responses </w:t>
      </w:r>
      <w:r w:rsidR="00212939">
        <w:t xml:space="preserve">are </w:t>
      </w:r>
      <w:r>
        <w:t xml:space="preserve">from the applicant’s perspective, </w:t>
      </w:r>
      <w:r w:rsidR="00212939">
        <w:t>making the report seem biased</w:t>
      </w:r>
      <w:r>
        <w:t>. It is not always evident whether concerns resulted in changes to the design or assessment, or whether they were primarily addressed through reassurance and reference to future mitigation.</w:t>
      </w:r>
    </w:p>
    <w:p w14:paraId="71163F25" w14:textId="14584D6A" w:rsidR="002B7330" w:rsidRPr="00796C51" w:rsidRDefault="00664BD8" w:rsidP="00796C51">
      <w:r>
        <w:t xml:space="preserve">This approach risks reducing public engagement to a box-ticking exercise, where participation is documented but </w:t>
      </w:r>
      <w:r w:rsidR="00755CF0">
        <w:t xml:space="preserve">the influence is not </w:t>
      </w:r>
      <w:r w:rsidR="0014122E">
        <w:t>noted</w:t>
      </w:r>
      <w:r>
        <w:t>. Best practice</w:t>
      </w:r>
      <w:r w:rsidR="0014122E">
        <w:t xml:space="preserve"> guidance</w:t>
      </w:r>
      <w:r>
        <w:t xml:space="preserve"> would require </w:t>
      </w:r>
      <w:r w:rsidR="00F45517">
        <w:t>detailed public response. For example</w:t>
      </w:r>
      <w:r w:rsidR="00A07911">
        <w:t xml:space="preserve">, explicit links between public concern and design revisions. Overall, while the PAC process meets minimum regulatory requirements, it falls short of </w:t>
      </w:r>
      <w:r w:rsidR="00224306">
        <w:t xml:space="preserve">best practice in demonstrating public </w:t>
      </w:r>
      <w:r w:rsidR="00946E55">
        <w:t>response</w:t>
      </w:r>
      <w:r w:rsidR="00224306">
        <w:t>, which may undermine public trust and limit the contribution of consultation to inform</w:t>
      </w:r>
      <w:r w:rsidR="00E27B34">
        <w:t>ing development changes</w:t>
      </w:r>
      <w:r w:rsidR="00224306">
        <w:t>.</w:t>
      </w:r>
    </w:p>
    <w:p w14:paraId="50DE32C9" w14:textId="777A4AD7" w:rsidR="00D12DAD" w:rsidRDefault="0076738B" w:rsidP="0076738B">
      <w:pPr>
        <w:pStyle w:val="Heading2"/>
      </w:pPr>
      <w:bookmarkStart w:id="7" w:name="_Toc219231592"/>
      <w:r>
        <w:lastRenderedPageBreak/>
        <w:t xml:space="preserve">Compare to </w:t>
      </w:r>
      <w:r w:rsidR="008E68CF">
        <w:t>Penrhos Leisure Village</w:t>
      </w:r>
      <w:bookmarkEnd w:id="7"/>
    </w:p>
    <w:p w14:paraId="4B66BE68" w14:textId="60A4EE28" w:rsidR="003A4C05" w:rsidRDefault="00925490" w:rsidP="003A4C05">
      <w:r>
        <w:t>A comparison with the Penrhos Lei</w:t>
      </w:r>
      <w:r w:rsidR="005708FE">
        <w:t>s</w:t>
      </w:r>
      <w:r>
        <w:t xml:space="preserve">ure Village </w:t>
      </w:r>
      <w:r w:rsidR="005708FE">
        <w:t xml:space="preserve">EIA highlights several key differences in the quality of the EIA process. The Penrhos EIA, </w:t>
      </w:r>
      <w:r w:rsidR="00022DDE">
        <w:t xml:space="preserve">looking at </w:t>
      </w:r>
      <w:r w:rsidR="005708FE">
        <w:t>its Non-Technical Summary, demonstrates a more structured and comprehensive approach to screening, scoping</w:t>
      </w:r>
      <w:r w:rsidR="002400A1">
        <w:t>, alternatives assessment and public engagement.</w:t>
      </w:r>
    </w:p>
    <w:p w14:paraId="1572172C" w14:textId="0DF5C987" w:rsidR="002400A1" w:rsidRDefault="002C2365" w:rsidP="003A4C05">
      <w:r>
        <w:t xml:space="preserve">One of the most notable differences relates to the assessment of alternatives. In the Penrhos EIA, a dedicated section on “Alternatives and Design Evolution” clearly outlines the consideration of alternative sites, alternative design layouts and a ‘do-nothing’ scenario. These alternatives are discussed in relation to planning policy </w:t>
      </w:r>
      <w:r w:rsidR="0004526C">
        <w:t>restrictions</w:t>
      </w:r>
      <w:r>
        <w:t>, environment</w:t>
      </w:r>
      <w:r w:rsidR="00CC0805">
        <w:t xml:space="preserve">al </w:t>
      </w:r>
      <w:r w:rsidR="0004526C">
        <w:t>impacts</w:t>
      </w:r>
      <w:r w:rsidR="00CC0805">
        <w:t xml:space="preserve"> and soci</w:t>
      </w:r>
      <w:r w:rsidR="0004526C">
        <w:t>al</w:t>
      </w:r>
      <w:r w:rsidR="00CC0805">
        <w:t xml:space="preserve"> implications</w:t>
      </w:r>
      <w:r w:rsidR="00DD522C">
        <w:t xml:space="preserve"> </w:t>
      </w:r>
      <w:sdt>
        <w:sdtPr>
          <w:rPr>
            <w:rFonts w:ascii="Aptos" w:hAnsi="Aptos"/>
            <w:color w:val="000000"/>
          </w:rPr>
          <w:tag w:val="MENDELEY_CITATION_v3_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"/>
          <w:id w:val="1946725483"/>
          <w:placeholder>
            <w:docPart w:val="DefaultPlaceholder_-1854013440"/>
          </w:placeholder>
        </w:sdtPr>
        <w:sdtContent>
          <w:r w:rsidR="006E16D3" w:rsidRPr="006E16D3">
            <w:rPr>
              <w:rFonts w:ascii="Aptos" w:hAnsi="Aptos"/>
              <w:color w:val="000000"/>
            </w:rPr>
            <w:t>(HOW Planning LLP, 2012)</w:t>
          </w:r>
        </w:sdtContent>
      </w:sdt>
      <w:r w:rsidR="00CC0805">
        <w:t xml:space="preserve">. In contrast, the Parc Pelenna EIA places greater emphasis </w:t>
      </w:r>
      <w:r w:rsidR="00547546">
        <w:t xml:space="preserve">on justifying the preferred site and development concept, with limited evidence of a systematic comparison of alternatives. This suggests a more development-led approach, where alternatives </w:t>
      </w:r>
      <w:r w:rsidR="004C3EA0">
        <w:t>weren’t genuinely evaluated</w:t>
      </w:r>
      <w:r w:rsidR="00547546">
        <w:t>.</w:t>
      </w:r>
    </w:p>
    <w:p w14:paraId="623F883B" w14:textId="0087AF16" w:rsidR="00E9401F" w:rsidRDefault="004C3EA0" w:rsidP="003A4C05">
      <w:r>
        <w:t>There are also differences in the scoping process</w:t>
      </w:r>
      <w:r w:rsidR="000524DD">
        <w:t xml:space="preserve">. The Penrhos EIA provides clear documentation of the scoping stage, including early </w:t>
      </w:r>
      <w:r w:rsidR="002B6D9D">
        <w:t>consultation with the local planning authority and statutory consultees, and lists the environmental topics scoped into the assessment. The r</w:t>
      </w:r>
      <w:r w:rsidR="009F658C">
        <w:t>eason</w:t>
      </w:r>
      <w:r w:rsidR="002B6D9D">
        <w:t xml:space="preserve"> for including a broad range of disciplines, such as transport, air quality, cumulative impacts and sustainability, is clearly </w:t>
      </w:r>
      <w:r w:rsidR="009F658C">
        <w:t>stated</w:t>
      </w:r>
      <w:r w:rsidR="00BC3E3C">
        <w:t xml:space="preserve"> </w:t>
      </w:r>
      <w:sdt>
        <w:sdtPr>
          <w:rPr>
            <w:rFonts w:ascii="Aptos" w:hAnsi="Aptos"/>
            <w:color w:val="000000"/>
          </w:rPr>
          <w:tag w:val="MENDELEY_CITATION_v3_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"/>
          <w:id w:val="1616866178"/>
          <w:placeholder>
            <w:docPart w:val="DefaultPlaceholder_-1854013440"/>
          </w:placeholder>
        </w:sdtPr>
        <w:sdtContent>
          <w:r w:rsidR="006E16D3" w:rsidRPr="006E16D3">
            <w:rPr>
              <w:rFonts w:ascii="Aptos" w:hAnsi="Aptos"/>
              <w:color w:val="000000"/>
            </w:rPr>
            <w:t>(HOW Planning LLP, 2012)</w:t>
          </w:r>
        </w:sdtContent>
      </w:sdt>
      <w:r w:rsidR="002B6D9D">
        <w:t xml:space="preserve">. By comparison, the Parc Pelenna EIA scopes </w:t>
      </w:r>
      <w:r w:rsidR="00167A0F">
        <w:t xml:space="preserve">out several technical disciplines at an early stage, often on the basis of </w:t>
      </w:r>
      <w:r w:rsidR="002D6D33">
        <w:t xml:space="preserve">proposed </w:t>
      </w:r>
      <w:r w:rsidR="00167A0F">
        <w:t>mitigation.</w:t>
      </w:r>
    </w:p>
    <w:p w14:paraId="30068764" w14:textId="7DF9BA28" w:rsidR="00E9401F" w:rsidRDefault="00E9401F" w:rsidP="003A4C05">
      <w:r>
        <w:t xml:space="preserve">Public engagement also differs in both depth and clarity. The Penrhos Non-Technical Summary outlines how public </w:t>
      </w:r>
      <w:r w:rsidR="00C70B85">
        <w:t xml:space="preserve">and stakeholder consultation informed the evolution of the scheme, including changes to layout, scale and mitigation measures. </w:t>
      </w:r>
      <w:r w:rsidR="00F86D46">
        <w:t xml:space="preserve">This creates a clearer link between consultation </w:t>
      </w:r>
      <w:r w:rsidR="00C01EEF">
        <w:t xml:space="preserve">and decision-making. In the Parc Pelenna EIA, public engagement is primarily documented through the Pre-Application Consultation (PAC) report, where responses are summarised by the applicant and </w:t>
      </w:r>
      <w:r w:rsidR="00722C8D">
        <w:t>whether raised concerns produced any change is not clear</w:t>
      </w:r>
      <w:r w:rsidR="00C01EEF">
        <w:t>. As a result, the Parc Pelenna consultation process appears more procedural compare</w:t>
      </w:r>
      <w:r w:rsidR="00285E06">
        <w:t>d</w:t>
      </w:r>
      <w:r w:rsidR="00C01EEF">
        <w:t xml:space="preserve"> to the Penrhos approach.</w:t>
      </w:r>
    </w:p>
    <w:p w14:paraId="3A4EFA19" w14:textId="261B3432" w:rsidR="004D19B1" w:rsidRDefault="001B5945" w:rsidP="003A4C05">
      <w:r>
        <w:t xml:space="preserve">Overall, while both EIAs meet minimum requirements, the Penrhos Leisure Village EIA demonstrates a more structured application of EIA best practice. The Parc Pelenna EIA, by contrast, exhibits a more selective approach, particularly in relation to alternatives, scoping and public influence. </w:t>
      </w:r>
    </w:p>
    <w:p w14:paraId="3E0B000B" w14:textId="77777777" w:rsidR="00D2476A" w:rsidRDefault="00D2476A" w:rsidP="003A4C05"/>
    <w:p w14:paraId="6AFC9146" w14:textId="77777777" w:rsidR="00D2476A" w:rsidRDefault="00D2476A" w:rsidP="003A4C05"/>
    <w:p w14:paraId="77F7ABBA" w14:textId="77777777" w:rsidR="003A4C05" w:rsidRDefault="003A4C05" w:rsidP="003A4C05">
      <w:pPr>
        <w:pStyle w:val="Heading1"/>
      </w:pPr>
      <w:bookmarkStart w:id="8" w:name="_Toc219231593"/>
      <w:r>
        <w:lastRenderedPageBreak/>
        <w:t>Conclusion</w:t>
      </w:r>
      <w:bookmarkEnd w:id="8"/>
    </w:p>
    <w:p w14:paraId="7383F840" w14:textId="68543E2B" w:rsidR="003A4C05" w:rsidRDefault="00EC67F2" w:rsidP="003A4C05">
      <w:r>
        <w:t xml:space="preserve">This report has critically evaluated the Environmental Impact </w:t>
      </w:r>
      <w:r w:rsidR="00C92595">
        <w:t xml:space="preserve">Assessment process undertaken for the proposed Parc Pelenna development, </w:t>
      </w:r>
      <w:r w:rsidR="00D2476A">
        <w:t>us</w:t>
      </w:r>
      <w:r w:rsidR="00C92595">
        <w:t xml:space="preserve">ing the Lee and Colley review method as a structured framework for assessing effectiveness. The analysis focused </w:t>
      </w:r>
      <w:r w:rsidR="00C5472D">
        <w:t xml:space="preserve">on key stages of the EIA process, including the Non-Technical Summary, screening and scoping decisions, the consideration of alternatives, public engagement and comparison with the Penrhos Leisure Village EIA. </w:t>
      </w:r>
    </w:p>
    <w:p w14:paraId="4AA8C7A7" w14:textId="255592BD" w:rsidR="00C5472D" w:rsidRDefault="002469A9" w:rsidP="003A4C05">
      <w:r>
        <w:t>Key weakness</w:t>
      </w:r>
      <w:r w:rsidR="000469E3">
        <w:t>es</w:t>
      </w:r>
      <w:r>
        <w:t xml:space="preserve"> were identified in the scoping process, where multiple environmental topics were scoped out at an early stage, often on the basis of anticipated mitigation.</w:t>
      </w:r>
      <w:r w:rsidR="003813E8">
        <w:t xml:space="preserve"> </w:t>
      </w:r>
      <w:r w:rsidR="00904179">
        <w:t>Similarly, the Non-Technical Summary, although compliant with minimum requirements, lacks sufficient information to fully support public understanding of the scale of the proposed development.</w:t>
      </w:r>
    </w:p>
    <w:p w14:paraId="42B9150B" w14:textId="054D9EA7" w:rsidR="00904179" w:rsidRDefault="003B3111" w:rsidP="003A4C05">
      <w:r>
        <w:t xml:space="preserve">The assessment of alternatives represents a further limitation. Rather than presenting a genuine evaluation of reasonable alternatives, the EIA largely focuses on justifying the preferred option, with limited consideration of alternative sites or a meaningful ‘do-nothing’ scenario. </w:t>
      </w:r>
      <w:r w:rsidR="0038390B">
        <w:t>This contrasts with</w:t>
      </w:r>
      <w:r w:rsidR="00780AD3">
        <w:t xml:space="preserve"> best practice guidance and undermines the role of EIA in shaping development proposals at an early stage. Public engagement, as documented through the Pre-Application Consultation report</w:t>
      </w:r>
      <w:r w:rsidR="00E80E36">
        <w:t xml:space="preserve"> contains</w:t>
      </w:r>
      <w:r w:rsidR="00780AD3">
        <w:t xml:space="preserve"> limited evidence that public concerns affected assessment outcomes.</w:t>
      </w:r>
    </w:p>
    <w:p w14:paraId="30FBE3EC" w14:textId="47DB6194" w:rsidR="00780AD3" w:rsidRDefault="000542A2" w:rsidP="003A4C05">
      <w:r>
        <w:t xml:space="preserve">Comparison with the Penrhos Leisure Village EIA highlights the shortcomings more clearly. The Penrhos EIA demonstrates a more transparent and precautionary approach, particularly in relation to alternatives assessment, scoping </w:t>
      </w:r>
      <w:r w:rsidR="009D57FB">
        <w:t>decision</w:t>
      </w:r>
      <w:r>
        <w:t xml:space="preserve"> and integration of public consultation. This comparison reinforces the conclusion that, while the Parc Pelenna EIA is legally compliant, it is less effective in demonstrating best practice and supporting informed decision-making</w:t>
      </w:r>
      <w:r w:rsidR="00EE06C0">
        <w:t xml:space="preserve"> than the Penrhos EIA</w:t>
      </w:r>
      <w:r>
        <w:t>.</w:t>
      </w:r>
    </w:p>
    <w:p w14:paraId="10E80913" w14:textId="2B94FE6F" w:rsidR="0077543A" w:rsidRDefault="000004B6" w:rsidP="003A4C05">
      <w:r>
        <w:t>In conclusion, the Parc Pelenna EIA provides sufficient information to meet regulatory requirements but exhibits weaknesses in transparency, precaution and public influence. As a result, its overall contribution to environmentally informed decision-making is limited when compared to recognised examples of good practice. Streng</w:t>
      </w:r>
      <w:r w:rsidR="00DA2B8D">
        <w:t xml:space="preserve">thening the assessment of alternatives, adopting a more </w:t>
      </w:r>
      <w:r w:rsidR="002F6D5D">
        <w:t>cautious</w:t>
      </w:r>
      <w:r w:rsidR="00DA2B8D">
        <w:t xml:space="preserve"> scoping approach and </w:t>
      </w:r>
      <w:r w:rsidR="00602280">
        <w:t>demonstrating more clearly</w:t>
      </w:r>
      <w:r w:rsidR="00DA2B8D">
        <w:t xml:space="preserve"> the influence of public engagement </w:t>
      </w:r>
      <w:r w:rsidR="00AF64AE">
        <w:t>would significantly improve the credibility of the EIA process.</w:t>
      </w:r>
    </w:p>
    <w:p w14:paraId="7B4F9AF4" w14:textId="77777777" w:rsidR="00E50031" w:rsidRDefault="00E50031" w:rsidP="003A4C05"/>
    <w:p w14:paraId="50BE0CE0" w14:textId="77777777" w:rsidR="00E50031" w:rsidRDefault="00E50031" w:rsidP="003A4C05"/>
    <w:p w14:paraId="693C7128" w14:textId="77777777" w:rsidR="00E80E36" w:rsidRDefault="00E80E36" w:rsidP="003A4C05"/>
    <w:p w14:paraId="2E6460C1" w14:textId="77777777" w:rsidR="003A4C05" w:rsidRDefault="003A4C05" w:rsidP="003A4C05">
      <w:pPr>
        <w:pStyle w:val="Heading1"/>
      </w:pPr>
      <w:bookmarkStart w:id="9" w:name="_Toc219231594"/>
      <w:r>
        <w:lastRenderedPageBreak/>
        <w:t>Reference List</w:t>
      </w:r>
      <w:bookmarkEnd w:id="9"/>
    </w:p>
    <w:sdt>
      <w:sdtPr>
        <w:rPr>
          <w:rFonts w:ascii="Aptos" w:hAnsi="Aptos"/>
          <w:color w:val="000000"/>
        </w:rPr>
        <w:tag w:val="MENDELEY_BIBLIOGRAPHY"/>
        <w:id w:val="1864789504"/>
        <w:placeholder>
          <w:docPart w:val="DefaultPlaceholder_-1854013440"/>
        </w:placeholder>
      </w:sdtPr>
      <w:sdtContent>
        <w:p w14:paraId="2A018F33" w14:textId="77777777" w:rsidR="008E3E1C" w:rsidRPr="008E3E1C" w:rsidRDefault="008E3E1C">
          <w:pPr>
            <w:autoSpaceDE w:val="0"/>
            <w:autoSpaceDN w:val="0"/>
            <w:ind w:hanging="480"/>
            <w:divId w:val="288359703"/>
            <w:rPr>
              <w:rFonts w:ascii="Aptos" w:eastAsia="Times New Roman" w:hAnsi="Aptos"/>
              <w:color w:val="000000"/>
              <w:kern w:val="0"/>
              <w14:ligatures w14:val="none"/>
            </w:rPr>
          </w:pPr>
          <w:r w:rsidRPr="008E3E1C">
            <w:rPr>
              <w:rFonts w:ascii="Aptos" w:eastAsia="Times New Roman" w:hAnsi="Aptos"/>
              <w:color w:val="000000"/>
            </w:rPr>
            <w:t xml:space="preserve">Dartford Borough Council. (2026). </w:t>
          </w:r>
          <w:r w:rsidRPr="008E3E1C">
            <w:rPr>
              <w:rFonts w:ascii="Aptos" w:eastAsia="Times New Roman" w:hAnsi="Aptos"/>
              <w:i/>
              <w:iCs/>
              <w:color w:val="000000"/>
            </w:rPr>
            <w:t>What is a Screening Opinion?</w:t>
          </w:r>
          <w:r w:rsidRPr="008E3E1C">
            <w:rPr>
              <w:rFonts w:ascii="Aptos" w:eastAsia="Times New Roman" w:hAnsi="Aptos"/>
              <w:color w:val="000000"/>
            </w:rPr>
            <w:t xml:space="preserve"> https://www.dartford.gov.uk/planning-3/screening-opinion/1</w:t>
          </w:r>
        </w:p>
        <w:p w14:paraId="18DF580B" w14:textId="77777777" w:rsidR="008E3E1C" w:rsidRPr="008E3E1C" w:rsidRDefault="008E3E1C">
          <w:pPr>
            <w:autoSpaceDE w:val="0"/>
            <w:autoSpaceDN w:val="0"/>
            <w:ind w:hanging="480"/>
            <w:divId w:val="1396734322"/>
            <w:rPr>
              <w:rFonts w:ascii="Aptos" w:eastAsia="Times New Roman" w:hAnsi="Aptos"/>
              <w:color w:val="000000"/>
            </w:rPr>
          </w:pPr>
          <w:proofErr w:type="spellStart"/>
          <w:r w:rsidRPr="008E3E1C">
            <w:rPr>
              <w:rFonts w:ascii="Aptos" w:eastAsia="Times New Roman" w:hAnsi="Aptos"/>
              <w:color w:val="000000"/>
            </w:rPr>
            <w:t>Glucker</w:t>
          </w:r>
          <w:proofErr w:type="spellEnd"/>
          <w:r w:rsidRPr="008E3E1C">
            <w:rPr>
              <w:rFonts w:ascii="Aptos" w:eastAsia="Times New Roman" w:hAnsi="Aptos"/>
              <w:color w:val="000000"/>
            </w:rPr>
            <w:t xml:space="preserve">, A. N., Driessen, P. P. J., Kolhoff, A., &amp; </w:t>
          </w:r>
          <w:proofErr w:type="spellStart"/>
          <w:r w:rsidRPr="008E3E1C">
            <w:rPr>
              <w:rFonts w:ascii="Aptos" w:eastAsia="Times New Roman" w:hAnsi="Aptos"/>
              <w:color w:val="000000"/>
            </w:rPr>
            <w:t>Runhaar</w:t>
          </w:r>
          <w:proofErr w:type="spellEnd"/>
          <w:r w:rsidRPr="008E3E1C">
            <w:rPr>
              <w:rFonts w:ascii="Aptos" w:eastAsia="Times New Roman" w:hAnsi="Aptos"/>
              <w:color w:val="000000"/>
            </w:rPr>
            <w:t xml:space="preserve">, H. A. C. (2013). Public participation in environmental impact assessment: why, who and how? </w:t>
          </w:r>
          <w:r w:rsidRPr="008E3E1C">
            <w:rPr>
              <w:rFonts w:ascii="Aptos" w:eastAsia="Times New Roman" w:hAnsi="Aptos"/>
              <w:i/>
              <w:iCs/>
              <w:color w:val="000000"/>
            </w:rPr>
            <w:t>Environmental Impact Assessment Review</w:t>
          </w:r>
          <w:r w:rsidRPr="008E3E1C">
            <w:rPr>
              <w:rFonts w:ascii="Aptos" w:eastAsia="Times New Roman" w:hAnsi="Aptos"/>
              <w:color w:val="000000"/>
            </w:rPr>
            <w:t xml:space="preserve">, </w:t>
          </w:r>
          <w:r w:rsidRPr="008E3E1C">
            <w:rPr>
              <w:rFonts w:ascii="Aptos" w:eastAsia="Times New Roman" w:hAnsi="Aptos"/>
              <w:i/>
              <w:iCs/>
              <w:color w:val="000000"/>
            </w:rPr>
            <w:t>43</w:t>
          </w:r>
          <w:r w:rsidRPr="008E3E1C">
            <w:rPr>
              <w:rFonts w:ascii="Aptos" w:eastAsia="Times New Roman" w:hAnsi="Aptos"/>
              <w:color w:val="000000"/>
            </w:rPr>
            <w:t>, 104. https://doi.org/10.1016/J.EIAR.2013.06.003</w:t>
          </w:r>
        </w:p>
        <w:p w14:paraId="4B416088" w14:textId="77777777" w:rsidR="008E3E1C" w:rsidRPr="008E3E1C" w:rsidRDefault="008E3E1C">
          <w:pPr>
            <w:autoSpaceDE w:val="0"/>
            <w:autoSpaceDN w:val="0"/>
            <w:ind w:hanging="480"/>
            <w:divId w:val="901674372"/>
            <w:rPr>
              <w:rFonts w:ascii="Aptos" w:eastAsia="Times New Roman" w:hAnsi="Aptos"/>
              <w:color w:val="000000"/>
            </w:rPr>
          </w:pPr>
          <w:r w:rsidRPr="008E3E1C">
            <w:rPr>
              <w:rFonts w:ascii="Aptos" w:eastAsia="Times New Roman" w:hAnsi="Aptos"/>
              <w:color w:val="000000"/>
            </w:rPr>
            <w:t xml:space="preserve">HOW Planning LLP. (2012). </w:t>
          </w:r>
          <w:r w:rsidRPr="008E3E1C">
            <w:rPr>
              <w:rFonts w:ascii="Aptos" w:eastAsia="Times New Roman" w:hAnsi="Aptos"/>
              <w:i/>
              <w:iCs/>
              <w:color w:val="000000"/>
            </w:rPr>
            <w:t xml:space="preserve">Penrhos Leisure Village Environmental Statement Volume 1: </w:t>
          </w:r>
          <w:proofErr w:type="spellStart"/>
          <w:r w:rsidRPr="008E3E1C">
            <w:rPr>
              <w:rFonts w:ascii="Aptos" w:eastAsia="Times New Roman" w:hAnsi="Aptos"/>
              <w:i/>
              <w:iCs/>
              <w:color w:val="000000"/>
            </w:rPr>
            <w:t>Non Technical</w:t>
          </w:r>
          <w:proofErr w:type="spellEnd"/>
          <w:r w:rsidRPr="008E3E1C">
            <w:rPr>
              <w:rFonts w:ascii="Aptos" w:eastAsia="Times New Roman" w:hAnsi="Aptos"/>
              <w:i/>
              <w:iCs/>
              <w:color w:val="000000"/>
            </w:rPr>
            <w:t xml:space="preserve"> Summary</w:t>
          </w:r>
          <w:r w:rsidRPr="008E3E1C">
            <w:rPr>
              <w:rFonts w:ascii="Aptos" w:eastAsia="Times New Roman" w:hAnsi="Aptos"/>
              <w:color w:val="000000"/>
            </w:rPr>
            <w:t>.</w:t>
          </w:r>
        </w:p>
        <w:p w14:paraId="262126A3" w14:textId="77777777" w:rsidR="008E3E1C" w:rsidRPr="008E3E1C" w:rsidRDefault="008E3E1C">
          <w:pPr>
            <w:autoSpaceDE w:val="0"/>
            <w:autoSpaceDN w:val="0"/>
            <w:ind w:hanging="480"/>
            <w:divId w:val="1313873658"/>
            <w:rPr>
              <w:rFonts w:ascii="Aptos" w:eastAsia="Times New Roman" w:hAnsi="Aptos"/>
              <w:color w:val="000000"/>
            </w:rPr>
          </w:pPr>
          <w:r w:rsidRPr="008E3E1C">
            <w:rPr>
              <w:rFonts w:ascii="Aptos" w:eastAsia="Times New Roman" w:hAnsi="Aptos"/>
              <w:color w:val="000000"/>
            </w:rPr>
            <w:t xml:space="preserve">Institute of Environmental Management &amp; Assessment. (2023). </w:t>
          </w:r>
          <w:r w:rsidRPr="008E3E1C">
            <w:rPr>
              <w:rFonts w:ascii="Aptos" w:eastAsia="Times New Roman" w:hAnsi="Aptos"/>
              <w:i/>
              <w:iCs/>
              <w:color w:val="000000"/>
            </w:rPr>
            <w:t>Effective Non-Technical Summaries for Environmental Impact Assessment</w:t>
          </w:r>
          <w:r w:rsidRPr="008E3E1C">
            <w:rPr>
              <w:rFonts w:ascii="Aptos" w:eastAsia="Times New Roman" w:hAnsi="Aptos"/>
              <w:color w:val="000000"/>
            </w:rPr>
            <w:t>. https://eur-lex.europa.eu/legal-content/EN/TXT/PDF/?uri=CELEX:32014L0052&amp;rid=1</w:t>
          </w:r>
        </w:p>
        <w:p w14:paraId="60D3FDE6" w14:textId="77777777" w:rsidR="008E3E1C" w:rsidRPr="008E3E1C" w:rsidRDefault="008E3E1C">
          <w:pPr>
            <w:autoSpaceDE w:val="0"/>
            <w:autoSpaceDN w:val="0"/>
            <w:ind w:hanging="480"/>
            <w:divId w:val="1349600305"/>
            <w:rPr>
              <w:rFonts w:ascii="Aptos" w:eastAsia="Times New Roman" w:hAnsi="Aptos"/>
              <w:color w:val="000000"/>
            </w:rPr>
          </w:pPr>
          <w:r w:rsidRPr="008E3E1C">
            <w:rPr>
              <w:rFonts w:ascii="Aptos" w:eastAsia="Times New Roman" w:hAnsi="Aptos"/>
              <w:color w:val="000000"/>
            </w:rPr>
            <w:t xml:space="preserve">International Institute for Sustainable Development. (2016). </w:t>
          </w:r>
          <w:r w:rsidRPr="008E3E1C">
            <w:rPr>
              <w:rFonts w:ascii="Aptos" w:eastAsia="Times New Roman" w:hAnsi="Aptos"/>
              <w:i/>
              <w:iCs/>
              <w:color w:val="000000"/>
            </w:rPr>
            <w:t>Environmental Impact Assessment Training Manual</w:t>
          </w:r>
          <w:r w:rsidRPr="008E3E1C">
            <w:rPr>
              <w:rFonts w:ascii="Aptos" w:eastAsia="Times New Roman" w:hAnsi="Aptos"/>
              <w:color w:val="000000"/>
            </w:rPr>
            <w:t>. www.iisd.org/learning/eia</w:t>
          </w:r>
        </w:p>
        <w:p w14:paraId="3FC053B8" w14:textId="77777777" w:rsidR="008E3E1C" w:rsidRPr="008E3E1C" w:rsidRDefault="008E3E1C">
          <w:pPr>
            <w:autoSpaceDE w:val="0"/>
            <w:autoSpaceDN w:val="0"/>
            <w:ind w:hanging="480"/>
            <w:divId w:val="896670218"/>
            <w:rPr>
              <w:rFonts w:ascii="Aptos" w:eastAsia="Times New Roman" w:hAnsi="Aptos"/>
              <w:color w:val="000000"/>
            </w:rPr>
          </w:pPr>
          <w:r w:rsidRPr="008E3E1C">
            <w:rPr>
              <w:rFonts w:ascii="Aptos" w:eastAsia="Times New Roman" w:hAnsi="Aptos"/>
              <w:color w:val="000000"/>
            </w:rPr>
            <w:t xml:space="preserve">Lee, N., Colley, R., &amp; Bonde, J. (1999). </w:t>
          </w:r>
          <w:r w:rsidRPr="008E3E1C">
            <w:rPr>
              <w:rFonts w:ascii="Aptos" w:eastAsia="Times New Roman" w:hAnsi="Aptos"/>
              <w:i/>
              <w:iCs/>
              <w:color w:val="000000"/>
            </w:rPr>
            <w:t>Reviewing the Quality of Environmental Statements and Environmental Appraisals</w:t>
          </w:r>
          <w:r w:rsidRPr="008E3E1C">
            <w:rPr>
              <w:rFonts w:ascii="Aptos" w:eastAsia="Times New Roman" w:hAnsi="Aptos"/>
              <w:color w:val="000000"/>
            </w:rPr>
            <w:t>. https://aardlink.wordpress.com/wp-content/uploads/2013/08/op55.pdf</w:t>
          </w:r>
        </w:p>
        <w:p w14:paraId="50589AA7" w14:textId="77777777" w:rsidR="008E3E1C" w:rsidRPr="008E3E1C" w:rsidRDefault="008E3E1C">
          <w:pPr>
            <w:autoSpaceDE w:val="0"/>
            <w:autoSpaceDN w:val="0"/>
            <w:ind w:hanging="480"/>
            <w:divId w:val="451940120"/>
            <w:rPr>
              <w:rFonts w:ascii="Aptos" w:eastAsia="Times New Roman" w:hAnsi="Aptos"/>
              <w:color w:val="000000"/>
            </w:rPr>
          </w:pPr>
          <w:r w:rsidRPr="008E3E1C">
            <w:rPr>
              <w:rFonts w:ascii="Aptos" w:eastAsia="Times New Roman" w:hAnsi="Aptos"/>
              <w:color w:val="000000"/>
            </w:rPr>
            <w:t xml:space="preserve">Neath Port Talbot County Council. (2024). </w:t>
          </w:r>
          <w:r w:rsidRPr="008E3E1C">
            <w:rPr>
              <w:rFonts w:ascii="Aptos" w:eastAsia="Times New Roman" w:hAnsi="Aptos"/>
              <w:i/>
              <w:iCs/>
              <w:color w:val="000000"/>
            </w:rPr>
            <w:t>Neath Port Talbot County Borough Council Screening Opinion -Environmental Statement Required</w:t>
          </w:r>
          <w:r w:rsidRPr="008E3E1C">
            <w:rPr>
              <w:rFonts w:ascii="Aptos" w:eastAsia="Times New Roman" w:hAnsi="Aptos"/>
              <w:color w:val="000000"/>
            </w:rPr>
            <w:t>.</w:t>
          </w:r>
        </w:p>
        <w:p w14:paraId="7231C637" w14:textId="77777777" w:rsidR="008E3E1C" w:rsidRPr="008E3E1C" w:rsidRDefault="008E3E1C">
          <w:pPr>
            <w:autoSpaceDE w:val="0"/>
            <w:autoSpaceDN w:val="0"/>
            <w:ind w:hanging="480"/>
            <w:divId w:val="1262758782"/>
            <w:rPr>
              <w:rFonts w:ascii="Aptos" w:eastAsia="Times New Roman" w:hAnsi="Aptos"/>
              <w:color w:val="000000"/>
            </w:rPr>
          </w:pPr>
          <w:r w:rsidRPr="008E3E1C">
            <w:rPr>
              <w:rFonts w:ascii="Aptos" w:eastAsia="Times New Roman" w:hAnsi="Aptos"/>
              <w:color w:val="000000"/>
            </w:rPr>
            <w:t xml:space="preserve">The Urbanists. (2024). </w:t>
          </w:r>
          <w:r w:rsidRPr="008E3E1C">
            <w:rPr>
              <w:rFonts w:ascii="Aptos" w:eastAsia="Times New Roman" w:hAnsi="Aptos"/>
              <w:i/>
              <w:iCs/>
              <w:color w:val="000000"/>
            </w:rPr>
            <w:t>Parc Pelenna EIA Scoping Statement</w:t>
          </w:r>
          <w:r w:rsidRPr="008E3E1C">
            <w:rPr>
              <w:rFonts w:ascii="Aptos" w:eastAsia="Times New Roman" w:hAnsi="Aptos"/>
              <w:color w:val="000000"/>
            </w:rPr>
            <w:t>.</w:t>
          </w:r>
        </w:p>
        <w:p w14:paraId="7A8E2C1B" w14:textId="77777777" w:rsidR="008E3E1C" w:rsidRPr="008E3E1C" w:rsidRDefault="008E3E1C">
          <w:pPr>
            <w:autoSpaceDE w:val="0"/>
            <w:autoSpaceDN w:val="0"/>
            <w:ind w:hanging="480"/>
            <w:divId w:val="321933017"/>
            <w:rPr>
              <w:rFonts w:ascii="Aptos" w:eastAsia="Times New Roman" w:hAnsi="Aptos"/>
              <w:color w:val="000000"/>
            </w:rPr>
          </w:pPr>
          <w:r w:rsidRPr="008E3E1C">
            <w:rPr>
              <w:rFonts w:ascii="Aptos" w:eastAsia="Times New Roman" w:hAnsi="Aptos"/>
              <w:color w:val="000000"/>
            </w:rPr>
            <w:t xml:space="preserve">The Urbanists. (2024). </w:t>
          </w:r>
          <w:r w:rsidRPr="008E3E1C">
            <w:rPr>
              <w:rFonts w:ascii="Aptos" w:eastAsia="Times New Roman" w:hAnsi="Aptos"/>
              <w:i/>
              <w:iCs/>
              <w:color w:val="000000"/>
            </w:rPr>
            <w:t>Parc Pelenna Leisure Proposals Vol.3 - Non Technical Summary</w:t>
          </w:r>
          <w:r w:rsidRPr="008E3E1C">
            <w:rPr>
              <w:rFonts w:ascii="Aptos" w:eastAsia="Times New Roman" w:hAnsi="Aptos"/>
              <w:color w:val="000000"/>
            </w:rPr>
            <w:t>.</w:t>
          </w:r>
        </w:p>
        <w:p w14:paraId="3B3EF907" w14:textId="77777777" w:rsidR="008E3E1C" w:rsidRPr="008E3E1C" w:rsidRDefault="008E3E1C">
          <w:pPr>
            <w:autoSpaceDE w:val="0"/>
            <w:autoSpaceDN w:val="0"/>
            <w:ind w:hanging="480"/>
            <w:divId w:val="646131025"/>
            <w:rPr>
              <w:rFonts w:ascii="Aptos" w:eastAsia="Times New Roman" w:hAnsi="Aptos"/>
              <w:color w:val="000000"/>
            </w:rPr>
          </w:pPr>
          <w:proofErr w:type="spellStart"/>
          <w:r w:rsidRPr="008E3E1C">
            <w:rPr>
              <w:rFonts w:ascii="Aptos" w:eastAsia="Times New Roman" w:hAnsi="Aptos"/>
              <w:color w:val="000000"/>
            </w:rPr>
            <w:t>Trisvelus</w:t>
          </w:r>
          <w:proofErr w:type="spellEnd"/>
          <w:r w:rsidRPr="008E3E1C">
            <w:rPr>
              <w:rFonts w:ascii="Aptos" w:eastAsia="Times New Roman" w:hAnsi="Aptos"/>
              <w:color w:val="000000"/>
            </w:rPr>
            <w:t xml:space="preserve"> UK. (2024). </w:t>
          </w:r>
          <w:r w:rsidRPr="008E3E1C">
            <w:rPr>
              <w:rFonts w:ascii="Aptos" w:eastAsia="Times New Roman" w:hAnsi="Aptos"/>
              <w:i/>
              <w:iCs/>
              <w:color w:val="000000"/>
            </w:rPr>
            <w:t xml:space="preserve">Parc Pelenna, </w:t>
          </w:r>
          <w:proofErr w:type="spellStart"/>
          <w:r w:rsidRPr="008E3E1C">
            <w:rPr>
              <w:rFonts w:ascii="Aptos" w:eastAsia="Times New Roman" w:hAnsi="Aptos"/>
              <w:i/>
              <w:iCs/>
              <w:color w:val="000000"/>
            </w:rPr>
            <w:t>Trisvelus</w:t>
          </w:r>
          <w:proofErr w:type="spellEnd"/>
          <w:r w:rsidRPr="008E3E1C">
            <w:rPr>
              <w:rFonts w:ascii="Aptos" w:eastAsia="Times New Roman" w:hAnsi="Aptos"/>
              <w:i/>
              <w:iCs/>
              <w:color w:val="000000"/>
            </w:rPr>
            <w:t xml:space="preserve"> UK Holdings Ltd</w:t>
          </w:r>
          <w:r w:rsidRPr="008E3E1C">
            <w:rPr>
              <w:rFonts w:ascii="Aptos" w:eastAsia="Times New Roman" w:hAnsi="Aptos"/>
              <w:color w:val="000000"/>
            </w:rPr>
            <w:t>.</w:t>
          </w:r>
        </w:p>
        <w:p w14:paraId="79E446B3" w14:textId="77777777" w:rsidR="008E3E1C" w:rsidRPr="008E3E1C" w:rsidRDefault="008E3E1C">
          <w:pPr>
            <w:autoSpaceDE w:val="0"/>
            <w:autoSpaceDN w:val="0"/>
            <w:ind w:hanging="480"/>
            <w:divId w:val="1854806706"/>
            <w:rPr>
              <w:rFonts w:ascii="Aptos" w:eastAsia="Times New Roman" w:hAnsi="Aptos"/>
              <w:color w:val="000000"/>
            </w:rPr>
          </w:pPr>
          <w:proofErr w:type="spellStart"/>
          <w:r w:rsidRPr="008E3E1C">
            <w:rPr>
              <w:rFonts w:ascii="Aptos" w:eastAsia="Times New Roman" w:hAnsi="Aptos"/>
              <w:color w:val="000000"/>
            </w:rPr>
            <w:t>Trivselhus</w:t>
          </w:r>
          <w:proofErr w:type="spellEnd"/>
          <w:r w:rsidRPr="008E3E1C">
            <w:rPr>
              <w:rFonts w:ascii="Aptos" w:eastAsia="Times New Roman" w:hAnsi="Aptos"/>
              <w:color w:val="000000"/>
            </w:rPr>
            <w:t xml:space="preserve"> UK. (2024). </w:t>
          </w:r>
          <w:r w:rsidRPr="008E3E1C">
            <w:rPr>
              <w:rFonts w:ascii="Aptos" w:eastAsia="Times New Roman" w:hAnsi="Aptos"/>
              <w:i/>
              <w:iCs/>
              <w:color w:val="000000"/>
            </w:rPr>
            <w:t>Parc Pelenna Environmental Statement CHAPTER 5-Alternative Sites</w:t>
          </w:r>
          <w:r w:rsidRPr="008E3E1C">
            <w:rPr>
              <w:rFonts w:ascii="Aptos" w:eastAsia="Times New Roman" w:hAnsi="Aptos"/>
              <w:color w:val="000000"/>
            </w:rPr>
            <w:t>.</w:t>
          </w:r>
        </w:p>
        <w:p w14:paraId="457933F8" w14:textId="77777777" w:rsidR="008E3E1C" w:rsidRPr="008E3E1C" w:rsidRDefault="008E3E1C">
          <w:pPr>
            <w:autoSpaceDE w:val="0"/>
            <w:autoSpaceDN w:val="0"/>
            <w:ind w:hanging="480"/>
            <w:divId w:val="1128745234"/>
            <w:rPr>
              <w:rFonts w:ascii="Aptos" w:eastAsia="Times New Roman" w:hAnsi="Aptos"/>
              <w:color w:val="000000"/>
            </w:rPr>
          </w:pPr>
          <w:r w:rsidRPr="008E3E1C">
            <w:rPr>
              <w:rFonts w:ascii="Aptos" w:eastAsia="Times New Roman" w:hAnsi="Aptos"/>
              <w:color w:val="000000"/>
            </w:rPr>
            <w:t xml:space="preserve">Welsh Government. (2017). </w:t>
          </w:r>
          <w:r w:rsidRPr="008E3E1C">
            <w:rPr>
              <w:rFonts w:ascii="Aptos" w:eastAsia="Times New Roman" w:hAnsi="Aptos"/>
              <w:i/>
              <w:iCs/>
              <w:color w:val="000000"/>
            </w:rPr>
            <w:t>The Town and Country Planning (Environmental Impact Assessment) (Wales) Regulations 2017</w:t>
          </w:r>
          <w:r w:rsidRPr="008E3E1C">
            <w:rPr>
              <w:rFonts w:ascii="Aptos" w:eastAsia="Times New Roman" w:hAnsi="Aptos"/>
              <w:color w:val="000000"/>
            </w:rPr>
            <w:t>. https://senedd.wales/media/fronfphn/sub-ld11027-e.pdf</w:t>
          </w:r>
        </w:p>
        <w:p w14:paraId="76B4E093" w14:textId="55CB7D25" w:rsidR="006E16D3" w:rsidRPr="006E16D3" w:rsidRDefault="008E3E1C" w:rsidP="006E16D3">
          <w:r w:rsidRPr="008E3E1C">
            <w:rPr>
              <w:rFonts w:ascii="Aptos" w:eastAsia="Times New Roman" w:hAnsi="Aptos"/>
              <w:color w:val="000000"/>
            </w:rPr>
            <w:t> </w:t>
          </w:r>
        </w:p>
      </w:sdtContent>
    </w:sdt>
    <w:sectPr w:rsidR="006E16D3" w:rsidRPr="006E16D3" w:rsidSect="00D957AF">
      <w:footerReference w:type="firs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4D8F3" w14:textId="77777777" w:rsidR="00D3188A" w:rsidRDefault="00D3188A" w:rsidP="00A94CDF">
      <w:pPr>
        <w:spacing w:after="0" w:line="240" w:lineRule="auto"/>
      </w:pPr>
      <w:r>
        <w:separator/>
      </w:r>
    </w:p>
  </w:endnote>
  <w:endnote w:type="continuationSeparator" w:id="0">
    <w:p w14:paraId="194F891F" w14:textId="77777777" w:rsidR="00D3188A" w:rsidRDefault="00D3188A" w:rsidP="00A94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70461287"/>
      <w:docPartObj>
        <w:docPartGallery w:val="Page Numbers (Bottom of Page)"/>
        <w:docPartUnique/>
      </w:docPartObj>
    </w:sdtPr>
    <w:sdtEndPr>
      <w:rPr>
        <w:rStyle w:val="PageNumber"/>
      </w:rPr>
    </w:sdtEndPr>
    <w:sdtContent>
      <w:p w14:paraId="2AE3AC33" w14:textId="77777777" w:rsidR="00D957AF" w:rsidRDefault="00D957AF" w:rsidP="004737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51DDE4" w14:textId="77777777" w:rsidR="00D957AF" w:rsidRDefault="00D957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66538834"/>
      <w:docPartObj>
        <w:docPartGallery w:val="Page Numbers (Bottom of Page)"/>
        <w:docPartUnique/>
      </w:docPartObj>
    </w:sdtPr>
    <w:sdtEndPr>
      <w:rPr>
        <w:rStyle w:val="PageNumber"/>
      </w:rPr>
    </w:sdtEndPr>
    <w:sdtContent>
      <w:p w14:paraId="20A65861" w14:textId="77777777" w:rsidR="00D957AF" w:rsidRDefault="00D957AF" w:rsidP="004737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994221" w14:textId="77777777" w:rsidR="00D957AF" w:rsidRDefault="00D957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8721953"/>
      <w:docPartObj>
        <w:docPartGallery w:val="Page Numbers (Bottom of Page)"/>
        <w:docPartUnique/>
      </w:docPartObj>
    </w:sdtPr>
    <w:sdtEndPr>
      <w:rPr>
        <w:rStyle w:val="PageNumber"/>
      </w:rPr>
    </w:sdtEndPr>
    <w:sdtContent>
      <w:p w14:paraId="54CF15FC" w14:textId="77777777" w:rsidR="00B30D09" w:rsidRDefault="00B30D09" w:rsidP="004737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278B4F79" w14:textId="77777777" w:rsidR="00B30D09" w:rsidRDefault="00B30D0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AEEAC" w14:textId="77777777" w:rsidR="00D957AF" w:rsidRDefault="00D95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07EDC" w14:textId="77777777" w:rsidR="00D3188A" w:rsidRDefault="00D3188A" w:rsidP="00A94CDF">
      <w:pPr>
        <w:spacing w:after="0" w:line="240" w:lineRule="auto"/>
      </w:pPr>
      <w:r>
        <w:separator/>
      </w:r>
    </w:p>
  </w:footnote>
  <w:footnote w:type="continuationSeparator" w:id="0">
    <w:p w14:paraId="0ED39ADB" w14:textId="77777777" w:rsidR="00D3188A" w:rsidRDefault="00D3188A" w:rsidP="00A94C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91A05"/>
    <w:multiLevelType w:val="hybridMultilevel"/>
    <w:tmpl w:val="0BCC1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5F6DA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00402644">
    <w:abstractNumId w:val="0"/>
  </w:num>
  <w:num w:numId="2" w16cid:durableId="1721131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3EE"/>
    <w:rsid w:val="000004B6"/>
    <w:rsid w:val="000016D3"/>
    <w:rsid w:val="00011C2F"/>
    <w:rsid w:val="00022DDE"/>
    <w:rsid w:val="0004526C"/>
    <w:rsid w:val="000469E3"/>
    <w:rsid w:val="00051779"/>
    <w:rsid w:val="00052024"/>
    <w:rsid w:val="000524DD"/>
    <w:rsid w:val="000542A2"/>
    <w:rsid w:val="000560F5"/>
    <w:rsid w:val="000665E9"/>
    <w:rsid w:val="000744A2"/>
    <w:rsid w:val="0008313B"/>
    <w:rsid w:val="000846C0"/>
    <w:rsid w:val="000857E5"/>
    <w:rsid w:val="000A19C4"/>
    <w:rsid w:val="000A645F"/>
    <w:rsid w:val="000A7771"/>
    <w:rsid w:val="000B3979"/>
    <w:rsid w:val="000B3AF8"/>
    <w:rsid w:val="000C03D8"/>
    <w:rsid w:val="000C74E2"/>
    <w:rsid w:val="000D1AE3"/>
    <w:rsid w:val="000E7582"/>
    <w:rsid w:val="000F4BFD"/>
    <w:rsid w:val="000F7571"/>
    <w:rsid w:val="001104B0"/>
    <w:rsid w:val="00114766"/>
    <w:rsid w:val="00126582"/>
    <w:rsid w:val="00130933"/>
    <w:rsid w:val="0013583C"/>
    <w:rsid w:val="0014122E"/>
    <w:rsid w:val="00154980"/>
    <w:rsid w:val="00157BE2"/>
    <w:rsid w:val="00163C7E"/>
    <w:rsid w:val="00167A0F"/>
    <w:rsid w:val="00177DB5"/>
    <w:rsid w:val="001823D5"/>
    <w:rsid w:val="00183250"/>
    <w:rsid w:val="001861C6"/>
    <w:rsid w:val="00187107"/>
    <w:rsid w:val="00192F7B"/>
    <w:rsid w:val="0019791C"/>
    <w:rsid w:val="001A0360"/>
    <w:rsid w:val="001B0633"/>
    <w:rsid w:val="001B5945"/>
    <w:rsid w:val="001C5017"/>
    <w:rsid w:val="001C6F43"/>
    <w:rsid w:val="001E34CE"/>
    <w:rsid w:val="00203A36"/>
    <w:rsid w:val="002102E8"/>
    <w:rsid w:val="00211B1D"/>
    <w:rsid w:val="00212939"/>
    <w:rsid w:val="00224306"/>
    <w:rsid w:val="00231758"/>
    <w:rsid w:val="00233087"/>
    <w:rsid w:val="002400A1"/>
    <w:rsid w:val="00244283"/>
    <w:rsid w:val="002469A9"/>
    <w:rsid w:val="0024738A"/>
    <w:rsid w:val="002525A8"/>
    <w:rsid w:val="00253917"/>
    <w:rsid w:val="00253C49"/>
    <w:rsid w:val="002541F0"/>
    <w:rsid w:val="002578CD"/>
    <w:rsid w:val="00260548"/>
    <w:rsid w:val="002804F7"/>
    <w:rsid w:val="00285E06"/>
    <w:rsid w:val="00287F96"/>
    <w:rsid w:val="00295A0D"/>
    <w:rsid w:val="00295FDC"/>
    <w:rsid w:val="002A14F0"/>
    <w:rsid w:val="002A1B04"/>
    <w:rsid w:val="002B613A"/>
    <w:rsid w:val="002B6D9D"/>
    <w:rsid w:val="002B7330"/>
    <w:rsid w:val="002C2365"/>
    <w:rsid w:val="002C2836"/>
    <w:rsid w:val="002C4EFE"/>
    <w:rsid w:val="002D6D33"/>
    <w:rsid w:val="002D72E5"/>
    <w:rsid w:val="002E37F5"/>
    <w:rsid w:val="002E5D02"/>
    <w:rsid w:val="002F536D"/>
    <w:rsid w:val="002F5A43"/>
    <w:rsid w:val="002F5FBB"/>
    <w:rsid w:val="002F6D5D"/>
    <w:rsid w:val="0032427F"/>
    <w:rsid w:val="003463EE"/>
    <w:rsid w:val="00356107"/>
    <w:rsid w:val="00361CB9"/>
    <w:rsid w:val="00364742"/>
    <w:rsid w:val="00374232"/>
    <w:rsid w:val="00375FB4"/>
    <w:rsid w:val="003813E8"/>
    <w:rsid w:val="0038390B"/>
    <w:rsid w:val="00391E75"/>
    <w:rsid w:val="00395792"/>
    <w:rsid w:val="00397FE7"/>
    <w:rsid w:val="003A4C05"/>
    <w:rsid w:val="003B27EC"/>
    <w:rsid w:val="003B3111"/>
    <w:rsid w:val="003B6F85"/>
    <w:rsid w:val="003C1597"/>
    <w:rsid w:val="003D2B20"/>
    <w:rsid w:val="003E0D11"/>
    <w:rsid w:val="003E2280"/>
    <w:rsid w:val="003E3D99"/>
    <w:rsid w:val="003F4F1D"/>
    <w:rsid w:val="003F598D"/>
    <w:rsid w:val="003F7130"/>
    <w:rsid w:val="004006E8"/>
    <w:rsid w:val="0040635F"/>
    <w:rsid w:val="00407165"/>
    <w:rsid w:val="00411819"/>
    <w:rsid w:val="00422097"/>
    <w:rsid w:val="0042372E"/>
    <w:rsid w:val="00425131"/>
    <w:rsid w:val="00433DA6"/>
    <w:rsid w:val="00444A71"/>
    <w:rsid w:val="004618B8"/>
    <w:rsid w:val="0046432A"/>
    <w:rsid w:val="00470802"/>
    <w:rsid w:val="00471444"/>
    <w:rsid w:val="00491403"/>
    <w:rsid w:val="0049158D"/>
    <w:rsid w:val="00497003"/>
    <w:rsid w:val="00497866"/>
    <w:rsid w:val="004A1781"/>
    <w:rsid w:val="004A1C2F"/>
    <w:rsid w:val="004A446D"/>
    <w:rsid w:val="004A5D8D"/>
    <w:rsid w:val="004B3C78"/>
    <w:rsid w:val="004B552E"/>
    <w:rsid w:val="004B5AD1"/>
    <w:rsid w:val="004B60CA"/>
    <w:rsid w:val="004C3EA0"/>
    <w:rsid w:val="004C4FD4"/>
    <w:rsid w:val="004D19B1"/>
    <w:rsid w:val="004E1C86"/>
    <w:rsid w:val="004F610F"/>
    <w:rsid w:val="005146D7"/>
    <w:rsid w:val="005174CC"/>
    <w:rsid w:val="00531A41"/>
    <w:rsid w:val="005352C7"/>
    <w:rsid w:val="00540486"/>
    <w:rsid w:val="00545344"/>
    <w:rsid w:val="00547546"/>
    <w:rsid w:val="00560802"/>
    <w:rsid w:val="005615E2"/>
    <w:rsid w:val="005634B5"/>
    <w:rsid w:val="0056787E"/>
    <w:rsid w:val="005708FE"/>
    <w:rsid w:val="005712D2"/>
    <w:rsid w:val="00580806"/>
    <w:rsid w:val="00594F99"/>
    <w:rsid w:val="00597AF8"/>
    <w:rsid w:val="005A1751"/>
    <w:rsid w:val="005A698F"/>
    <w:rsid w:val="005B0245"/>
    <w:rsid w:val="005B5A9F"/>
    <w:rsid w:val="005B6012"/>
    <w:rsid w:val="005D08E6"/>
    <w:rsid w:val="005D0CE2"/>
    <w:rsid w:val="005D70D5"/>
    <w:rsid w:val="005E1920"/>
    <w:rsid w:val="005F2324"/>
    <w:rsid w:val="005F2A25"/>
    <w:rsid w:val="005F54B5"/>
    <w:rsid w:val="00602280"/>
    <w:rsid w:val="0060307F"/>
    <w:rsid w:val="00621C54"/>
    <w:rsid w:val="00634F36"/>
    <w:rsid w:val="0063796B"/>
    <w:rsid w:val="006420FA"/>
    <w:rsid w:val="0064570B"/>
    <w:rsid w:val="006543BD"/>
    <w:rsid w:val="00664BD8"/>
    <w:rsid w:val="00666FD9"/>
    <w:rsid w:val="00667834"/>
    <w:rsid w:val="0068238E"/>
    <w:rsid w:val="00683601"/>
    <w:rsid w:val="006935BF"/>
    <w:rsid w:val="00694D11"/>
    <w:rsid w:val="00696C01"/>
    <w:rsid w:val="006A2A42"/>
    <w:rsid w:val="006A64FA"/>
    <w:rsid w:val="006B054E"/>
    <w:rsid w:val="006B062A"/>
    <w:rsid w:val="006B1CDF"/>
    <w:rsid w:val="006B599D"/>
    <w:rsid w:val="006D163B"/>
    <w:rsid w:val="006D3575"/>
    <w:rsid w:val="006D7307"/>
    <w:rsid w:val="006E144B"/>
    <w:rsid w:val="006E16D3"/>
    <w:rsid w:val="006F6B76"/>
    <w:rsid w:val="00707348"/>
    <w:rsid w:val="00721C0D"/>
    <w:rsid w:val="00722C8D"/>
    <w:rsid w:val="00737005"/>
    <w:rsid w:val="00745CDD"/>
    <w:rsid w:val="00755465"/>
    <w:rsid w:val="00755CF0"/>
    <w:rsid w:val="00763452"/>
    <w:rsid w:val="0076738B"/>
    <w:rsid w:val="00770857"/>
    <w:rsid w:val="0077543A"/>
    <w:rsid w:val="00780AD3"/>
    <w:rsid w:val="00782F96"/>
    <w:rsid w:val="0078362F"/>
    <w:rsid w:val="00795B3B"/>
    <w:rsid w:val="00796C51"/>
    <w:rsid w:val="007A7C97"/>
    <w:rsid w:val="007D338B"/>
    <w:rsid w:val="007D5717"/>
    <w:rsid w:val="007E5839"/>
    <w:rsid w:val="00801869"/>
    <w:rsid w:val="008265A9"/>
    <w:rsid w:val="00826BC5"/>
    <w:rsid w:val="0084433E"/>
    <w:rsid w:val="00844656"/>
    <w:rsid w:val="008705DF"/>
    <w:rsid w:val="00881DA9"/>
    <w:rsid w:val="00884DC9"/>
    <w:rsid w:val="00891823"/>
    <w:rsid w:val="008A5344"/>
    <w:rsid w:val="008A7ACE"/>
    <w:rsid w:val="008A7E98"/>
    <w:rsid w:val="008C3EEE"/>
    <w:rsid w:val="008D5F63"/>
    <w:rsid w:val="008E3E1C"/>
    <w:rsid w:val="008E5597"/>
    <w:rsid w:val="008E68CF"/>
    <w:rsid w:val="008E6AF4"/>
    <w:rsid w:val="008F08CB"/>
    <w:rsid w:val="008F775A"/>
    <w:rsid w:val="009029F6"/>
    <w:rsid w:val="00904179"/>
    <w:rsid w:val="009103C1"/>
    <w:rsid w:val="0091177F"/>
    <w:rsid w:val="00914455"/>
    <w:rsid w:val="00914C79"/>
    <w:rsid w:val="0091743C"/>
    <w:rsid w:val="00921685"/>
    <w:rsid w:val="00925490"/>
    <w:rsid w:val="0092764D"/>
    <w:rsid w:val="009410D3"/>
    <w:rsid w:val="00945453"/>
    <w:rsid w:val="00946E55"/>
    <w:rsid w:val="00950698"/>
    <w:rsid w:val="00955B74"/>
    <w:rsid w:val="00960323"/>
    <w:rsid w:val="009637B0"/>
    <w:rsid w:val="0096427F"/>
    <w:rsid w:val="00983A04"/>
    <w:rsid w:val="00987407"/>
    <w:rsid w:val="009A4793"/>
    <w:rsid w:val="009B0440"/>
    <w:rsid w:val="009B14C5"/>
    <w:rsid w:val="009B3373"/>
    <w:rsid w:val="009B46DD"/>
    <w:rsid w:val="009B6B89"/>
    <w:rsid w:val="009C134C"/>
    <w:rsid w:val="009D1EBE"/>
    <w:rsid w:val="009D4947"/>
    <w:rsid w:val="009D57FB"/>
    <w:rsid w:val="009E5900"/>
    <w:rsid w:val="009E763A"/>
    <w:rsid w:val="009F520B"/>
    <w:rsid w:val="009F658C"/>
    <w:rsid w:val="00A07088"/>
    <w:rsid w:val="00A07911"/>
    <w:rsid w:val="00A13CF1"/>
    <w:rsid w:val="00A16E6B"/>
    <w:rsid w:val="00A21EB4"/>
    <w:rsid w:val="00A23799"/>
    <w:rsid w:val="00A32419"/>
    <w:rsid w:val="00A358E5"/>
    <w:rsid w:val="00A55794"/>
    <w:rsid w:val="00A724AD"/>
    <w:rsid w:val="00A72692"/>
    <w:rsid w:val="00A85404"/>
    <w:rsid w:val="00A86EC7"/>
    <w:rsid w:val="00A916F7"/>
    <w:rsid w:val="00A93747"/>
    <w:rsid w:val="00A94CDF"/>
    <w:rsid w:val="00A96B2C"/>
    <w:rsid w:val="00AA0F6A"/>
    <w:rsid w:val="00AB3048"/>
    <w:rsid w:val="00AF1218"/>
    <w:rsid w:val="00AF1482"/>
    <w:rsid w:val="00AF64AE"/>
    <w:rsid w:val="00B13EF0"/>
    <w:rsid w:val="00B30D09"/>
    <w:rsid w:val="00B37BEE"/>
    <w:rsid w:val="00B4014D"/>
    <w:rsid w:val="00B40DDD"/>
    <w:rsid w:val="00B704C3"/>
    <w:rsid w:val="00B7074A"/>
    <w:rsid w:val="00B71ACD"/>
    <w:rsid w:val="00B7212B"/>
    <w:rsid w:val="00B727DA"/>
    <w:rsid w:val="00B75464"/>
    <w:rsid w:val="00B7611A"/>
    <w:rsid w:val="00B766B4"/>
    <w:rsid w:val="00B81621"/>
    <w:rsid w:val="00B8173A"/>
    <w:rsid w:val="00B853C5"/>
    <w:rsid w:val="00B870E4"/>
    <w:rsid w:val="00B91D0D"/>
    <w:rsid w:val="00B9236D"/>
    <w:rsid w:val="00B97B7A"/>
    <w:rsid w:val="00BA18F3"/>
    <w:rsid w:val="00BA6928"/>
    <w:rsid w:val="00BA6D7F"/>
    <w:rsid w:val="00BC3E3C"/>
    <w:rsid w:val="00BD43C8"/>
    <w:rsid w:val="00BE6250"/>
    <w:rsid w:val="00BE7C56"/>
    <w:rsid w:val="00BF0827"/>
    <w:rsid w:val="00BF42D5"/>
    <w:rsid w:val="00BF57F8"/>
    <w:rsid w:val="00BF60FB"/>
    <w:rsid w:val="00C002DE"/>
    <w:rsid w:val="00C01EEF"/>
    <w:rsid w:val="00C1624D"/>
    <w:rsid w:val="00C277A4"/>
    <w:rsid w:val="00C428E9"/>
    <w:rsid w:val="00C5472D"/>
    <w:rsid w:val="00C56771"/>
    <w:rsid w:val="00C70B85"/>
    <w:rsid w:val="00C80CD8"/>
    <w:rsid w:val="00C90984"/>
    <w:rsid w:val="00C92595"/>
    <w:rsid w:val="00C963D7"/>
    <w:rsid w:val="00CA124D"/>
    <w:rsid w:val="00CA6EF4"/>
    <w:rsid w:val="00CC0805"/>
    <w:rsid w:val="00CC558E"/>
    <w:rsid w:val="00CE7F45"/>
    <w:rsid w:val="00CF0275"/>
    <w:rsid w:val="00CF1112"/>
    <w:rsid w:val="00CF42EE"/>
    <w:rsid w:val="00CF4F22"/>
    <w:rsid w:val="00D02205"/>
    <w:rsid w:val="00D07EAA"/>
    <w:rsid w:val="00D12DAD"/>
    <w:rsid w:val="00D212B9"/>
    <w:rsid w:val="00D2476A"/>
    <w:rsid w:val="00D2737D"/>
    <w:rsid w:val="00D3188A"/>
    <w:rsid w:val="00D341FA"/>
    <w:rsid w:val="00D34831"/>
    <w:rsid w:val="00D40071"/>
    <w:rsid w:val="00D45737"/>
    <w:rsid w:val="00D50FAE"/>
    <w:rsid w:val="00D5716B"/>
    <w:rsid w:val="00D66C13"/>
    <w:rsid w:val="00D721DA"/>
    <w:rsid w:val="00D74863"/>
    <w:rsid w:val="00D7619A"/>
    <w:rsid w:val="00D81AC2"/>
    <w:rsid w:val="00D83719"/>
    <w:rsid w:val="00D935D9"/>
    <w:rsid w:val="00D94404"/>
    <w:rsid w:val="00D957AF"/>
    <w:rsid w:val="00D966F0"/>
    <w:rsid w:val="00DA2B8D"/>
    <w:rsid w:val="00DA2F82"/>
    <w:rsid w:val="00DB42DC"/>
    <w:rsid w:val="00DC5003"/>
    <w:rsid w:val="00DC6F85"/>
    <w:rsid w:val="00DD31DE"/>
    <w:rsid w:val="00DD476A"/>
    <w:rsid w:val="00DD522C"/>
    <w:rsid w:val="00DE340B"/>
    <w:rsid w:val="00DE6B05"/>
    <w:rsid w:val="00DF129B"/>
    <w:rsid w:val="00DF4721"/>
    <w:rsid w:val="00E27B34"/>
    <w:rsid w:val="00E32ED5"/>
    <w:rsid w:val="00E374A3"/>
    <w:rsid w:val="00E50031"/>
    <w:rsid w:val="00E60744"/>
    <w:rsid w:val="00E65A69"/>
    <w:rsid w:val="00E70644"/>
    <w:rsid w:val="00E7312E"/>
    <w:rsid w:val="00E80E36"/>
    <w:rsid w:val="00E91602"/>
    <w:rsid w:val="00E9401F"/>
    <w:rsid w:val="00E95B50"/>
    <w:rsid w:val="00EA4A40"/>
    <w:rsid w:val="00EA5A47"/>
    <w:rsid w:val="00EB11EB"/>
    <w:rsid w:val="00EB3EC3"/>
    <w:rsid w:val="00EC67F2"/>
    <w:rsid w:val="00ED3428"/>
    <w:rsid w:val="00ED38DB"/>
    <w:rsid w:val="00EE06C0"/>
    <w:rsid w:val="00F0178E"/>
    <w:rsid w:val="00F104BA"/>
    <w:rsid w:val="00F13675"/>
    <w:rsid w:val="00F25C0D"/>
    <w:rsid w:val="00F36987"/>
    <w:rsid w:val="00F42ED7"/>
    <w:rsid w:val="00F45517"/>
    <w:rsid w:val="00F514CD"/>
    <w:rsid w:val="00F52395"/>
    <w:rsid w:val="00F54CEC"/>
    <w:rsid w:val="00F57510"/>
    <w:rsid w:val="00F616BD"/>
    <w:rsid w:val="00F81DB6"/>
    <w:rsid w:val="00F84845"/>
    <w:rsid w:val="00F85038"/>
    <w:rsid w:val="00F86D46"/>
    <w:rsid w:val="00F9208B"/>
    <w:rsid w:val="00F92D2D"/>
    <w:rsid w:val="00F96191"/>
    <w:rsid w:val="00F967CB"/>
    <w:rsid w:val="00FA3410"/>
    <w:rsid w:val="00FA38F4"/>
    <w:rsid w:val="00FD13A4"/>
    <w:rsid w:val="00FE5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29A3F"/>
  <w15:chartTrackingRefBased/>
  <w15:docId w15:val="{3EFC7A8D-11E8-7E4C-93B8-14D53C1C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CDF"/>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4CDF"/>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4CDF"/>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4CDF"/>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CDF"/>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CDF"/>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CDF"/>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CDF"/>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CDF"/>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C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4C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4C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4C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4C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4C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C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C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CDF"/>
    <w:rPr>
      <w:rFonts w:eastAsiaTheme="majorEastAsia" w:cstheme="majorBidi"/>
      <w:color w:val="272727" w:themeColor="text1" w:themeTint="D8"/>
    </w:rPr>
  </w:style>
  <w:style w:type="paragraph" w:styleId="Title">
    <w:name w:val="Title"/>
    <w:basedOn w:val="Normal"/>
    <w:next w:val="Normal"/>
    <w:link w:val="TitleChar"/>
    <w:uiPriority w:val="10"/>
    <w:qFormat/>
    <w:rsid w:val="00A94C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C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C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C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CDF"/>
    <w:pPr>
      <w:spacing w:before="160"/>
      <w:jc w:val="center"/>
    </w:pPr>
    <w:rPr>
      <w:i/>
      <w:iCs/>
      <w:color w:val="404040" w:themeColor="text1" w:themeTint="BF"/>
    </w:rPr>
  </w:style>
  <w:style w:type="character" w:customStyle="1" w:styleId="QuoteChar">
    <w:name w:val="Quote Char"/>
    <w:basedOn w:val="DefaultParagraphFont"/>
    <w:link w:val="Quote"/>
    <w:uiPriority w:val="29"/>
    <w:rsid w:val="00A94CDF"/>
    <w:rPr>
      <w:i/>
      <w:iCs/>
      <w:color w:val="404040" w:themeColor="text1" w:themeTint="BF"/>
    </w:rPr>
  </w:style>
  <w:style w:type="paragraph" w:styleId="ListParagraph">
    <w:name w:val="List Paragraph"/>
    <w:basedOn w:val="Normal"/>
    <w:uiPriority w:val="34"/>
    <w:qFormat/>
    <w:rsid w:val="00A94CDF"/>
    <w:pPr>
      <w:ind w:left="720"/>
      <w:contextualSpacing/>
    </w:pPr>
  </w:style>
  <w:style w:type="character" w:styleId="IntenseEmphasis">
    <w:name w:val="Intense Emphasis"/>
    <w:basedOn w:val="DefaultParagraphFont"/>
    <w:uiPriority w:val="21"/>
    <w:qFormat/>
    <w:rsid w:val="00A94CDF"/>
    <w:rPr>
      <w:i/>
      <w:iCs/>
      <w:color w:val="0F4761" w:themeColor="accent1" w:themeShade="BF"/>
    </w:rPr>
  </w:style>
  <w:style w:type="paragraph" w:styleId="IntenseQuote">
    <w:name w:val="Intense Quote"/>
    <w:basedOn w:val="Normal"/>
    <w:next w:val="Normal"/>
    <w:link w:val="IntenseQuoteChar"/>
    <w:uiPriority w:val="30"/>
    <w:qFormat/>
    <w:rsid w:val="00A94C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CDF"/>
    <w:rPr>
      <w:i/>
      <w:iCs/>
      <w:color w:val="0F4761" w:themeColor="accent1" w:themeShade="BF"/>
    </w:rPr>
  </w:style>
  <w:style w:type="character" w:styleId="IntenseReference">
    <w:name w:val="Intense Reference"/>
    <w:basedOn w:val="DefaultParagraphFont"/>
    <w:uiPriority w:val="32"/>
    <w:qFormat/>
    <w:rsid w:val="00A94CDF"/>
    <w:rPr>
      <w:b/>
      <w:bCs/>
      <w:smallCaps/>
      <w:color w:val="0F4761" w:themeColor="accent1" w:themeShade="BF"/>
      <w:spacing w:val="5"/>
    </w:rPr>
  </w:style>
  <w:style w:type="paragraph" w:styleId="NoSpacing">
    <w:name w:val="No Spacing"/>
    <w:link w:val="NoSpacingChar"/>
    <w:uiPriority w:val="1"/>
    <w:qFormat/>
    <w:rsid w:val="00A94CDF"/>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94CDF"/>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A94C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CDF"/>
  </w:style>
  <w:style w:type="paragraph" w:styleId="Footer">
    <w:name w:val="footer"/>
    <w:basedOn w:val="Normal"/>
    <w:link w:val="FooterChar"/>
    <w:uiPriority w:val="99"/>
    <w:unhideWhenUsed/>
    <w:rsid w:val="00A94C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CDF"/>
  </w:style>
  <w:style w:type="character" w:styleId="PageNumber">
    <w:name w:val="page number"/>
    <w:basedOn w:val="DefaultParagraphFont"/>
    <w:uiPriority w:val="99"/>
    <w:semiHidden/>
    <w:unhideWhenUsed/>
    <w:rsid w:val="00D957AF"/>
  </w:style>
  <w:style w:type="paragraph" w:styleId="TOCHeading">
    <w:name w:val="TOC Heading"/>
    <w:basedOn w:val="Heading1"/>
    <w:next w:val="Normal"/>
    <w:uiPriority w:val="39"/>
    <w:unhideWhenUsed/>
    <w:qFormat/>
    <w:rsid w:val="001B0633"/>
    <w:pPr>
      <w:numPr>
        <w:numId w:val="0"/>
      </w:num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B0633"/>
    <w:pPr>
      <w:spacing w:before="120" w:after="0"/>
    </w:pPr>
    <w:rPr>
      <w:b/>
      <w:bCs/>
      <w:i/>
      <w:iCs/>
    </w:rPr>
  </w:style>
  <w:style w:type="character" w:styleId="Hyperlink">
    <w:name w:val="Hyperlink"/>
    <w:basedOn w:val="DefaultParagraphFont"/>
    <w:uiPriority w:val="99"/>
    <w:unhideWhenUsed/>
    <w:rsid w:val="001B0633"/>
    <w:rPr>
      <w:color w:val="467886" w:themeColor="hyperlink"/>
      <w:u w:val="single"/>
    </w:rPr>
  </w:style>
  <w:style w:type="paragraph" w:styleId="TOC2">
    <w:name w:val="toc 2"/>
    <w:basedOn w:val="Normal"/>
    <w:next w:val="Normal"/>
    <w:autoRedefine/>
    <w:uiPriority w:val="39"/>
    <w:unhideWhenUsed/>
    <w:rsid w:val="001B0633"/>
    <w:pPr>
      <w:spacing w:before="120" w:after="0"/>
      <w:ind w:left="240"/>
    </w:pPr>
    <w:rPr>
      <w:b/>
      <w:bCs/>
      <w:sz w:val="22"/>
      <w:szCs w:val="22"/>
    </w:rPr>
  </w:style>
  <w:style w:type="paragraph" w:styleId="TOC3">
    <w:name w:val="toc 3"/>
    <w:basedOn w:val="Normal"/>
    <w:next w:val="Normal"/>
    <w:autoRedefine/>
    <w:uiPriority w:val="39"/>
    <w:unhideWhenUsed/>
    <w:rsid w:val="001B0633"/>
    <w:pPr>
      <w:spacing w:after="0"/>
      <w:ind w:left="480"/>
    </w:pPr>
    <w:rPr>
      <w:sz w:val="20"/>
      <w:szCs w:val="20"/>
    </w:rPr>
  </w:style>
  <w:style w:type="paragraph" w:styleId="TOC4">
    <w:name w:val="toc 4"/>
    <w:basedOn w:val="Normal"/>
    <w:next w:val="Normal"/>
    <w:autoRedefine/>
    <w:uiPriority w:val="39"/>
    <w:semiHidden/>
    <w:unhideWhenUsed/>
    <w:rsid w:val="001B0633"/>
    <w:pPr>
      <w:spacing w:after="0"/>
      <w:ind w:left="720"/>
    </w:pPr>
    <w:rPr>
      <w:sz w:val="20"/>
      <w:szCs w:val="20"/>
    </w:rPr>
  </w:style>
  <w:style w:type="paragraph" w:styleId="TOC5">
    <w:name w:val="toc 5"/>
    <w:basedOn w:val="Normal"/>
    <w:next w:val="Normal"/>
    <w:autoRedefine/>
    <w:uiPriority w:val="39"/>
    <w:semiHidden/>
    <w:unhideWhenUsed/>
    <w:rsid w:val="001B0633"/>
    <w:pPr>
      <w:spacing w:after="0"/>
      <w:ind w:left="960"/>
    </w:pPr>
    <w:rPr>
      <w:sz w:val="20"/>
      <w:szCs w:val="20"/>
    </w:rPr>
  </w:style>
  <w:style w:type="paragraph" w:styleId="TOC6">
    <w:name w:val="toc 6"/>
    <w:basedOn w:val="Normal"/>
    <w:next w:val="Normal"/>
    <w:autoRedefine/>
    <w:uiPriority w:val="39"/>
    <w:semiHidden/>
    <w:unhideWhenUsed/>
    <w:rsid w:val="001B0633"/>
    <w:pPr>
      <w:spacing w:after="0"/>
      <w:ind w:left="1200"/>
    </w:pPr>
    <w:rPr>
      <w:sz w:val="20"/>
      <w:szCs w:val="20"/>
    </w:rPr>
  </w:style>
  <w:style w:type="paragraph" w:styleId="TOC7">
    <w:name w:val="toc 7"/>
    <w:basedOn w:val="Normal"/>
    <w:next w:val="Normal"/>
    <w:autoRedefine/>
    <w:uiPriority w:val="39"/>
    <w:semiHidden/>
    <w:unhideWhenUsed/>
    <w:rsid w:val="001B0633"/>
    <w:pPr>
      <w:spacing w:after="0"/>
      <w:ind w:left="1440"/>
    </w:pPr>
    <w:rPr>
      <w:sz w:val="20"/>
      <w:szCs w:val="20"/>
    </w:rPr>
  </w:style>
  <w:style w:type="paragraph" w:styleId="TOC8">
    <w:name w:val="toc 8"/>
    <w:basedOn w:val="Normal"/>
    <w:next w:val="Normal"/>
    <w:autoRedefine/>
    <w:uiPriority w:val="39"/>
    <w:semiHidden/>
    <w:unhideWhenUsed/>
    <w:rsid w:val="001B0633"/>
    <w:pPr>
      <w:spacing w:after="0"/>
      <w:ind w:left="1680"/>
    </w:pPr>
    <w:rPr>
      <w:sz w:val="20"/>
      <w:szCs w:val="20"/>
    </w:rPr>
  </w:style>
  <w:style w:type="paragraph" w:styleId="TOC9">
    <w:name w:val="toc 9"/>
    <w:basedOn w:val="Normal"/>
    <w:next w:val="Normal"/>
    <w:autoRedefine/>
    <w:uiPriority w:val="39"/>
    <w:semiHidden/>
    <w:unhideWhenUsed/>
    <w:rsid w:val="001B0633"/>
    <w:pPr>
      <w:spacing w:after="0"/>
      <w:ind w:left="1920"/>
    </w:pPr>
    <w:rPr>
      <w:sz w:val="20"/>
      <w:szCs w:val="20"/>
    </w:rPr>
  </w:style>
  <w:style w:type="character" w:styleId="PlaceholderText">
    <w:name w:val="Placeholder Text"/>
    <w:basedOn w:val="DefaultParagraphFont"/>
    <w:uiPriority w:val="99"/>
    <w:semiHidden/>
    <w:rsid w:val="00D212B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359703">
      <w:marLeft w:val="480"/>
      <w:marRight w:val="0"/>
      <w:marTop w:val="0"/>
      <w:marBottom w:val="0"/>
      <w:divBdr>
        <w:top w:val="none" w:sz="0" w:space="0" w:color="auto"/>
        <w:left w:val="none" w:sz="0" w:space="0" w:color="auto"/>
        <w:bottom w:val="none" w:sz="0" w:space="0" w:color="auto"/>
        <w:right w:val="none" w:sz="0" w:space="0" w:color="auto"/>
      </w:divBdr>
    </w:div>
    <w:div w:id="321933017">
      <w:marLeft w:val="480"/>
      <w:marRight w:val="0"/>
      <w:marTop w:val="0"/>
      <w:marBottom w:val="0"/>
      <w:divBdr>
        <w:top w:val="none" w:sz="0" w:space="0" w:color="auto"/>
        <w:left w:val="none" w:sz="0" w:space="0" w:color="auto"/>
        <w:bottom w:val="none" w:sz="0" w:space="0" w:color="auto"/>
        <w:right w:val="none" w:sz="0" w:space="0" w:color="auto"/>
      </w:divBdr>
    </w:div>
    <w:div w:id="451940120">
      <w:marLeft w:val="480"/>
      <w:marRight w:val="0"/>
      <w:marTop w:val="0"/>
      <w:marBottom w:val="0"/>
      <w:divBdr>
        <w:top w:val="none" w:sz="0" w:space="0" w:color="auto"/>
        <w:left w:val="none" w:sz="0" w:space="0" w:color="auto"/>
        <w:bottom w:val="none" w:sz="0" w:space="0" w:color="auto"/>
        <w:right w:val="none" w:sz="0" w:space="0" w:color="auto"/>
      </w:divBdr>
    </w:div>
    <w:div w:id="646131025">
      <w:marLeft w:val="480"/>
      <w:marRight w:val="0"/>
      <w:marTop w:val="0"/>
      <w:marBottom w:val="0"/>
      <w:divBdr>
        <w:top w:val="none" w:sz="0" w:space="0" w:color="auto"/>
        <w:left w:val="none" w:sz="0" w:space="0" w:color="auto"/>
        <w:bottom w:val="none" w:sz="0" w:space="0" w:color="auto"/>
        <w:right w:val="none" w:sz="0" w:space="0" w:color="auto"/>
      </w:divBdr>
    </w:div>
    <w:div w:id="896670218">
      <w:marLeft w:val="480"/>
      <w:marRight w:val="0"/>
      <w:marTop w:val="0"/>
      <w:marBottom w:val="0"/>
      <w:divBdr>
        <w:top w:val="none" w:sz="0" w:space="0" w:color="auto"/>
        <w:left w:val="none" w:sz="0" w:space="0" w:color="auto"/>
        <w:bottom w:val="none" w:sz="0" w:space="0" w:color="auto"/>
        <w:right w:val="none" w:sz="0" w:space="0" w:color="auto"/>
      </w:divBdr>
    </w:div>
    <w:div w:id="901674372">
      <w:marLeft w:val="480"/>
      <w:marRight w:val="0"/>
      <w:marTop w:val="0"/>
      <w:marBottom w:val="0"/>
      <w:divBdr>
        <w:top w:val="none" w:sz="0" w:space="0" w:color="auto"/>
        <w:left w:val="none" w:sz="0" w:space="0" w:color="auto"/>
        <w:bottom w:val="none" w:sz="0" w:space="0" w:color="auto"/>
        <w:right w:val="none" w:sz="0" w:space="0" w:color="auto"/>
      </w:divBdr>
    </w:div>
    <w:div w:id="1128745234">
      <w:marLeft w:val="480"/>
      <w:marRight w:val="0"/>
      <w:marTop w:val="0"/>
      <w:marBottom w:val="0"/>
      <w:divBdr>
        <w:top w:val="none" w:sz="0" w:space="0" w:color="auto"/>
        <w:left w:val="none" w:sz="0" w:space="0" w:color="auto"/>
        <w:bottom w:val="none" w:sz="0" w:space="0" w:color="auto"/>
        <w:right w:val="none" w:sz="0" w:space="0" w:color="auto"/>
      </w:divBdr>
    </w:div>
    <w:div w:id="1262758782">
      <w:marLeft w:val="480"/>
      <w:marRight w:val="0"/>
      <w:marTop w:val="0"/>
      <w:marBottom w:val="0"/>
      <w:divBdr>
        <w:top w:val="none" w:sz="0" w:space="0" w:color="auto"/>
        <w:left w:val="none" w:sz="0" w:space="0" w:color="auto"/>
        <w:bottom w:val="none" w:sz="0" w:space="0" w:color="auto"/>
        <w:right w:val="none" w:sz="0" w:space="0" w:color="auto"/>
      </w:divBdr>
    </w:div>
    <w:div w:id="1313873658">
      <w:marLeft w:val="480"/>
      <w:marRight w:val="0"/>
      <w:marTop w:val="0"/>
      <w:marBottom w:val="0"/>
      <w:divBdr>
        <w:top w:val="none" w:sz="0" w:space="0" w:color="auto"/>
        <w:left w:val="none" w:sz="0" w:space="0" w:color="auto"/>
        <w:bottom w:val="none" w:sz="0" w:space="0" w:color="auto"/>
        <w:right w:val="none" w:sz="0" w:space="0" w:color="auto"/>
      </w:divBdr>
    </w:div>
    <w:div w:id="1349600305">
      <w:marLeft w:val="480"/>
      <w:marRight w:val="0"/>
      <w:marTop w:val="0"/>
      <w:marBottom w:val="0"/>
      <w:divBdr>
        <w:top w:val="none" w:sz="0" w:space="0" w:color="auto"/>
        <w:left w:val="none" w:sz="0" w:space="0" w:color="auto"/>
        <w:bottom w:val="none" w:sz="0" w:space="0" w:color="auto"/>
        <w:right w:val="none" w:sz="0" w:space="0" w:color="auto"/>
      </w:divBdr>
    </w:div>
    <w:div w:id="1396734322">
      <w:marLeft w:val="480"/>
      <w:marRight w:val="0"/>
      <w:marTop w:val="0"/>
      <w:marBottom w:val="0"/>
      <w:divBdr>
        <w:top w:val="none" w:sz="0" w:space="0" w:color="auto"/>
        <w:left w:val="none" w:sz="0" w:space="0" w:color="auto"/>
        <w:bottom w:val="none" w:sz="0" w:space="0" w:color="auto"/>
        <w:right w:val="none" w:sz="0" w:space="0" w:color="auto"/>
      </w:divBdr>
    </w:div>
    <w:div w:id="1854806706">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6DAA269-898B-CE42-8882-C356AD871B84}"/>
      </w:docPartPr>
      <w:docPartBody>
        <w:p w:rsidR="000B0990" w:rsidRDefault="00926CE9">
          <w:r w:rsidRPr="00EC3385">
            <w:rPr>
              <w:rStyle w:val="PlaceholderText"/>
            </w:rPr>
            <w:t>Click or tap here to enter text.</w:t>
          </w:r>
        </w:p>
      </w:docPartBody>
    </w:docPart>
    <w:docPart>
      <w:docPartPr>
        <w:name w:val="D1E0273AE4113149B3E6996E58558C81"/>
        <w:category>
          <w:name w:val="General"/>
          <w:gallery w:val="placeholder"/>
        </w:category>
        <w:types>
          <w:type w:val="bbPlcHdr"/>
        </w:types>
        <w:behaviors>
          <w:behavior w:val="content"/>
        </w:behaviors>
        <w:guid w:val="{62344FEC-4603-F745-A208-5EF3BBE64A0C}"/>
      </w:docPartPr>
      <w:docPartBody>
        <w:p w:rsidR="000B0990" w:rsidRDefault="00926CE9" w:rsidP="00926CE9">
          <w:pPr>
            <w:pStyle w:val="D1E0273AE4113149B3E6996E58558C81"/>
          </w:pPr>
          <w:r w:rsidRPr="00EC338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CE9"/>
    <w:rsid w:val="000B0990"/>
    <w:rsid w:val="00422097"/>
    <w:rsid w:val="00926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6CE9"/>
    <w:rPr>
      <w:color w:val="666666"/>
    </w:rPr>
  </w:style>
  <w:style w:type="paragraph" w:customStyle="1" w:styleId="D1E0273AE4113149B3E6996E58558C81">
    <w:name w:val="D1E0273AE4113149B3E6996E58558C81"/>
    <w:rsid w:val="00926C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755C075-9859-9D4B-8DCB-937A0443321C}">
  <we:reference id="wa104382081" version="1.55.1.0" store="en-US" storeType="OMEX"/>
  <we:alternateReferences>
    <we:reference id="wa104382081" version="1.55.1.0" store="en-US" storeType="OMEX"/>
  </we:alternateReferences>
  <we:properties>
    <we:property name="MENDELEY_CITATIONS" value="[{&quot;citationID&quot;:&quot;MENDELEY_CITATION_a511be60-60ec-4892-bfbd-ac7114ba7812&quot;,&quot;properties&quot;:{&quot;noteIndex&quot;:0},&quot;isEdited&quot;:false,&quot;manualOverride&quot;:{&quot;isManuallyOverridden&quot;:false,&quot;citeprocText&quot;:&quot;(International Institute for Sustainable Development, 2016)&quot;,&quot;manualOverrideText&quot;:&quot;&quot;},&quot;citationTag&quot;:&quot;MENDELEY_CITATION_v3_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&quot;,&quot;citationItems&quot;:[{&quot;id&quot;:&quot;bf8f0de2-df79-3609-af0c-5d555c951143&quot;,&quot;itemData&quot;:{&quot;type&quot;:&quot;report&quot;,&quot;id&quot;:&quot;bf8f0de2-df79-3609-af0c-5d555c951143&quot;,&quot;title&quot;:&quot;Environmental Impact Assessment Training Manual&quot;,&quot;author&quot;:[{&quot;family&quot;:&quot;International Institute for Sustainable Development&quot;,&quot;given&quot;:&quot;&quot;,&quot;parse-names&quot;:false,&quot;dropping-particle&quot;:&quot;&quot;,&quot;non-dropping-particle&quot;:&quot;&quot;}],&quot;URL&quot;:&quot;www.iisd.org/learning/eia&quot;,&quot;issued&quot;:{&quot;date-parts&quot;:[[2016,5]]},&quot;number-of-pages&quot;:&quot;1&quot;,&quot;container-title-short&quot;:&quot;&quot;},&quot;isTemporary&quot;:false,&quot;suppress-author&quot;:false,&quot;composite&quot;:false,&quot;author-only&quot;:false}]},{&quot;citationID&quot;:&quot;MENDELEY_CITATION_1064f4c2-48cc-4dc2-a654-8e4fa8c18849&quot;,&quot;properties&quot;:{&quot;noteIndex&quot;:0},&quot;isEdited&quot;:false,&quot;manualOverride&quot;:{&quot;isManuallyOverridden&quot;:false,&quot;citeprocText&quot;:&quot;(Welsh Government, 2017)&quot;,&quot;manualOverrideText&quot;:&quot;&quot;},&quot;citationTag&quot;:&quot;MENDELEY_CITATION_v3_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&quot;,&quot;citationItems&quot;:[{&quot;id&quot;:&quot;0c515dce-a0e2-3fb9-8ef8-e764ada9c836&quot;,&quot;itemData&quot;:{&quot;type&quot;:&quot;report&quot;,&quot;id&quot;:&quot;0c515dce-a0e2-3fb9-8ef8-e764ada9c836&quot;,&quot;title&quot;:&quot;The Town and Country Planning (Environmental Impact Assessment) (Wales) Regulations 2017&quot;,&quot;author&quot;:[{&quot;family&quot;:&quot;Welsh Government&quot;,&quot;given&quot;:&quot;&quot;,&quot;parse-names&quot;:false,&quot;dropping-particle&quot;:&quot;&quot;,&quot;non-dropping-particle&quot;:&quot;&quot;}],&quot;accessed&quot;:{&quot;date-parts&quot;:[[2026,1,13]]},&quot;URL&quot;:&quot;https://senedd.wales/media/fronfphn/sub-ld11027-e.pdf&quot;,&quot;issued&quot;:{&quot;date-parts&quot;:[[2017]]},&quot;container-title-short&quot;:&quot;&quot;},&quot;isTemporary&quot;:false,&quot;suppress-author&quot;:false,&quot;composite&quot;:false,&quot;author-only&quot;:false}]},{&quot;citationID&quot;:&quot;MENDELEY_CITATION_ffb192f7-3933-44fb-9e69-9d4b6efeac4a&quot;,&quot;properties&quot;:{&quot;noteIndex&quot;:0},&quot;isEdited&quot;:false,&quot;manualOverride&quot;:{&quot;isManuallyOverridden&quot;:false,&quot;citeprocText&quot;:&quot;(Lee et al., 1999)&quot;,&quot;manualOverrideText&quot;:&quot;&quot;},&quot;citationTag&quot;:&quot;MENDELEY_CITATION_v3_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&quot;,&quot;citationItems&quot;:[{&quot;id&quot;:&quot;95a633e8-a3c5-38a5-b50b-b42115ac4db4&quot;,&quot;itemData&quot;:{&quot;type&quot;:&quot;report&quot;,&quot;id&quot;:&quot;95a633e8-a3c5-38a5-b50b-b42115ac4db4&quot;,&quot;title&quot;:&quot;Reviewing the Quality of Environmental Statements and Environmental Appraisals&quot;,&quot;author&quot;:[{&quot;family&quot;:&quot;Lee&quot;,&quot;given&quot;:&quot;Norman&quot;,&quot;parse-names&quot;:false,&quot;dropping-particle&quot;:&quot;&quot;,&quot;non-dropping-particle&quot;:&quot;&quot;},{&quot;family&quot;:&quot;Colley&quot;,&quot;given&quot;:&quot;Raymond&quot;,&quot;parse-names&quot;:false,&quot;dropping-particle&quot;:&quot;&quot;,&quot;non-dropping-particle&quot;:&quot;&quot;},{&quot;family&quot;:&quot;Bonde&quot;,&quot;given&quot;:&quot;Julia&quot;,&quot;parse-names&quot;:false,&quot;dropping-particle&quot;:&quot;&quot;,&quot;non-dropping-particle&quot;:&quot;&quot;}],&quot;accessed&quot;:{&quot;date-parts&quot;:[[2026,1,13]]},&quot;URL&quot;:&quot;https://aardlink.wordpress.com/wp-content/uploads/2013/08/op55.pdf&quot;,&quot;issued&quot;:{&quot;date-parts&quot;:[[1999]]},&quot;number-of-pages&quot;:&quot;1&quot;,&quot;container-title-short&quot;:&quot;&quot;},&quot;isTemporary&quot;:false,&quot;suppress-author&quot;:false,&quot;composite&quot;:false,&quot;author-only&quot;:false}]},{&quot;citationID&quot;:&quot;MENDELEY_CITATION_5804e60e-1c6b-4c5d-a2b1-54134d5a244f&quot;,&quot;properties&quot;:{&quot;noteIndex&quot;:0},&quot;isEdited&quot;:false,&quot;manualOverride&quot;:{&quot;isManuallyOverridden&quot;:false,&quot;citeprocText&quot;:&quot;(Institute of Environmental Management &amp;#38; Assessment, 2023)&quot;,&quot;manualOverrideText&quot;:&quot;&quot;},&quot;citationTag&quot;:&quot;MENDELEY_CITATION_v3_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&quot;,&quot;citationItems&quot;:[{&quot;id&quot;:&quot;d4cc395f-316c-3a74-adc9-1790c94541fe&quot;,&quot;itemData&quot;:{&quot;type&quot;:&quot;report&quot;,&quot;id&quot;:&quot;d4cc395f-316c-3a74-adc9-1790c94541fe&quot;,&quot;title&quot;:&quot;Effective Non-Technical Summaries for Environmental Impact Assessment&quot;,&quot;author&quot;:[{&quot;family&quot;:&quot;Institute of Environmental Management &amp; Assessment&quot;,&quot;given&quot;:&quot;&quot;,&quot;parse-names&quot;:false,&quot;dropping-particle&quot;:&quot;&quot;,&quot;non-dropping-particle&quot;:&quot;&quot;}],&quot;URL&quot;:&quot;https://eur-lex.europa.eu/legal-content/EN/TXT/PDF/?uri=CELEX:32014L0052&amp;rid=1&quot;,&quot;issued&quot;:{&quot;date-parts&quot;:[[2023,6]]},&quot;number-of-pages&quot;:&quot;1&quot;,&quot;container-title-short&quot;:&quot;&quot;},&quot;isTemporary&quot;:false,&quot;suppress-author&quot;:false,&quot;composite&quot;:false,&quot;author-only&quot;:false}]},{&quot;citationID&quot;:&quot;MENDELEY_CITATION_d4a20347-559c-47b5-bc3b-bde7ec1728d0&quot;,&quot;properties&quot;:{&quot;noteIndex&quot;:0},&quot;isEdited&quot;:false,&quot;manualOverride&quot;:{&quot;isManuallyOverridden&quot;:false,&quot;citeprocText&quot;:&quot;(The Urbanists, 2024)&quot;,&quot;manualOverrideText&quot;:&quot;&quot;},&quot;citationTag&quot;:&quot;MENDELEY_CITATION_v3_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&quot;,&quot;citationItems&quot;:[{&quot;id&quot;:&quot;81522e13-71d2-3649-bde6-7a7fcd728af3&quot;,&quot;itemData&quot;:{&quot;type&quot;:&quot;report&quot;,&quot;id&quot;:&quot;81522e13-71d2-3649-bde6-7a7fcd728af3&quot;,&quot;title&quot;:&quot;Parc Pelenna Leisure Proposals Vol.3 - Non Technical Summary&quot;,&quot;author&quot;:[{&quot;family&quot;:&quot;The Urbanists&quot;,&quot;given&quot;:&quot;&quot;,&quot;parse-names&quot;:false,&quot;dropping-particle&quot;:&quot;&quot;,&quot;non-dropping-particle&quot;:&quot;&quot;}],&quot;issued&quot;:{&quot;date-parts&quot;:[[2024,6,20]]},&quot;number-of-pages&quot;:&quot;7-8&quot;,&quot;container-title-short&quot;:&quot;&quot;},&quot;isTemporary&quot;:false,&quot;suppress-author&quot;:false,&quot;composite&quot;:false,&quot;author-only&quot;:false}]},{&quot;citationID&quot;:&quot;MENDELEY_CITATION_00c401e3-0eef-4880-8405-672aa6872a02&quot;,&quot;properties&quot;:{&quot;noteIndex&quot;:0},&quot;isEdited&quot;:false,&quot;manualOverride&quot;:{&quot;isManuallyOverridden&quot;:false,&quot;citeprocText&quot;:&quot;(Dartford Borough Council, 2026)&quot;,&quot;manualOverrideText&quot;:&quot;&quot;},&quot;citationTag&quot;:&quot;MENDELEY_CITATION_v3_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&quot;,&quot;citationItems&quot;:[{&quot;id&quot;:&quot;f5601e4e-8ccc-3b87-b20a-5bd9aa0b09ee&quot;,&quot;itemData&quot;:{&quot;type&quot;:&quot;webpage&quot;,&quot;id&quot;:&quot;f5601e4e-8ccc-3b87-b20a-5bd9aa0b09ee&quot;,&quot;title&quot;:&quot;What is a Screening Opinion?&quot;,&quot;author&quot;:[{&quot;family&quot;:&quot;Dartford Borough Council&quot;,&quot;given&quot;:&quot;&quot;,&quot;parse-names&quot;:false,&quot;dropping-particle&quot;:&quot;&quot;,&quot;non-dropping-particle&quot;:&quot;&quot;}],&quot;accessed&quot;:{&quot;date-parts&quot;:[[2026,1,13]]},&quot;URL&quot;:&quot;https://www.dartford.gov.uk/planning-3/screening-opinion/1&quot;,&quot;issued&quot;:{&quot;date-parts&quot;:[[2026]]},&quot;container-title-short&quot;:&quot;&quot;},&quot;isTemporary&quot;:false,&quot;suppress-author&quot;:false,&quot;composite&quot;:false,&quot;author-only&quot;:false}]},{&quot;citationID&quot;:&quot;MENDELEY_CITATION_ab8c77b3-dd23-4c60-9385-60c284264376&quot;,&quot;properties&quot;:{&quot;noteIndex&quot;:0},&quot;isEdited&quot;:false,&quot;manualOverride&quot;:{&quot;isManuallyOverridden&quot;:false,&quot;citeprocText&quot;:&quot;(Neath Port Talbot County Council, 2024)&quot;,&quot;manualOverrideText&quot;:&quot;&quot;},&quot;citationTag&quot;:&quot;MENDELEY_CITATION_v3_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&quot;,&quot;citationItems&quot;:[{&quot;id&quot;:&quot;6eec133e-8955-3c22-88b9-0a5f7a3f9733&quot;,&quot;itemData&quot;:{&quot;type&quot;:&quot;report&quot;,&quot;id&quot;:&quot;6eec133e-8955-3c22-88b9-0a5f7a3f9733&quot;,&quot;title&quot;:&quot;Neath Port Talbot County Borough Council Screening Opinion -Environmental Statement Required&quot;,&quot;author&quot;:[{&quot;family&quot;:&quot;Neath Port Talbot County Council&quot;,&quot;given&quot;:&quot;&quot;,&quot;parse-names&quot;:false,&quot;dropping-particle&quot;:&quot;&quot;,&quot;non-dropping-particle&quot;:&quot;&quot;}],&quot;issued&quot;:{&quot;date-parts&quot;:[[2024,4,2]]},&quot;container-title-short&quot;:&quot;&quot;},&quot;isTemporary&quot;:false,&quot;suppress-author&quot;:false,&quot;composite&quot;:false,&quot;author-only&quot;:false}]},{&quot;citationID&quot;:&quot;MENDELEY_CITATION_1b3f8af6-5f3a-4d08-ac12-fd088b954cce&quot;,&quot;properties&quot;:{&quot;noteIndex&quot;:0},&quot;isEdited&quot;:false,&quot;manualOverride&quot;:{&quot;isManuallyOverridden&quot;:false,&quot;citeprocText&quot;:&quot;(The Urbanists, 2024)&quot;,&quot;manualOverrideText&quot;:&quot;&quot;},&quot;citationTag&quot;:&quot;MENDELEY_CITATION_v3_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&quot;,&quot;citationItems&quot;:[{&quot;id&quot;:&quot;c9f38509-4b5e-32aa-98d3-cf95f73c5ce7&quot;,&quot;itemData&quot;:{&quot;type&quot;:&quot;report&quot;,&quot;id&quot;:&quot;c9f38509-4b5e-32aa-98d3-cf95f73c5ce7&quot;,&quot;title&quot;:&quot;Parc Pelenna EIA Scoping Statement&quot;,&quot;author&quot;:[{&quot;family&quot;:&quot;The Urbanists&quot;,&quot;given&quot;:&quot;&quot;,&quot;parse-names&quot;:false,&quot;dropping-particle&quot;:&quot;&quot;,&quot;non-dropping-particle&quot;:&quot;&quot;}],&quot;issued&quot;:{&quot;date-parts&quot;:[[2024,5]]},&quot;number-of-pages&quot;:&quot;11-15&quot;},&quot;isTemporary&quot;:false,&quot;suppress-author&quot;:false,&quot;composite&quot;:false,&quot;author-only&quot;:false}]},{&quot;citationID&quot;:&quot;MENDELEY_CITATION_1810c114-71df-4635-87e8-41f15a2d09ce&quot;,&quot;properties&quot;:{&quot;noteIndex&quot;:0},&quot;isEdited&quot;:false,&quot;manualOverride&quot;:{&quot;isManuallyOverridden&quot;:false,&quot;citeprocText&quot;:&quot;(Trivselhus UK, 2024)&quot;,&quot;manualOverrideText&quot;:&quot;&quot;},&quot;citationTag&quot;:&quot;MENDELEY_CITATION_v3_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&quot;,&quot;citationItems&quot;:[{&quot;id&quot;:&quot;7dd74997-fecc-36df-a54b-7422d544971f&quot;,&quot;itemData&quot;:{&quot;type&quot;:&quot;report&quot;,&quot;id&quot;:&quot;7dd74997-fecc-36df-a54b-7422d544971f&quot;,&quot;title&quot;:&quot;Parc Pelenna Environmental Statement CHAPTER 5-Alternative Sites&quot;,&quot;author&quot;:[{&quot;family&quot;:&quot;Trivselhus UK&quot;,&quot;given&quot;:&quot;&quot;,&quot;parse-names&quot;:false,&quot;dropping-particle&quot;:&quot;&quot;,&quot;non-dropping-particle&quot;:&quot;&quot;}],&quot;issued&quot;:{&quot;date-parts&quot;:[[2024]]},&quot;container-title-short&quot;:&quot;&quot;},&quot;isTemporary&quot;:false,&quot;suppress-author&quot;:false,&quot;composite&quot;:false,&quot;author-only&quot;:false}]},{&quot;citationID&quot;:&quot;MENDELEY_CITATION_6b51b22f-c758-4574-81f1-20dbab7a49e2&quot;,&quot;properties&quot;:{&quot;noteIndex&quot;:0},&quot;isEdited&quot;:false,&quot;manualOverride&quot;:{&quot;isManuallyOverridden&quot;:false,&quot;citeprocText&quot;:&quot;(Glucker et al., 2013)&quot;,&quot;manualOverrideText&quot;:&quot;&quot;},&quot;citationTag&quot;:&quot;MENDELEY_CITATION_v3_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&quot;,&quot;citationItems&quot;:[{&quot;id&quot;:&quot;5286a4fb-cfbf-350e-8e71-47bb7fb334b2&quot;,&quot;itemData&quot;:{&quot;type&quot;:&quot;article-journal&quot;,&quot;id&quot;:&quot;5286a4fb-cfbf-350e-8e71-47bb7fb334b2&quot;,&quot;title&quot;:&quot;Public participation in environmental impact assessment: why, who and how?&quot;,&quot;author&quot;:[{&quot;family&quot;:&quot;Glucker&quot;,&quot;given&quot;:&quot;Anne N.&quot;,&quot;parse-names&quot;:false,&quot;dropping-particle&quot;:&quot;&quot;,&quot;non-dropping-particle&quot;:&quot;&quot;},{&quot;family&quot;:&quot;Driessen&quot;,&quot;given&quot;:&quot;Peter P.J.&quot;,&quot;parse-names&quot;:false,&quot;dropping-particle&quot;:&quot;&quot;,&quot;non-dropping-particle&quot;:&quot;&quot;},{&quot;family&quot;:&quot;Kolhoff&quot;,&quot;given&quot;:&quot;Arend&quot;,&quot;parse-names&quot;:false,&quot;dropping-particle&quot;:&quot;&quot;,&quot;non-dropping-particle&quot;:&quot;&quot;},{&quot;family&quot;:&quot;Runhaar&quot;,&quot;given&quot;:&quot;Hens A.C.&quot;,&quot;parse-names&quot;:false,&quot;dropping-particle&quot;:&quot;&quot;,&quot;non-dropping-particle&quot;:&quot;&quot;}],&quot;container-title&quot;:&quot;Environmental Impact Assessment Review&quot;,&quot;container-title-short&quot;:&quot;Environ Impact Assess Rev&quot;,&quot;accessed&quot;:{&quot;date-parts&quot;:[[2026,1,13]]},&quot;DOI&quot;:&quot;10.1016/J.EIAR.2013.06.003&quot;,&quot;ISSN&quot;:&quot;0195-9255&quot;,&quot;URL&quot;:&quot;https://www.sciencedirect.com/science/article/pii/S0195925513000711&quot;,&quot;issued&quot;:{&quot;date-parts&quot;:[[2013,11]]},&quot;page&quot;:&quot;104&quot;,&quot;abstract&quot;:&quot;Even a cursory glance at the literature on environmental impact assessment (EIA) reveals that public participation is being considered as an integral part of the assessment procedure. Public participation in EIA is commonly deemed to foster democratic policy-making and to render EIA more effective. Yet a closer look at the literature unveils that, beyond this general assertion, opinions of the precise meaning, objectives and adequate representation of public participation in EIA considerably diverge. Against this background, in this article we aim to provide a comprehensive overview of the academic debate on public participation in EIA concerning its meaning, objectives and adequate level of inclusiveness. In so doing, we hope to stimulate a more focused debate on the subject, which is key to advancing the research agenda. Furthermore, this paper may serve as a starting point for practitioners involved in defining the role of public participation in EIA practice. © 2013 Elsevier Inc.&quot;,&quot;publisher&quot;:&quot;Elsevier&quot;,&quot;volume&quot;:&quot;43&quot;},&quot;isTemporary&quot;:false,&quot;suppress-author&quot;:false,&quot;composite&quot;:false,&quot;author-only&quot;:false}]},{&quot;citationID&quot;:&quot;MENDELEY_CITATION_89bef9d7-6ee8-4127-9fef-3a576bedcc2d&quot;,&quot;properties&quot;:{&quot;noteIndex&quot;:0},&quot;isEdited&quot;:false,&quot;manualOverride&quot;:{&quot;isManuallyOverridden&quot;:false,&quot;citeprocText&quot;:&quot;(Trisvelus UK, 2024)&quot;,&quot;manualOverrideText&quot;:&quot;&quot;},&quot;citationTag&quot;:&quot;MENDELEY_CITATION_v3_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&quot;,&quot;citationItems&quot;:[{&quot;id&quot;:&quot;62457718-36ce-387f-813b-aafb006b72bc&quot;,&quot;itemData&quot;:{&quot;type&quot;:&quot;report&quot;,&quot;id&quot;:&quot;62457718-36ce-387f-813b-aafb006b72bc&quot;,&quot;title&quot;:&quot;Parc Pelenna, Trisvelus UK Holdings Ltd&quot;,&quot;author&quot;:[{&quot;family&quot;:&quot;Trisvelus UK&quot;,&quot;given&quot;:&quot;&quot;,&quot;parse-names&quot;:false,&quot;dropping-particle&quot;:&quot;&quot;,&quot;non-dropping-particle&quot;:&quot;&quot;}],&quot;issued&quot;:{&quot;date-parts&quot;:[[2024,8]]},&quot;container-title-short&quot;:&quot;&quot;},&quot;isTemporary&quot;:false,&quot;suppress-author&quot;:false,&quot;composite&quot;:false,&quot;author-only&quot;:false}]},{&quot;citationID&quot;:&quot;MENDELEY_CITATION_8f64c49a-4f3d-4d49-86c2-6a34963626b7&quot;,&quot;properties&quot;:{&quot;noteIndex&quot;:0},&quot;isEdited&quot;:false,&quot;manualOverride&quot;:{&quot;isManuallyOverridden&quot;:false,&quot;citeprocText&quot;:&quot;(HOW Planning LLP, 2012)&quot;,&quot;manualOverrideText&quot;:&quot;&quot;},&quot;citationTag&quot;:&quot;MENDELEY_CITATION_v3_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&quot;,&quot;citationItems&quot;:[{&quot;id&quot;:&quot;97ce02ee-c67e-308e-8c77-7ef3c951a4c7&quot;,&quot;itemData&quot;:{&quot;type&quot;:&quot;report&quot;,&quot;id&quot;:&quot;97ce02ee-c67e-308e-8c77-7ef3c951a4c7&quot;,&quot;title&quot;:&quot;Penrhos Leisure Village\nEnvironmental Statement Volume 1:\nNon Technical Summary&quot;,&quot;author&quot;:[{&quot;family&quot;:&quot;HOW Planning LLP&quot;,&quot;given&quot;:&quot;&quot;,&quot;parse-names&quot;:false,&quot;dropping-particle&quot;:&quot;&quot;,&quot;non-dropping-particle&quot;:&quot;&quot;}],&quot;issued&quot;:{&quot;date-parts&quot;:[[2012,11]]},&quot;number-of-pages&quot;:&quot;4-10&quot;},&quot;isTemporary&quot;:false,&quot;suppress-author&quot;:false,&quot;composite&quot;:false,&quot;author-only&quot;:false}]},{&quot;citationID&quot;:&quot;MENDELEY_CITATION_b7b36293-4311-4e18-a610-605db9553a8a&quot;,&quot;properties&quot;:{&quot;noteIndex&quot;:0},&quot;isEdited&quot;:false,&quot;manualOverride&quot;:{&quot;isManuallyOverridden&quot;:false,&quot;citeprocText&quot;:&quot;(HOW Planning LLP, 2012)&quot;,&quot;manualOverrideText&quot;:&quot;&quot;},&quot;citationTag&quot;:&quot;MENDELEY_CITATION_v3_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&quot;,&quot;citationItems&quot;:[{&quot;id&quot;:&quot;97ce02ee-c67e-308e-8c77-7ef3c951a4c7&quot;,&quot;itemData&quot;:{&quot;type&quot;:&quot;report&quot;,&quot;id&quot;:&quot;97ce02ee-c67e-308e-8c77-7ef3c951a4c7&quot;,&quot;title&quot;:&quot;Penrhos Leisure Village\nEnvironmental Statement Volume 1:\nNon Technical Summary&quot;,&quot;author&quot;:[{&quot;family&quot;:&quot;HOW Planning LLP&quot;,&quot;given&quot;:&quot;&quot;,&quot;parse-names&quot;:false,&quot;dropping-particle&quot;:&quot;&quot;,&quot;non-dropping-particle&quot;:&quot;&quot;}],&quot;issued&quot;:{&quot;date-parts&quot;:[[2012,11]]},&quot;number-of-pages&quot;:&quot;4-10&quot;,&quot;container-title-short&quot;:&quot;&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Final Word Count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892051-6366-3448-9BE7-AA366A73C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9</Pages>
  <Words>2581</Words>
  <Characters>14716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Assignment Title</vt:lpstr>
    </vt:vector>
  </TitlesOfParts>
  <Company>University of wales trinity saint david</Company>
  <LinksUpToDate>false</LinksUpToDate>
  <CharactersWithSpaces>17263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EIA Critique</dc:title>
  <dc:subject>Environmental Assessment, management and auditing</dc:subject>
  <dc:creator>Luca Burgess</dc:creator>
  <cp:keywords/>
  <dc:description/>
  <cp:lastModifiedBy>Luca Burgess</cp:lastModifiedBy>
  <cp:revision>404</cp:revision>
  <dcterms:created xsi:type="dcterms:W3CDTF">2025-12-08T11:34:00Z</dcterms:created>
  <dcterms:modified xsi:type="dcterms:W3CDTF">2026-01-13T21:20:00Z</dcterms:modified>
</cp:coreProperties>
</file>