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1DCBE" w14:textId="337F7AE1" w:rsidR="005007DE" w:rsidRPr="005007DE" w:rsidRDefault="271A9774" w:rsidP="5CAAD95B">
      <w:pPr>
        <w:jc w:val="center"/>
        <w:rPr>
          <w:rFonts w:ascii="Calibri" w:eastAsia="Calibri" w:hAnsi="Calibri" w:cs="Calibri"/>
        </w:rPr>
      </w:pPr>
      <w:r>
        <w:drawing>
          <wp:inline distT="0" distB="0" distL="0" distR="0" wp14:anchorId="59ADA87D" wp14:editId="1702473E">
            <wp:extent cx="2400300" cy="952500"/>
            <wp:effectExtent l="0" t="0" r="0" b="0"/>
            <wp:docPr id="1858546441" name="drawing" title="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546441" name="Picture 1858546441"/>
                    <pic:cNvPicPr/>
                  </pic:nvPicPr>
                  <pic:blipFill>
                    <a:blip r:embed="rId7">
                      <a:extLst>
                        <a:ext uri="{28A0092B-C50C-407E-A947-70E740481C1C}">
                          <a14:useLocalDpi xmlns:a14="http://schemas.microsoft.com/office/drawing/2010/main"/>
                        </a:ext>
                      </a:extLst>
                    </a:blip>
                    <a:stretch>
                      <a:fillRect/>
                    </a:stretch>
                  </pic:blipFill>
                  <pic:spPr>
                    <a:xfrm>
                      <a:off x="0" y="0"/>
                      <a:ext cx="2400300" cy="952500"/>
                    </a:xfrm>
                    <a:prstGeom prst="rect">
                      <a:avLst/>
                    </a:prstGeom>
                  </pic:spPr>
                </pic:pic>
              </a:graphicData>
            </a:graphic>
          </wp:inline>
        </w:drawing>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343"/>
        <w:gridCol w:w="2738"/>
        <w:gridCol w:w="2251"/>
        <w:gridCol w:w="1678"/>
      </w:tblGrid>
      <w:tr w:rsidR="5CAAD95B" w:rsidRPr="00887F22" w14:paraId="446CFF16" w14:textId="77777777" w:rsidTr="5CAAD95B">
        <w:trPr>
          <w:trHeight w:val="990"/>
        </w:trPr>
        <w:tc>
          <w:tcPr>
            <w:tcW w:w="243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18C1192" w14:textId="1D9746FF" w:rsidR="5CAAD95B" w:rsidRPr="00887F22" w:rsidRDefault="5CAAD95B" w:rsidP="5CAAD95B">
            <w:pPr>
              <w:spacing w:after="160" w:line="259" w:lineRule="auto"/>
              <w:rPr>
                <w:rFonts w:ascii="Arial" w:eastAsia="Calibri" w:hAnsi="Arial" w:cs="Arial"/>
                <w:sz w:val="36"/>
                <w:szCs w:val="36"/>
              </w:rPr>
            </w:pPr>
            <w:r w:rsidRPr="00887F22">
              <w:rPr>
                <w:rFonts w:ascii="Arial" w:eastAsia="Calibri" w:hAnsi="Arial" w:cs="Arial"/>
                <w:b/>
                <w:bCs/>
                <w:sz w:val="36"/>
                <w:szCs w:val="36"/>
              </w:rPr>
              <w:t>Student Name:</w:t>
            </w:r>
          </w:p>
        </w:tc>
        <w:tc>
          <w:tcPr>
            <w:tcW w:w="310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345418F" w14:textId="79039EA7" w:rsidR="1BE8513F" w:rsidRPr="00887F22" w:rsidRDefault="1BE8513F" w:rsidP="5CAAD95B">
            <w:pPr>
              <w:spacing w:after="160" w:line="259" w:lineRule="auto"/>
              <w:rPr>
                <w:rFonts w:ascii="Arial" w:hAnsi="Arial" w:cs="Arial"/>
              </w:rPr>
            </w:pPr>
            <w:r w:rsidRPr="00887F22">
              <w:rPr>
                <w:rFonts w:ascii="Arial" w:eastAsia="Calibri" w:hAnsi="Arial" w:cs="Arial"/>
                <w:sz w:val="36"/>
                <w:szCs w:val="36"/>
              </w:rPr>
              <w:t>Soham Yadav</w:t>
            </w:r>
          </w:p>
        </w:tc>
        <w:tc>
          <w:tcPr>
            <w:tcW w:w="185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3F190F7" w14:textId="5B5A9A69" w:rsidR="5CAAD95B" w:rsidRPr="00887F22" w:rsidRDefault="5CAAD95B" w:rsidP="5CAAD95B">
            <w:pPr>
              <w:spacing w:after="160" w:line="259" w:lineRule="auto"/>
              <w:rPr>
                <w:rFonts w:ascii="Arial" w:eastAsia="Calibri" w:hAnsi="Arial" w:cs="Arial"/>
                <w:sz w:val="36"/>
                <w:szCs w:val="36"/>
              </w:rPr>
            </w:pPr>
            <w:r w:rsidRPr="00887F22">
              <w:rPr>
                <w:rFonts w:ascii="Arial" w:eastAsia="Calibri" w:hAnsi="Arial" w:cs="Arial"/>
                <w:b/>
                <w:bCs/>
                <w:sz w:val="36"/>
                <w:szCs w:val="36"/>
              </w:rPr>
              <w:t>Student ID:</w:t>
            </w:r>
          </w:p>
        </w:tc>
        <w:tc>
          <w:tcPr>
            <w:tcW w:w="221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3D893AE" w14:textId="67E37B7A" w:rsidR="5CAAD95B" w:rsidRPr="00887F22" w:rsidRDefault="00B21578" w:rsidP="5CAAD95B">
            <w:pPr>
              <w:spacing w:after="160" w:line="259" w:lineRule="auto"/>
              <w:rPr>
                <w:rFonts w:ascii="Arial" w:eastAsia="Calibri" w:hAnsi="Arial" w:cs="Arial"/>
                <w:sz w:val="36"/>
                <w:szCs w:val="36"/>
              </w:rPr>
            </w:pPr>
            <w:r w:rsidRPr="00887F22">
              <w:rPr>
                <w:rFonts w:ascii="Arial" w:eastAsia="Calibri" w:hAnsi="Arial" w:cs="Arial"/>
                <w:sz w:val="36"/>
                <w:szCs w:val="36"/>
              </w:rPr>
              <w:t>2503139</w:t>
            </w:r>
          </w:p>
        </w:tc>
      </w:tr>
      <w:tr w:rsidR="5CAAD95B" w:rsidRPr="00887F22" w14:paraId="205C11C5" w14:textId="77777777" w:rsidTr="5CAAD95B">
        <w:trPr>
          <w:trHeight w:val="915"/>
        </w:trPr>
        <w:tc>
          <w:tcPr>
            <w:tcW w:w="243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950F27B" w14:textId="50EEF619" w:rsidR="5CAAD95B" w:rsidRPr="00887F22" w:rsidRDefault="5CAAD95B" w:rsidP="5CAAD95B">
            <w:pPr>
              <w:spacing w:after="160" w:line="259" w:lineRule="auto"/>
              <w:rPr>
                <w:rFonts w:ascii="Arial" w:eastAsia="Calibri" w:hAnsi="Arial" w:cs="Arial"/>
                <w:sz w:val="36"/>
                <w:szCs w:val="36"/>
              </w:rPr>
            </w:pPr>
            <w:r w:rsidRPr="00887F22">
              <w:rPr>
                <w:rFonts w:ascii="Arial" w:eastAsia="Calibri" w:hAnsi="Arial" w:cs="Arial"/>
                <w:b/>
                <w:bCs/>
                <w:sz w:val="36"/>
                <w:szCs w:val="36"/>
              </w:rPr>
              <w:t>Programme:</w:t>
            </w:r>
          </w:p>
        </w:tc>
        <w:tc>
          <w:tcPr>
            <w:tcW w:w="7170"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1CA5E2C" w14:textId="76553084" w:rsidR="5CAAD95B" w:rsidRPr="00887F22" w:rsidRDefault="5CAAD95B" w:rsidP="5CAAD95B">
            <w:pPr>
              <w:spacing w:after="160" w:line="259" w:lineRule="auto"/>
              <w:rPr>
                <w:rFonts w:ascii="Arial" w:eastAsia="Calibri" w:hAnsi="Arial" w:cs="Arial"/>
                <w:sz w:val="36"/>
                <w:szCs w:val="36"/>
              </w:rPr>
            </w:pPr>
            <w:r w:rsidRPr="00887F22">
              <w:rPr>
                <w:rFonts w:ascii="Arial" w:eastAsia="Calibri" w:hAnsi="Arial" w:cs="Arial"/>
                <w:sz w:val="36"/>
                <w:szCs w:val="36"/>
              </w:rPr>
              <w:t>Master of Business Administration</w:t>
            </w:r>
          </w:p>
        </w:tc>
      </w:tr>
      <w:tr w:rsidR="5CAAD95B" w:rsidRPr="00887F22" w14:paraId="1248EB02" w14:textId="77777777" w:rsidTr="5CAAD95B">
        <w:trPr>
          <w:trHeight w:val="990"/>
        </w:trPr>
        <w:tc>
          <w:tcPr>
            <w:tcW w:w="243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667A344" w14:textId="3725A4E1" w:rsidR="5CAAD95B" w:rsidRPr="00887F22" w:rsidRDefault="5CAAD95B" w:rsidP="5CAAD95B">
            <w:pPr>
              <w:spacing w:after="160" w:line="259" w:lineRule="auto"/>
              <w:rPr>
                <w:rFonts w:ascii="Arial" w:eastAsia="Calibri" w:hAnsi="Arial" w:cs="Arial"/>
                <w:sz w:val="36"/>
                <w:szCs w:val="36"/>
              </w:rPr>
            </w:pPr>
            <w:r w:rsidRPr="00887F22">
              <w:rPr>
                <w:rFonts w:ascii="Arial" w:eastAsia="Calibri" w:hAnsi="Arial" w:cs="Arial"/>
                <w:b/>
                <w:bCs/>
                <w:sz w:val="36"/>
                <w:szCs w:val="36"/>
              </w:rPr>
              <w:t>Module:</w:t>
            </w:r>
          </w:p>
        </w:tc>
        <w:tc>
          <w:tcPr>
            <w:tcW w:w="7170"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105A414" w14:textId="36A47EE5" w:rsidR="5CAAD95B" w:rsidRPr="00887F22" w:rsidRDefault="5CAAD95B" w:rsidP="5CAAD95B">
            <w:pPr>
              <w:spacing w:after="160" w:line="259" w:lineRule="auto"/>
              <w:rPr>
                <w:rFonts w:ascii="Arial" w:eastAsia="Calibri" w:hAnsi="Arial" w:cs="Arial"/>
                <w:sz w:val="36"/>
                <w:szCs w:val="36"/>
              </w:rPr>
            </w:pPr>
            <w:r w:rsidRPr="00887F22">
              <w:rPr>
                <w:rFonts w:ascii="Arial" w:eastAsia="Calibri" w:hAnsi="Arial" w:cs="Arial"/>
                <w:sz w:val="36"/>
                <w:szCs w:val="36"/>
              </w:rPr>
              <w:t>Marketing Management</w:t>
            </w:r>
          </w:p>
        </w:tc>
      </w:tr>
      <w:tr w:rsidR="5CAAD95B" w:rsidRPr="00887F22" w14:paraId="0CDA9E36" w14:textId="77777777" w:rsidTr="5CAAD95B">
        <w:trPr>
          <w:trHeight w:val="990"/>
        </w:trPr>
        <w:tc>
          <w:tcPr>
            <w:tcW w:w="243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0011BC3" w14:textId="313C9447" w:rsidR="5CAAD95B" w:rsidRPr="00887F22" w:rsidRDefault="5CAAD95B" w:rsidP="5CAAD95B">
            <w:pPr>
              <w:spacing w:after="160" w:line="259" w:lineRule="auto"/>
              <w:rPr>
                <w:rFonts w:ascii="Arial" w:eastAsia="Calibri" w:hAnsi="Arial" w:cs="Arial"/>
                <w:sz w:val="36"/>
                <w:szCs w:val="36"/>
              </w:rPr>
            </w:pPr>
            <w:r w:rsidRPr="00887F22">
              <w:rPr>
                <w:rFonts w:ascii="Arial" w:eastAsia="Calibri" w:hAnsi="Arial" w:cs="Arial"/>
                <w:b/>
                <w:bCs/>
                <w:sz w:val="36"/>
                <w:szCs w:val="36"/>
              </w:rPr>
              <w:t>Module Code:</w:t>
            </w:r>
          </w:p>
        </w:tc>
        <w:tc>
          <w:tcPr>
            <w:tcW w:w="7170"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0F00F3E" w14:textId="55080464" w:rsidR="5CAAD95B" w:rsidRPr="00887F22" w:rsidRDefault="5CAAD95B" w:rsidP="5CAAD95B">
            <w:pPr>
              <w:spacing w:after="160" w:line="259" w:lineRule="auto"/>
              <w:rPr>
                <w:rFonts w:ascii="Arial" w:eastAsia="Calibri" w:hAnsi="Arial" w:cs="Arial"/>
                <w:sz w:val="36"/>
                <w:szCs w:val="36"/>
              </w:rPr>
            </w:pPr>
            <w:r w:rsidRPr="00887F22">
              <w:rPr>
                <w:rFonts w:ascii="Arial" w:eastAsia="Calibri" w:hAnsi="Arial" w:cs="Arial"/>
                <w:sz w:val="36"/>
                <w:szCs w:val="36"/>
              </w:rPr>
              <w:t>LCMB7024</w:t>
            </w:r>
          </w:p>
        </w:tc>
      </w:tr>
      <w:tr w:rsidR="5CAAD95B" w:rsidRPr="00887F22" w14:paraId="7A37DC13" w14:textId="77777777" w:rsidTr="5CAAD95B">
        <w:trPr>
          <w:trHeight w:val="990"/>
        </w:trPr>
        <w:tc>
          <w:tcPr>
            <w:tcW w:w="243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185393B" w14:textId="6A7EC0F5" w:rsidR="5CAAD95B" w:rsidRPr="00887F22" w:rsidRDefault="5CAAD95B" w:rsidP="5CAAD95B">
            <w:pPr>
              <w:spacing w:after="160" w:line="259" w:lineRule="auto"/>
              <w:rPr>
                <w:rFonts w:ascii="Arial" w:eastAsia="Calibri" w:hAnsi="Arial" w:cs="Arial"/>
                <w:sz w:val="36"/>
                <w:szCs w:val="36"/>
              </w:rPr>
            </w:pPr>
            <w:r w:rsidRPr="00887F22">
              <w:rPr>
                <w:rFonts w:ascii="Arial" w:eastAsia="Calibri" w:hAnsi="Arial" w:cs="Arial"/>
                <w:b/>
                <w:bCs/>
                <w:sz w:val="36"/>
                <w:szCs w:val="36"/>
              </w:rPr>
              <w:t>Assignment Title:</w:t>
            </w:r>
          </w:p>
        </w:tc>
        <w:tc>
          <w:tcPr>
            <w:tcW w:w="7170"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28F31B8" w14:textId="0CEE3990" w:rsidR="5CAAD95B" w:rsidRPr="00887F22" w:rsidRDefault="5CAAD95B" w:rsidP="5CAAD95B">
            <w:pPr>
              <w:spacing w:after="160" w:line="259" w:lineRule="auto"/>
              <w:rPr>
                <w:rFonts w:ascii="Arial" w:eastAsia="Calibri" w:hAnsi="Arial" w:cs="Arial"/>
                <w:sz w:val="36"/>
                <w:szCs w:val="36"/>
              </w:rPr>
            </w:pPr>
            <w:r w:rsidRPr="00887F22">
              <w:rPr>
                <w:rFonts w:ascii="Arial" w:eastAsia="Calibri" w:hAnsi="Arial" w:cs="Arial"/>
                <w:sz w:val="36"/>
                <w:szCs w:val="36"/>
              </w:rPr>
              <w:t>Assessment component 1: Marketing Environment Analysis</w:t>
            </w:r>
          </w:p>
        </w:tc>
      </w:tr>
      <w:tr w:rsidR="5CAAD95B" w:rsidRPr="00887F22" w14:paraId="5779218E" w14:textId="77777777" w:rsidTr="5CAAD95B">
        <w:trPr>
          <w:trHeight w:val="915"/>
        </w:trPr>
        <w:tc>
          <w:tcPr>
            <w:tcW w:w="243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138DC0E" w14:textId="69E6B90A" w:rsidR="5CAAD95B" w:rsidRPr="00887F22" w:rsidRDefault="5CAAD95B" w:rsidP="5CAAD95B">
            <w:pPr>
              <w:spacing w:after="160" w:line="259" w:lineRule="auto"/>
              <w:rPr>
                <w:rFonts w:ascii="Arial" w:eastAsia="Calibri" w:hAnsi="Arial" w:cs="Arial"/>
                <w:sz w:val="36"/>
                <w:szCs w:val="36"/>
              </w:rPr>
            </w:pPr>
            <w:r w:rsidRPr="00887F22">
              <w:rPr>
                <w:rFonts w:ascii="Arial" w:eastAsia="Calibri" w:hAnsi="Arial" w:cs="Arial"/>
                <w:b/>
                <w:bCs/>
                <w:sz w:val="36"/>
                <w:szCs w:val="36"/>
              </w:rPr>
              <w:t>Lecturer Name:</w:t>
            </w:r>
          </w:p>
        </w:tc>
        <w:tc>
          <w:tcPr>
            <w:tcW w:w="7170"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64CB6C5" w14:textId="65733F1D" w:rsidR="5CAAD95B" w:rsidRPr="00887F22" w:rsidRDefault="00B21578" w:rsidP="5CAAD95B">
            <w:pPr>
              <w:spacing w:after="160" w:line="259" w:lineRule="auto"/>
              <w:rPr>
                <w:rFonts w:ascii="Arial" w:eastAsia="Calibri" w:hAnsi="Arial" w:cs="Arial"/>
                <w:sz w:val="36"/>
                <w:szCs w:val="36"/>
              </w:rPr>
            </w:pPr>
            <w:r w:rsidRPr="00887F22">
              <w:rPr>
                <w:rFonts w:ascii="Arial" w:eastAsia="Calibri" w:hAnsi="Arial" w:cs="Arial"/>
                <w:sz w:val="36"/>
                <w:szCs w:val="36"/>
              </w:rPr>
              <w:t>Dr. Muhammed Tariq</w:t>
            </w:r>
          </w:p>
        </w:tc>
      </w:tr>
      <w:tr w:rsidR="5CAAD95B" w:rsidRPr="00887F22" w14:paraId="637B7A5E" w14:textId="77777777" w:rsidTr="5CAAD95B">
        <w:trPr>
          <w:trHeight w:val="990"/>
        </w:trPr>
        <w:tc>
          <w:tcPr>
            <w:tcW w:w="2438"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727D7CE" w14:textId="3ACFDCB3" w:rsidR="5CAAD95B" w:rsidRPr="00887F22" w:rsidRDefault="5CAAD95B" w:rsidP="5CAAD95B">
            <w:pPr>
              <w:spacing w:after="160" w:line="259" w:lineRule="auto"/>
              <w:rPr>
                <w:rFonts w:ascii="Arial" w:eastAsia="Calibri" w:hAnsi="Arial" w:cs="Arial"/>
                <w:sz w:val="36"/>
                <w:szCs w:val="36"/>
              </w:rPr>
            </w:pPr>
            <w:r w:rsidRPr="00887F22">
              <w:rPr>
                <w:rFonts w:ascii="Arial" w:eastAsia="Calibri" w:hAnsi="Arial" w:cs="Arial"/>
                <w:b/>
                <w:bCs/>
                <w:sz w:val="36"/>
                <w:szCs w:val="36"/>
              </w:rPr>
              <w:t>Word Count:</w:t>
            </w:r>
          </w:p>
        </w:tc>
        <w:tc>
          <w:tcPr>
            <w:tcW w:w="310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1360D44" w14:textId="4630182E" w:rsidR="5CAAD95B" w:rsidRPr="00887F22" w:rsidRDefault="5CAAD95B" w:rsidP="5CAAD95B">
            <w:pPr>
              <w:spacing w:after="160" w:line="259" w:lineRule="auto"/>
              <w:rPr>
                <w:rFonts w:ascii="Arial" w:eastAsia="Calibri" w:hAnsi="Arial" w:cs="Arial"/>
                <w:sz w:val="36"/>
                <w:szCs w:val="36"/>
              </w:rPr>
            </w:pPr>
            <w:r w:rsidRPr="00887F22">
              <w:rPr>
                <w:rFonts w:ascii="Arial" w:eastAsia="Calibri" w:hAnsi="Arial" w:cs="Arial"/>
                <w:sz w:val="36"/>
                <w:szCs w:val="36"/>
              </w:rPr>
              <w:t>2</w:t>
            </w:r>
            <w:r w:rsidR="0CBBC651" w:rsidRPr="00887F22">
              <w:rPr>
                <w:rFonts w:ascii="Arial" w:eastAsia="Calibri" w:hAnsi="Arial" w:cs="Arial"/>
                <w:sz w:val="36"/>
                <w:szCs w:val="36"/>
              </w:rPr>
              <w:t>590</w:t>
            </w:r>
            <w:r w:rsidRPr="00887F22">
              <w:rPr>
                <w:rFonts w:ascii="Arial" w:eastAsia="Calibri" w:hAnsi="Arial" w:cs="Arial"/>
                <w:sz w:val="36"/>
                <w:szCs w:val="36"/>
              </w:rPr>
              <w:t>(Excluding Refernces)</w:t>
            </w:r>
          </w:p>
        </w:tc>
        <w:tc>
          <w:tcPr>
            <w:tcW w:w="1853"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637E6A2" w14:textId="0E71AE99" w:rsidR="5CAAD95B" w:rsidRPr="00887F22" w:rsidRDefault="5CAAD95B" w:rsidP="5CAAD95B">
            <w:pPr>
              <w:spacing w:after="160" w:line="259" w:lineRule="auto"/>
              <w:rPr>
                <w:rFonts w:ascii="Arial" w:eastAsia="Calibri" w:hAnsi="Arial" w:cs="Arial"/>
                <w:sz w:val="36"/>
                <w:szCs w:val="36"/>
              </w:rPr>
            </w:pPr>
            <w:r w:rsidRPr="00887F22">
              <w:rPr>
                <w:rFonts w:ascii="Arial" w:eastAsia="Calibri" w:hAnsi="Arial" w:cs="Arial"/>
                <w:b/>
                <w:bCs/>
                <w:sz w:val="36"/>
                <w:szCs w:val="36"/>
              </w:rPr>
              <w:t>Submission Date:</w:t>
            </w:r>
          </w:p>
        </w:tc>
        <w:tc>
          <w:tcPr>
            <w:tcW w:w="221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E30DCF0" w14:textId="7C3EA4D4" w:rsidR="5CAAD95B" w:rsidRPr="00887F22" w:rsidRDefault="5CAAD95B" w:rsidP="5CAAD95B">
            <w:pPr>
              <w:spacing w:after="160" w:line="259" w:lineRule="auto"/>
              <w:rPr>
                <w:rFonts w:ascii="Arial" w:eastAsia="Calibri" w:hAnsi="Arial" w:cs="Arial"/>
                <w:sz w:val="36"/>
                <w:szCs w:val="36"/>
              </w:rPr>
            </w:pPr>
            <w:r w:rsidRPr="00887F22">
              <w:rPr>
                <w:rFonts w:ascii="Arial" w:eastAsia="Calibri" w:hAnsi="Arial" w:cs="Arial"/>
                <w:sz w:val="36"/>
                <w:szCs w:val="36"/>
              </w:rPr>
              <w:t>27</w:t>
            </w:r>
            <w:r w:rsidRPr="00887F22">
              <w:rPr>
                <w:rFonts w:ascii="Arial" w:eastAsia="Calibri" w:hAnsi="Arial" w:cs="Arial"/>
                <w:sz w:val="36"/>
                <w:szCs w:val="36"/>
                <w:vertAlign w:val="superscript"/>
              </w:rPr>
              <w:t>th</w:t>
            </w:r>
            <w:r w:rsidRPr="00887F22">
              <w:rPr>
                <w:rFonts w:ascii="Arial" w:eastAsia="Calibri" w:hAnsi="Arial" w:cs="Arial"/>
                <w:sz w:val="36"/>
                <w:szCs w:val="36"/>
              </w:rPr>
              <w:t xml:space="preserve"> March, 2026</w:t>
            </w:r>
          </w:p>
        </w:tc>
      </w:tr>
    </w:tbl>
    <w:p w14:paraId="57091A0F" w14:textId="152E7A53" w:rsidR="005007DE" w:rsidRPr="00887F22" w:rsidRDefault="271A9774" w:rsidP="5CAAD95B">
      <w:pPr>
        <w:rPr>
          <w:rFonts w:ascii="Arial" w:eastAsia="Arial" w:hAnsi="Arial" w:cs="Arial"/>
        </w:rPr>
      </w:pPr>
      <w:r w:rsidRPr="00887F22">
        <w:rPr>
          <w:rFonts w:ascii="Arial" w:eastAsia="Calibri Light" w:hAnsi="Arial" w:cs="Arial"/>
          <w:color w:val="2F5496" w:themeColor="accent1" w:themeShade="BF"/>
          <w:sz w:val="32"/>
          <w:szCs w:val="32"/>
          <w:lang w:val="en-US"/>
        </w:rPr>
        <w:t xml:space="preserve">  </w:t>
      </w:r>
    </w:p>
    <w:p w14:paraId="35045C29" w14:textId="11AB6976" w:rsidR="005007DE" w:rsidRPr="005007DE" w:rsidRDefault="005007DE" w:rsidP="5CAAD95B">
      <w:pPr>
        <w:rPr>
          <w:rFonts w:ascii="Calibri Light" w:eastAsia="Calibri Light" w:hAnsi="Calibri Light" w:cs="Calibri Light"/>
          <w:color w:val="2F5496" w:themeColor="accent1" w:themeShade="BF"/>
          <w:sz w:val="32"/>
          <w:szCs w:val="32"/>
          <w:lang w:val="en-US"/>
        </w:rPr>
      </w:pPr>
    </w:p>
    <w:p w14:paraId="10E1E17E" w14:textId="6B79AF02" w:rsidR="005007DE" w:rsidRPr="005007DE" w:rsidRDefault="005007DE" w:rsidP="5CAAD95B">
      <w:pPr>
        <w:rPr>
          <w:rFonts w:ascii="Calibri Light" w:eastAsia="Calibri Light" w:hAnsi="Calibri Light" w:cs="Calibri Light"/>
          <w:color w:val="2F5496" w:themeColor="accent1" w:themeShade="BF"/>
          <w:sz w:val="32"/>
          <w:szCs w:val="32"/>
          <w:lang w:val="en-US"/>
        </w:rPr>
      </w:pPr>
    </w:p>
    <w:p w14:paraId="305B0F25" w14:textId="2BE8C652" w:rsidR="005007DE" w:rsidRPr="005007DE" w:rsidRDefault="005007DE" w:rsidP="5CAAD95B">
      <w:pPr>
        <w:rPr>
          <w:rFonts w:ascii="Calibri Light" w:eastAsia="Calibri Light" w:hAnsi="Calibri Light" w:cs="Calibri Light"/>
          <w:color w:val="2F5496" w:themeColor="accent1" w:themeShade="BF"/>
          <w:sz w:val="32"/>
          <w:szCs w:val="32"/>
          <w:lang w:val="en-US"/>
        </w:rPr>
      </w:pPr>
    </w:p>
    <w:p w14:paraId="5FE6A5AC" w14:textId="13A92CA9" w:rsidR="005007DE" w:rsidRPr="005007DE" w:rsidRDefault="005007DE" w:rsidP="5CAAD95B">
      <w:pPr>
        <w:rPr>
          <w:rFonts w:ascii="Calibri Light" w:eastAsia="Calibri Light" w:hAnsi="Calibri Light" w:cs="Calibri Light"/>
          <w:color w:val="2F5496" w:themeColor="accent1" w:themeShade="BF"/>
          <w:sz w:val="32"/>
          <w:szCs w:val="32"/>
          <w:lang w:val="en-US"/>
        </w:rPr>
      </w:pPr>
    </w:p>
    <w:p w14:paraId="15F672FA" w14:textId="6962F402" w:rsidR="005007DE" w:rsidRPr="005007DE" w:rsidRDefault="005007DE" w:rsidP="5CAAD95B">
      <w:pPr>
        <w:rPr>
          <w:rFonts w:ascii="Calibri Light" w:eastAsia="Calibri Light" w:hAnsi="Calibri Light" w:cs="Calibri Light"/>
          <w:color w:val="2F5496" w:themeColor="accent1" w:themeShade="BF"/>
          <w:sz w:val="32"/>
          <w:szCs w:val="32"/>
          <w:lang w:val="en-US"/>
        </w:rPr>
      </w:pPr>
    </w:p>
    <w:p w14:paraId="1C147D30" w14:textId="5FA88FE8" w:rsidR="005007DE" w:rsidRPr="005007DE" w:rsidRDefault="005007DE" w:rsidP="5CAAD95B">
      <w:pPr>
        <w:rPr>
          <w:rFonts w:ascii="Calibri Light" w:eastAsia="Calibri Light" w:hAnsi="Calibri Light" w:cs="Calibri Light"/>
          <w:color w:val="2F5496" w:themeColor="accent1" w:themeShade="BF"/>
          <w:sz w:val="32"/>
          <w:szCs w:val="32"/>
          <w:lang w:val="en-US"/>
        </w:rPr>
      </w:pPr>
    </w:p>
    <w:p w14:paraId="42E7230B" w14:textId="1BF198D1" w:rsidR="005007DE" w:rsidRPr="005007DE" w:rsidRDefault="005007DE" w:rsidP="5CAAD95B">
      <w:pPr>
        <w:rPr>
          <w:rFonts w:ascii="Calibri Light" w:eastAsia="Calibri Light" w:hAnsi="Calibri Light" w:cs="Calibri Light"/>
          <w:color w:val="2F5496" w:themeColor="accent1" w:themeShade="BF"/>
          <w:sz w:val="32"/>
          <w:szCs w:val="32"/>
          <w:lang w:val="en-US"/>
        </w:rPr>
      </w:pPr>
    </w:p>
    <w:p w14:paraId="1F509F71" w14:textId="035D5F49" w:rsidR="005007DE" w:rsidRPr="005007DE" w:rsidRDefault="005007DE" w:rsidP="5CAAD95B">
      <w:pPr>
        <w:rPr>
          <w:rFonts w:ascii="Calibri Light" w:eastAsia="Calibri Light" w:hAnsi="Calibri Light" w:cs="Calibri Light"/>
          <w:color w:val="2F5496" w:themeColor="accent1" w:themeShade="BF"/>
          <w:sz w:val="32"/>
          <w:szCs w:val="32"/>
          <w:lang w:val="en-US"/>
        </w:rPr>
      </w:pPr>
    </w:p>
    <w:sdt>
      <w:sdtPr>
        <w:id w:val="262180961"/>
        <w:docPartObj>
          <w:docPartGallery w:val="Table of Contents"/>
          <w:docPartUnique/>
        </w:docPartObj>
      </w:sdtPr>
      <w:sdtEndPr>
        <w:rPr>
          <w:rFonts w:ascii="Arial" w:hAnsi="Arial" w:cs="Arial"/>
          <w:sz w:val="24"/>
          <w:szCs w:val="24"/>
        </w:rPr>
      </w:sdtEndPr>
      <w:sdtContent>
        <w:p w14:paraId="5861AB45" w14:textId="0718D5C2" w:rsidR="005007DE" w:rsidRPr="00887F22" w:rsidRDefault="005007DE" w:rsidP="5CAAD95B">
          <w:pPr>
            <w:pStyle w:val="TOC1"/>
            <w:tabs>
              <w:tab w:val="right" w:leader="dot" w:pos="9015"/>
            </w:tabs>
            <w:rPr>
              <w:rStyle w:val="Hyperlink"/>
              <w:rFonts w:ascii="Arial" w:hAnsi="Arial" w:cs="Arial"/>
              <w:sz w:val="24"/>
              <w:szCs w:val="24"/>
            </w:rPr>
          </w:pPr>
          <w:r w:rsidRPr="00887F22">
            <w:rPr>
              <w:rFonts w:ascii="Arial" w:hAnsi="Arial" w:cs="Arial"/>
              <w:sz w:val="24"/>
              <w:szCs w:val="24"/>
            </w:rPr>
            <w:fldChar w:fldCharType="begin"/>
          </w:r>
          <w:r w:rsidRPr="00887F22">
            <w:rPr>
              <w:rFonts w:ascii="Arial" w:hAnsi="Arial" w:cs="Arial"/>
              <w:sz w:val="24"/>
              <w:szCs w:val="24"/>
            </w:rPr>
            <w:instrText>TOC \o "1-9" \z \u \h</w:instrText>
          </w:r>
          <w:r w:rsidRPr="00887F22">
            <w:rPr>
              <w:rFonts w:ascii="Arial" w:hAnsi="Arial" w:cs="Arial"/>
              <w:sz w:val="24"/>
              <w:szCs w:val="24"/>
            </w:rPr>
            <w:fldChar w:fldCharType="separate"/>
          </w:r>
          <w:hyperlink w:anchor="_Toc824818636">
            <w:r w:rsidR="5CAAD95B" w:rsidRPr="00887F22">
              <w:rPr>
                <w:rStyle w:val="Hyperlink"/>
                <w:rFonts w:ascii="Arial" w:hAnsi="Arial" w:cs="Arial"/>
                <w:sz w:val="24"/>
                <w:szCs w:val="24"/>
              </w:rPr>
              <w:t>1. Introduction</w:t>
            </w:r>
            <w:r w:rsidRPr="00887F22">
              <w:rPr>
                <w:rFonts w:ascii="Arial" w:hAnsi="Arial" w:cs="Arial"/>
                <w:sz w:val="24"/>
                <w:szCs w:val="24"/>
              </w:rPr>
              <w:tab/>
            </w:r>
            <w:r w:rsidRPr="00887F22">
              <w:rPr>
                <w:rFonts w:ascii="Arial" w:hAnsi="Arial" w:cs="Arial"/>
                <w:sz w:val="24"/>
                <w:szCs w:val="24"/>
              </w:rPr>
              <w:fldChar w:fldCharType="begin"/>
            </w:r>
            <w:r w:rsidRPr="00887F22">
              <w:rPr>
                <w:rFonts w:ascii="Arial" w:hAnsi="Arial" w:cs="Arial"/>
                <w:sz w:val="24"/>
                <w:szCs w:val="24"/>
              </w:rPr>
              <w:instrText>PAGEREF _Toc824818636 \h</w:instrText>
            </w:r>
            <w:r w:rsidRPr="00887F22">
              <w:rPr>
                <w:rFonts w:ascii="Arial" w:hAnsi="Arial" w:cs="Arial"/>
                <w:sz w:val="24"/>
                <w:szCs w:val="24"/>
              </w:rPr>
            </w:r>
            <w:r w:rsidRPr="00887F22">
              <w:rPr>
                <w:rFonts w:ascii="Arial" w:hAnsi="Arial" w:cs="Arial"/>
                <w:sz w:val="24"/>
                <w:szCs w:val="24"/>
              </w:rPr>
              <w:fldChar w:fldCharType="separate"/>
            </w:r>
            <w:r w:rsidR="005F7A17">
              <w:rPr>
                <w:rFonts w:ascii="Arial" w:hAnsi="Arial" w:cs="Arial"/>
                <w:sz w:val="24"/>
                <w:szCs w:val="24"/>
              </w:rPr>
              <w:t>1</w:t>
            </w:r>
            <w:r w:rsidRPr="00887F22">
              <w:rPr>
                <w:rFonts w:ascii="Arial" w:hAnsi="Arial" w:cs="Arial"/>
                <w:sz w:val="24"/>
                <w:szCs w:val="24"/>
              </w:rPr>
              <w:fldChar w:fldCharType="end"/>
            </w:r>
          </w:hyperlink>
        </w:p>
        <w:p w14:paraId="0770A857" w14:textId="010E3CCA" w:rsidR="005007DE" w:rsidRPr="00887F22" w:rsidRDefault="5CAAD95B" w:rsidP="5CAAD95B">
          <w:pPr>
            <w:pStyle w:val="TOC1"/>
            <w:tabs>
              <w:tab w:val="right" w:leader="dot" w:pos="9015"/>
            </w:tabs>
            <w:rPr>
              <w:rStyle w:val="Hyperlink"/>
              <w:rFonts w:ascii="Arial" w:hAnsi="Arial" w:cs="Arial"/>
              <w:sz w:val="24"/>
              <w:szCs w:val="24"/>
            </w:rPr>
          </w:pPr>
          <w:hyperlink w:anchor="_Toc1418004308">
            <w:r w:rsidRPr="00887F22">
              <w:rPr>
                <w:rStyle w:val="Hyperlink"/>
                <w:rFonts w:ascii="Arial" w:hAnsi="Arial" w:cs="Arial"/>
                <w:sz w:val="24"/>
                <w:szCs w:val="24"/>
              </w:rPr>
              <w:t>2. Industry Overview</w:t>
            </w:r>
            <w:r w:rsidR="005007DE" w:rsidRPr="00887F22">
              <w:rPr>
                <w:rFonts w:ascii="Arial" w:hAnsi="Arial" w:cs="Arial"/>
                <w:sz w:val="24"/>
                <w:szCs w:val="24"/>
              </w:rPr>
              <w:tab/>
            </w:r>
            <w:r w:rsidR="005007DE" w:rsidRPr="00887F22">
              <w:rPr>
                <w:rFonts w:ascii="Arial" w:hAnsi="Arial" w:cs="Arial"/>
                <w:sz w:val="24"/>
                <w:szCs w:val="24"/>
              </w:rPr>
              <w:fldChar w:fldCharType="begin"/>
            </w:r>
            <w:r w:rsidR="005007DE" w:rsidRPr="00887F22">
              <w:rPr>
                <w:rFonts w:ascii="Arial" w:hAnsi="Arial" w:cs="Arial"/>
                <w:sz w:val="24"/>
                <w:szCs w:val="24"/>
              </w:rPr>
              <w:instrText>PAGEREF _Toc1418004308 \h</w:instrText>
            </w:r>
            <w:r w:rsidR="005007DE" w:rsidRPr="00887F22">
              <w:rPr>
                <w:rFonts w:ascii="Arial" w:hAnsi="Arial" w:cs="Arial"/>
                <w:sz w:val="24"/>
                <w:szCs w:val="24"/>
              </w:rPr>
            </w:r>
            <w:r w:rsidR="005007DE" w:rsidRPr="00887F22">
              <w:rPr>
                <w:rFonts w:ascii="Arial" w:hAnsi="Arial" w:cs="Arial"/>
                <w:sz w:val="24"/>
                <w:szCs w:val="24"/>
              </w:rPr>
              <w:fldChar w:fldCharType="separate"/>
            </w:r>
            <w:r w:rsidR="005F7A17">
              <w:rPr>
                <w:rFonts w:ascii="Arial" w:hAnsi="Arial" w:cs="Arial"/>
                <w:sz w:val="24"/>
                <w:szCs w:val="24"/>
              </w:rPr>
              <w:t>1</w:t>
            </w:r>
            <w:r w:rsidR="005007DE" w:rsidRPr="00887F22">
              <w:rPr>
                <w:rFonts w:ascii="Arial" w:hAnsi="Arial" w:cs="Arial"/>
                <w:sz w:val="24"/>
                <w:szCs w:val="24"/>
              </w:rPr>
              <w:fldChar w:fldCharType="end"/>
            </w:r>
          </w:hyperlink>
        </w:p>
        <w:p w14:paraId="574D0A56" w14:textId="73BCECFB" w:rsidR="005007DE" w:rsidRPr="00887F22" w:rsidRDefault="5CAAD95B" w:rsidP="5CAAD95B">
          <w:pPr>
            <w:pStyle w:val="TOC1"/>
            <w:tabs>
              <w:tab w:val="right" w:leader="dot" w:pos="9015"/>
            </w:tabs>
            <w:rPr>
              <w:rStyle w:val="Hyperlink"/>
              <w:rFonts w:ascii="Arial" w:hAnsi="Arial" w:cs="Arial"/>
              <w:sz w:val="24"/>
              <w:szCs w:val="24"/>
            </w:rPr>
          </w:pPr>
          <w:hyperlink w:anchor="_Toc713500371">
            <w:r w:rsidRPr="00887F22">
              <w:rPr>
                <w:rStyle w:val="Hyperlink"/>
                <w:rFonts w:ascii="Arial" w:hAnsi="Arial" w:cs="Arial"/>
                <w:sz w:val="24"/>
                <w:szCs w:val="24"/>
              </w:rPr>
              <w:t>3. Task 1: Macro-Environmental Analysis.</w:t>
            </w:r>
            <w:r w:rsidR="005007DE" w:rsidRPr="00887F22">
              <w:rPr>
                <w:rFonts w:ascii="Arial" w:hAnsi="Arial" w:cs="Arial"/>
                <w:sz w:val="24"/>
                <w:szCs w:val="24"/>
              </w:rPr>
              <w:tab/>
            </w:r>
            <w:r w:rsidR="005007DE" w:rsidRPr="00887F22">
              <w:rPr>
                <w:rFonts w:ascii="Arial" w:hAnsi="Arial" w:cs="Arial"/>
                <w:sz w:val="24"/>
                <w:szCs w:val="24"/>
              </w:rPr>
              <w:fldChar w:fldCharType="begin"/>
            </w:r>
            <w:r w:rsidR="005007DE" w:rsidRPr="00887F22">
              <w:rPr>
                <w:rFonts w:ascii="Arial" w:hAnsi="Arial" w:cs="Arial"/>
                <w:sz w:val="24"/>
                <w:szCs w:val="24"/>
              </w:rPr>
              <w:instrText>PAGEREF _Toc713500371 \h</w:instrText>
            </w:r>
            <w:r w:rsidR="005007DE" w:rsidRPr="00887F22">
              <w:rPr>
                <w:rFonts w:ascii="Arial" w:hAnsi="Arial" w:cs="Arial"/>
                <w:sz w:val="24"/>
                <w:szCs w:val="24"/>
              </w:rPr>
            </w:r>
            <w:r w:rsidR="005007DE" w:rsidRPr="00887F22">
              <w:rPr>
                <w:rFonts w:ascii="Arial" w:hAnsi="Arial" w:cs="Arial"/>
                <w:sz w:val="24"/>
                <w:szCs w:val="24"/>
              </w:rPr>
              <w:fldChar w:fldCharType="separate"/>
            </w:r>
            <w:r w:rsidR="005F7A17">
              <w:rPr>
                <w:rFonts w:ascii="Arial" w:hAnsi="Arial" w:cs="Arial"/>
                <w:sz w:val="24"/>
                <w:szCs w:val="24"/>
              </w:rPr>
              <w:t>2</w:t>
            </w:r>
            <w:r w:rsidR="005007DE" w:rsidRPr="00887F22">
              <w:rPr>
                <w:rFonts w:ascii="Arial" w:hAnsi="Arial" w:cs="Arial"/>
                <w:sz w:val="24"/>
                <w:szCs w:val="24"/>
              </w:rPr>
              <w:fldChar w:fldCharType="end"/>
            </w:r>
          </w:hyperlink>
        </w:p>
        <w:p w14:paraId="7B28EBEB" w14:textId="6DC6E7F4" w:rsidR="005007DE" w:rsidRPr="00887F22" w:rsidRDefault="5CAAD95B" w:rsidP="5CAAD95B">
          <w:pPr>
            <w:pStyle w:val="TOC2"/>
            <w:tabs>
              <w:tab w:val="right" w:leader="dot" w:pos="9015"/>
            </w:tabs>
            <w:rPr>
              <w:rStyle w:val="Hyperlink"/>
              <w:rFonts w:ascii="Arial" w:hAnsi="Arial" w:cs="Arial"/>
              <w:sz w:val="24"/>
              <w:szCs w:val="24"/>
            </w:rPr>
          </w:pPr>
          <w:hyperlink w:anchor="_Toc79363018">
            <w:r w:rsidRPr="00887F22">
              <w:rPr>
                <w:rStyle w:val="Hyperlink"/>
                <w:rFonts w:ascii="Arial" w:hAnsi="Arial" w:cs="Arial"/>
                <w:sz w:val="24"/>
                <w:szCs w:val="24"/>
              </w:rPr>
              <w:t>3.1 Government regulation and Sustainability policies.</w:t>
            </w:r>
            <w:r w:rsidR="005007DE" w:rsidRPr="00887F22">
              <w:rPr>
                <w:rFonts w:ascii="Arial" w:hAnsi="Arial" w:cs="Arial"/>
                <w:sz w:val="24"/>
                <w:szCs w:val="24"/>
              </w:rPr>
              <w:tab/>
            </w:r>
            <w:r w:rsidR="005007DE" w:rsidRPr="00887F22">
              <w:rPr>
                <w:rFonts w:ascii="Arial" w:hAnsi="Arial" w:cs="Arial"/>
                <w:sz w:val="24"/>
                <w:szCs w:val="24"/>
              </w:rPr>
              <w:fldChar w:fldCharType="begin"/>
            </w:r>
            <w:r w:rsidR="005007DE" w:rsidRPr="00887F22">
              <w:rPr>
                <w:rFonts w:ascii="Arial" w:hAnsi="Arial" w:cs="Arial"/>
                <w:sz w:val="24"/>
                <w:szCs w:val="24"/>
              </w:rPr>
              <w:instrText>PAGEREF _Toc79363018 \h</w:instrText>
            </w:r>
            <w:r w:rsidR="005007DE" w:rsidRPr="00887F22">
              <w:rPr>
                <w:rFonts w:ascii="Arial" w:hAnsi="Arial" w:cs="Arial"/>
                <w:sz w:val="24"/>
                <w:szCs w:val="24"/>
              </w:rPr>
            </w:r>
            <w:r w:rsidR="005007DE" w:rsidRPr="00887F22">
              <w:rPr>
                <w:rFonts w:ascii="Arial" w:hAnsi="Arial" w:cs="Arial"/>
                <w:sz w:val="24"/>
                <w:szCs w:val="24"/>
              </w:rPr>
              <w:fldChar w:fldCharType="separate"/>
            </w:r>
            <w:r w:rsidR="005F7A17">
              <w:rPr>
                <w:rFonts w:ascii="Arial" w:hAnsi="Arial" w:cs="Arial"/>
                <w:sz w:val="24"/>
                <w:szCs w:val="24"/>
              </w:rPr>
              <w:t>2</w:t>
            </w:r>
            <w:r w:rsidR="005007DE" w:rsidRPr="00887F22">
              <w:rPr>
                <w:rFonts w:ascii="Arial" w:hAnsi="Arial" w:cs="Arial"/>
                <w:sz w:val="24"/>
                <w:szCs w:val="24"/>
              </w:rPr>
              <w:fldChar w:fldCharType="end"/>
            </w:r>
          </w:hyperlink>
        </w:p>
        <w:p w14:paraId="30CEC010" w14:textId="356DF6E2" w:rsidR="005007DE" w:rsidRPr="00887F22" w:rsidRDefault="5CAAD95B" w:rsidP="5CAAD95B">
          <w:pPr>
            <w:pStyle w:val="TOC2"/>
            <w:tabs>
              <w:tab w:val="right" w:leader="dot" w:pos="9015"/>
            </w:tabs>
            <w:rPr>
              <w:rStyle w:val="Hyperlink"/>
              <w:rFonts w:ascii="Arial" w:hAnsi="Arial" w:cs="Arial"/>
              <w:sz w:val="24"/>
              <w:szCs w:val="24"/>
            </w:rPr>
          </w:pPr>
          <w:hyperlink w:anchor="_Toc738792878">
            <w:r w:rsidRPr="00887F22">
              <w:rPr>
                <w:rStyle w:val="Hyperlink"/>
                <w:rFonts w:ascii="Arial" w:hAnsi="Arial" w:cs="Arial"/>
                <w:sz w:val="24"/>
                <w:szCs w:val="24"/>
              </w:rPr>
              <w:t>3.2 Technological Innovation</w:t>
            </w:r>
            <w:r w:rsidR="005007DE" w:rsidRPr="00887F22">
              <w:rPr>
                <w:rFonts w:ascii="Arial" w:hAnsi="Arial" w:cs="Arial"/>
                <w:sz w:val="24"/>
                <w:szCs w:val="24"/>
              </w:rPr>
              <w:tab/>
            </w:r>
            <w:r w:rsidR="005007DE" w:rsidRPr="00887F22">
              <w:rPr>
                <w:rFonts w:ascii="Arial" w:hAnsi="Arial" w:cs="Arial"/>
                <w:sz w:val="24"/>
                <w:szCs w:val="24"/>
              </w:rPr>
              <w:fldChar w:fldCharType="begin"/>
            </w:r>
            <w:r w:rsidR="005007DE" w:rsidRPr="00887F22">
              <w:rPr>
                <w:rFonts w:ascii="Arial" w:hAnsi="Arial" w:cs="Arial"/>
                <w:sz w:val="24"/>
                <w:szCs w:val="24"/>
              </w:rPr>
              <w:instrText>PAGEREF _Toc738792878 \h</w:instrText>
            </w:r>
            <w:r w:rsidR="005007DE" w:rsidRPr="00887F22">
              <w:rPr>
                <w:rFonts w:ascii="Arial" w:hAnsi="Arial" w:cs="Arial"/>
                <w:sz w:val="24"/>
                <w:szCs w:val="24"/>
              </w:rPr>
            </w:r>
            <w:r w:rsidR="005007DE" w:rsidRPr="00887F22">
              <w:rPr>
                <w:rFonts w:ascii="Arial" w:hAnsi="Arial" w:cs="Arial"/>
                <w:sz w:val="24"/>
                <w:szCs w:val="24"/>
              </w:rPr>
              <w:fldChar w:fldCharType="separate"/>
            </w:r>
            <w:r w:rsidR="005F7A17">
              <w:rPr>
                <w:rFonts w:ascii="Arial" w:hAnsi="Arial" w:cs="Arial"/>
                <w:sz w:val="24"/>
                <w:szCs w:val="24"/>
              </w:rPr>
              <w:t>4</w:t>
            </w:r>
            <w:r w:rsidR="005007DE" w:rsidRPr="00887F22">
              <w:rPr>
                <w:rFonts w:ascii="Arial" w:hAnsi="Arial" w:cs="Arial"/>
                <w:sz w:val="24"/>
                <w:szCs w:val="24"/>
              </w:rPr>
              <w:fldChar w:fldCharType="end"/>
            </w:r>
          </w:hyperlink>
        </w:p>
        <w:p w14:paraId="02BF001E" w14:textId="122E766F" w:rsidR="005007DE" w:rsidRPr="00887F22" w:rsidRDefault="5CAAD95B" w:rsidP="5CAAD95B">
          <w:pPr>
            <w:pStyle w:val="TOC1"/>
            <w:tabs>
              <w:tab w:val="right" w:leader="dot" w:pos="9015"/>
            </w:tabs>
            <w:rPr>
              <w:rStyle w:val="Hyperlink"/>
              <w:rFonts w:ascii="Arial" w:hAnsi="Arial" w:cs="Arial"/>
              <w:sz w:val="24"/>
              <w:szCs w:val="24"/>
            </w:rPr>
          </w:pPr>
          <w:hyperlink w:anchor="_Toc270399712">
            <w:r w:rsidRPr="00887F22">
              <w:rPr>
                <w:rStyle w:val="Hyperlink"/>
                <w:rFonts w:ascii="Arial" w:hAnsi="Arial" w:cs="Arial"/>
                <w:sz w:val="24"/>
                <w:szCs w:val="24"/>
              </w:rPr>
              <w:t>4. Strategic Analysis Responses</w:t>
            </w:r>
            <w:r w:rsidR="005007DE" w:rsidRPr="00887F22">
              <w:rPr>
                <w:rFonts w:ascii="Arial" w:hAnsi="Arial" w:cs="Arial"/>
                <w:sz w:val="24"/>
                <w:szCs w:val="24"/>
              </w:rPr>
              <w:tab/>
            </w:r>
            <w:r w:rsidR="005007DE" w:rsidRPr="00887F22">
              <w:rPr>
                <w:rFonts w:ascii="Arial" w:hAnsi="Arial" w:cs="Arial"/>
                <w:sz w:val="24"/>
                <w:szCs w:val="24"/>
              </w:rPr>
              <w:fldChar w:fldCharType="begin"/>
            </w:r>
            <w:r w:rsidR="005007DE" w:rsidRPr="00887F22">
              <w:rPr>
                <w:rFonts w:ascii="Arial" w:hAnsi="Arial" w:cs="Arial"/>
                <w:sz w:val="24"/>
                <w:szCs w:val="24"/>
              </w:rPr>
              <w:instrText>PAGEREF _Toc270399712 \h</w:instrText>
            </w:r>
            <w:r w:rsidR="005007DE" w:rsidRPr="00887F22">
              <w:rPr>
                <w:rFonts w:ascii="Arial" w:hAnsi="Arial" w:cs="Arial"/>
                <w:sz w:val="24"/>
                <w:szCs w:val="24"/>
              </w:rPr>
            </w:r>
            <w:r w:rsidR="005007DE" w:rsidRPr="00887F22">
              <w:rPr>
                <w:rFonts w:ascii="Arial" w:hAnsi="Arial" w:cs="Arial"/>
                <w:sz w:val="24"/>
                <w:szCs w:val="24"/>
              </w:rPr>
              <w:fldChar w:fldCharType="separate"/>
            </w:r>
            <w:r w:rsidR="005F7A17">
              <w:rPr>
                <w:rFonts w:ascii="Arial" w:hAnsi="Arial" w:cs="Arial"/>
                <w:sz w:val="24"/>
                <w:szCs w:val="24"/>
              </w:rPr>
              <w:t>5</w:t>
            </w:r>
            <w:r w:rsidR="005007DE" w:rsidRPr="00887F22">
              <w:rPr>
                <w:rFonts w:ascii="Arial" w:hAnsi="Arial" w:cs="Arial"/>
                <w:sz w:val="24"/>
                <w:szCs w:val="24"/>
              </w:rPr>
              <w:fldChar w:fldCharType="end"/>
            </w:r>
          </w:hyperlink>
        </w:p>
        <w:p w14:paraId="7E403EAA" w14:textId="6CD093BB" w:rsidR="005007DE" w:rsidRPr="00887F22" w:rsidRDefault="5CAAD95B" w:rsidP="5CAAD95B">
          <w:pPr>
            <w:pStyle w:val="TOC2"/>
            <w:tabs>
              <w:tab w:val="right" w:leader="dot" w:pos="9015"/>
            </w:tabs>
            <w:rPr>
              <w:rStyle w:val="Hyperlink"/>
              <w:rFonts w:ascii="Arial" w:hAnsi="Arial" w:cs="Arial"/>
              <w:sz w:val="24"/>
              <w:szCs w:val="24"/>
            </w:rPr>
          </w:pPr>
          <w:hyperlink w:anchor="_Toc895656124">
            <w:r w:rsidRPr="00887F22">
              <w:rPr>
                <w:rStyle w:val="Hyperlink"/>
                <w:rFonts w:ascii="Arial" w:hAnsi="Arial" w:cs="Arial"/>
                <w:sz w:val="24"/>
                <w:szCs w:val="24"/>
              </w:rPr>
              <w:t>4.1 Porter’s Generic Strategies</w:t>
            </w:r>
            <w:r w:rsidR="005007DE" w:rsidRPr="00887F22">
              <w:rPr>
                <w:rFonts w:ascii="Arial" w:hAnsi="Arial" w:cs="Arial"/>
                <w:sz w:val="24"/>
                <w:szCs w:val="24"/>
              </w:rPr>
              <w:tab/>
            </w:r>
            <w:r w:rsidR="005007DE" w:rsidRPr="00887F22">
              <w:rPr>
                <w:rFonts w:ascii="Arial" w:hAnsi="Arial" w:cs="Arial"/>
                <w:sz w:val="24"/>
                <w:szCs w:val="24"/>
              </w:rPr>
              <w:fldChar w:fldCharType="begin"/>
            </w:r>
            <w:r w:rsidR="005007DE" w:rsidRPr="00887F22">
              <w:rPr>
                <w:rFonts w:ascii="Arial" w:hAnsi="Arial" w:cs="Arial"/>
                <w:sz w:val="24"/>
                <w:szCs w:val="24"/>
              </w:rPr>
              <w:instrText>PAGEREF _Toc895656124 \h</w:instrText>
            </w:r>
            <w:r w:rsidR="005007DE" w:rsidRPr="00887F22">
              <w:rPr>
                <w:rFonts w:ascii="Arial" w:hAnsi="Arial" w:cs="Arial"/>
                <w:sz w:val="24"/>
                <w:szCs w:val="24"/>
              </w:rPr>
            </w:r>
            <w:r w:rsidR="005007DE" w:rsidRPr="00887F22">
              <w:rPr>
                <w:rFonts w:ascii="Arial" w:hAnsi="Arial" w:cs="Arial"/>
                <w:sz w:val="24"/>
                <w:szCs w:val="24"/>
              </w:rPr>
              <w:fldChar w:fldCharType="separate"/>
            </w:r>
            <w:r w:rsidR="005F7A17">
              <w:rPr>
                <w:rFonts w:ascii="Arial" w:hAnsi="Arial" w:cs="Arial"/>
                <w:sz w:val="24"/>
                <w:szCs w:val="24"/>
              </w:rPr>
              <w:t>5</w:t>
            </w:r>
            <w:r w:rsidR="005007DE" w:rsidRPr="00887F22">
              <w:rPr>
                <w:rFonts w:ascii="Arial" w:hAnsi="Arial" w:cs="Arial"/>
                <w:sz w:val="24"/>
                <w:szCs w:val="24"/>
              </w:rPr>
              <w:fldChar w:fldCharType="end"/>
            </w:r>
          </w:hyperlink>
        </w:p>
        <w:p w14:paraId="32186C74" w14:textId="243122A0" w:rsidR="005007DE" w:rsidRPr="00887F22" w:rsidRDefault="5CAAD95B" w:rsidP="5CAAD95B">
          <w:pPr>
            <w:pStyle w:val="TOC2"/>
            <w:tabs>
              <w:tab w:val="right" w:leader="dot" w:pos="9015"/>
            </w:tabs>
            <w:rPr>
              <w:rStyle w:val="Hyperlink"/>
              <w:rFonts w:ascii="Arial" w:hAnsi="Arial" w:cs="Arial"/>
              <w:sz w:val="24"/>
              <w:szCs w:val="24"/>
            </w:rPr>
          </w:pPr>
          <w:hyperlink w:anchor="_Toc691707501">
            <w:r w:rsidRPr="00887F22">
              <w:rPr>
                <w:rStyle w:val="Hyperlink"/>
                <w:rFonts w:ascii="Arial" w:hAnsi="Arial" w:cs="Arial"/>
                <w:sz w:val="24"/>
                <w:szCs w:val="24"/>
              </w:rPr>
              <w:t>4.2 Ansoff Growth Matrix</w:t>
            </w:r>
            <w:r w:rsidR="005007DE" w:rsidRPr="00887F22">
              <w:rPr>
                <w:rFonts w:ascii="Arial" w:hAnsi="Arial" w:cs="Arial"/>
                <w:sz w:val="24"/>
                <w:szCs w:val="24"/>
              </w:rPr>
              <w:tab/>
            </w:r>
            <w:r w:rsidR="005007DE" w:rsidRPr="00887F22">
              <w:rPr>
                <w:rFonts w:ascii="Arial" w:hAnsi="Arial" w:cs="Arial"/>
                <w:sz w:val="24"/>
                <w:szCs w:val="24"/>
              </w:rPr>
              <w:fldChar w:fldCharType="begin"/>
            </w:r>
            <w:r w:rsidR="005007DE" w:rsidRPr="00887F22">
              <w:rPr>
                <w:rFonts w:ascii="Arial" w:hAnsi="Arial" w:cs="Arial"/>
                <w:sz w:val="24"/>
                <w:szCs w:val="24"/>
              </w:rPr>
              <w:instrText>PAGEREF _Toc691707501 \h</w:instrText>
            </w:r>
            <w:r w:rsidR="005007DE" w:rsidRPr="00887F22">
              <w:rPr>
                <w:rFonts w:ascii="Arial" w:hAnsi="Arial" w:cs="Arial"/>
                <w:sz w:val="24"/>
                <w:szCs w:val="24"/>
              </w:rPr>
            </w:r>
            <w:r w:rsidR="005007DE" w:rsidRPr="00887F22">
              <w:rPr>
                <w:rFonts w:ascii="Arial" w:hAnsi="Arial" w:cs="Arial"/>
                <w:sz w:val="24"/>
                <w:szCs w:val="24"/>
              </w:rPr>
              <w:fldChar w:fldCharType="separate"/>
            </w:r>
            <w:r w:rsidR="005F7A17">
              <w:rPr>
                <w:rFonts w:ascii="Arial" w:hAnsi="Arial" w:cs="Arial"/>
                <w:sz w:val="24"/>
                <w:szCs w:val="24"/>
              </w:rPr>
              <w:t>6</w:t>
            </w:r>
            <w:r w:rsidR="005007DE" w:rsidRPr="00887F22">
              <w:rPr>
                <w:rFonts w:ascii="Arial" w:hAnsi="Arial" w:cs="Arial"/>
                <w:sz w:val="24"/>
                <w:szCs w:val="24"/>
              </w:rPr>
              <w:fldChar w:fldCharType="end"/>
            </w:r>
          </w:hyperlink>
        </w:p>
        <w:p w14:paraId="466E0063" w14:textId="7B8FA58C" w:rsidR="005007DE" w:rsidRPr="00887F22" w:rsidRDefault="5CAAD95B" w:rsidP="5CAAD95B">
          <w:pPr>
            <w:pStyle w:val="TOC2"/>
            <w:tabs>
              <w:tab w:val="right" w:leader="dot" w:pos="9015"/>
            </w:tabs>
            <w:rPr>
              <w:rStyle w:val="Hyperlink"/>
              <w:rFonts w:ascii="Arial" w:hAnsi="Arial" w:cs="Arial"/>
              <w:sz w:val="24"/>
              <w:szCs w:val="24"/>
            </w:rPr>
          </w:pPr>
          <w:hyperlink w:anchor="_Toc1653783851">
            <w:r w:rsidRPr="00887F22">
              <w:rPr>
                <w:rStyle w:val="Hyperlink"/>
                <w:rFonts w:ascii="Arial" w:hAnsi="Arial" w:cs="Arial"/>
                <w:sz w:val="24"/>
                <w:szCs w:val="24"/>
              </w:rPr>
              <w:t>4.3 SWOT Analysis</w:t>
            </w:r>
            <w:r w:rsidR="005007DE" w:rsidRPr="00887F22">
              <w:rPr>
                <w:rFonts w:ascii="Arial" w:hAnsi="Arial" w:cs="Arial"/>
                <w:sz w:val="24"/>
                <w:szCs w:val="24"/>
              </w:rPr>
              <w:tab/>
            </w:r>
            <w:r w:rsidR="005007DE" w:rsidRPr="00887F22">
              <w:rPr>
                <w:rFonts w:ascii="Arial" w:hAnsi="Arial" w:cs="Arial"/>
                <w:sz w:val="24"/>
                <w:szCs w:val="24"/>
              </w:rPr>
              <w:fldChar w:fldCharType="begin"/>
            </w:r>
            <w:r w:rsidR="005007DE" w:rsidRPr="00887F22">
              <w:rPr>
                <w:rFonts w:ascii="Arial" w:hAnsi="Arial" w:cs="Arial"/>
                <w:sz w:val="24"/>
                <w:szCs w:val="24"/>
              </w:rPr>
              <w:instrText>PAGEREF _Toc1653783851 \h</w:instrText>
            </w:r>
            <w:r w:rsidR="005007DE" w:rsidRPr="00887F22">
              <w:rPr>
                <w:rFonts w:ascii="Arial" w:hAnsi="Arial" w:cs="Arial"/>
                <w:sz w:val="24"/>
                <w:szCs w:val="24"/>
              </w:rPr>
            </w:r>
            <w:r w:rsidR="005007DE" w:rsidRPr="00887F22">
              <w:rPr>
                <w:rFonts w:ascii="Arial" w:hAnsi="Arial" w:cs="Arial"/>
                <w:sz w:val="24"/>
                <w:szCs w:val="24"/>
              </w:rPr>
              <w:fldChar w:fldCharType="separate"/>
            </w:r>
            <w:r w:rsidR="005F7A17">
              <w:rPr>
                <w:rFonts w:ascii="Arial" w:hAnsi="Arial" w:cs="Arial"/>
                <w:sz w:val="24"/>
                <w:szCs w:val="24"/>
              </w:rPr>
              <w:t>7</w:t>
            </w:r>
            <w:r w:rsidR="005007DE" w:rsidRPr="00887F22">
              <w:rPr>
                <w:rFonts w:ascii="Arial" w:hAnsi="Arial" w:cs="Arial"/>
                <w:sz w:val="24"/>
                <w:szCs w:val="24"/>
              </w:rPr>
              <w:fldChar w:fldCharType="end"/>
            </w:r>
          </w:hyperlink>
        </w:p>
        <w:p w14:paraId="1160A9A6" w14:textId="2E820548" w:rsidR="005007DE" w:rsidRPr="00887F22" w:rsidRDefault="5CAAD95B" w:rsidP="5CAAD95B">
          <w:pPr>
            <w:pStyle w:val="TOC1"/>
            <w:tabs>
              <w:tab w:val="right" w:leader="dot" w:pos="9015"/>
            </w:tabs>
            <w:rPr>
              <w:rStyle w:val="Hyperlink"/>
              <w:rFonts w:ascii="Arial" w:hAnsi="Arial" w:cs="Arial"/>
              <w:sz w:val="24"/>
              <w:szCs w:val="24"/>
            </w:rPr>
          </w:pPr>
          <w:hyperlink w:anchor="_Toc102148419">
            <w:r w:rsidRPr="00887F22">
              <w:rPr>
                <w:rStyle w:val="Hyperlink"/>
                <w:rFonts w:ascii="Arial" w:hAnsi="Arial" w:cs="Arial"/>
                <w:sz w:val="24"/>
                <w:szCs w:val="24"/>
              </w:rPr>
              <w:t>5. Comparative Discussion</w:t>
            </w:r>
            <w:r w:rsidR="005007DE" w:rsidRPr="00887F22">
              <w:rPr>
                <w:rFonts w:ascii="Arial" w:hAnsi="Arial" w:cs="Arial"/>
                <w:sz w:val="24"/>
                <w:szCs w:val="24"/>
              </w:rPr>
              <w:tab/>
            </w:r>
            <w:r w:rsidR="005007DE" w:rsidRPr="00887F22">
              <w:rPr>
                <w:rFonts w:ascii="Arial" w:hAnsi="Arial" w:cs="Arial"/>
                <w:sz w:val="24"/>
                <w:szCs w:val="24"/>
              </w:rPr>
              <w:fldChar w:fldCharType="begin"/>
            </w:r>
            <w:r w:rsidR="005007DE" w:rsidRPr="00887F22">
              <w:rPr>
                <w:rFonts w:ascii="Arial" w:hAnsi="Arial" w:cs="Arial"/>
                <w:sz w:val="24"/>
                <w:szCs w:val="24"/>
              </w:rPr>
              <w:instrText>PAGEREF _Toc102148419 \h</w:instrText>
            </w:r>
            <w:r w:rsidR="005007DE" w:rsidRPr="00887F22">
              <w:rPr>
                <w:rFonts w:ascii="Arial" w:hAnsi="Arial" w:cs="Arial"/>
                <w:sz w:val="24"/>
                <w:szCs w:val="24"/>
              </w:rPr>
            </w:r>
            <w:r w:rsidR="005007DE" w:rsidRPr="00887F22">
              <w:rPr>
                <w:rFonts w:ascii="Arial" w:hAnsi="Arial" w:cs="Arial"/>
                <w:sz w:val="24"/>
                <w:szCs w:val="24"/>
              </w:rPr>
              <w:fldChar w:fldCharType="separate"/>
            </w:r>
            <w:r w:rsidR="005F7A17">
              <w:rPr>
                <w:rFonts w:ascii="Arial" w:hAnsi="Arial" w:cs="Arial"/>
                <w:sz w:val="24"/>
                <w:szCs w:val="24"/>
              </w:rPr>
              <w:t>9</w:t>
            </w:r>
            <w:r w:rsidR="005007DE" w:rsidRPr="00887F22">
              <w:rPr>
                <w:rFonts w:ascii="Arial" w:hAnsi="Arial" w:cs="Arial"/>
                <w:sz w:val="24"/>
                <w:szCs w:val="24"/>
              </w:rPr>
              <w:fldChar w:fldCharType="end"/>
            </w:r>
          </w:hyperlink>
        </w:p>
        <w:p w14:paraId="0BFBB2E4" w14:textId="2E77F234" w:rsidR="005007DE" w:rsidRPr="00887F22" w:rsidRDefault="5CAAD95B" w:rsidP="5CAAD95B">
          <w:pPr>
            <w:pStyle w:val="TOC1"/>
            <w:tabs>
              <w:tab w:val="right" w:leader="dot" w:pos="9015"/>
            </w:tabs>
            <w:rPr>
              <w:rStyle w:val="Hyperlink"/>
              <w:rFonts w:ascii="Arial" w:hAnsi="Arial" w:cs="Arial"/>
              <w:sz w:val="24"/>
              <w:szCs w:val="24"/>
            </w:rPr>
          </w:pPr>
          <w:hyperlink w:anchor="_Toc878202974">
            <w:r w:rsidRPr="00887F22">
              <w:rPr>
                <w:rStyle w:val="Hyperlink"/>
                <w:rFonts w:ascii="Arial" w:hAnsi="Arial" w:cs="Arial"/>
                <w:sz w:val="24"/>
                <w:szCs w:val="24"/>
              </w:rPr>
              <w:t>6. Conclusion</w:t>
            </w:r>
            <w:r w:rsidR="005007DE" w:rsidRPr="00887F22">
              <w:rPr>
                <w:rFonts w:ascii="Arial" w:hAnsi="Arial" w:cs="Arial"/>
                <w:sz w:val="24"/>
                <w:szCs w:val="24"/>
              </w:rPr>
              <w:tab/>
            </w:r>
            <w:r w:rsidR="005007DE" w:rsidRPr="00887F22">
              <w:rPr>
                <w:rFonts w:ascii="Arial" w:hAnsi="Arial" w:cs="Arial"/>
                <w:sz w:val="24"/>
                <w:szCs w:val="24"/>
              </w:rPr>
              <w:fldChar w:fldCharType="begin"/>
            </w:r>
            <w:r w:rsidR="005007DE" w:rsidRPr="00887F22">
              <w:rPr>
                <w:rFonts w:ascii="Arial" w:hAnsi="Arial" w:cs="Arial"/>
                <w:sz w:val="24"/>
                <w:szCs w:val="24"/>
              </w:rPr>
              <w:instrText>PAGEREF _Toc878202974 \h</w:instrText>
            </w:r>
            <w:r w:rsidR="005007DE" w:rsidRPr="00887F22">
              <w:rPr>
                <w:rFonts w:ascii="Arial" w:hAnsi="Arial" w:cs="Arial"/>
                <w:sz w:val="24"/>
                <w:szCs w:val="24"/>
              </w:rPr>
            </w:r>
            <w:r w:rsidR="005007DE" w:rsidRPr="00887F22">
              <w:rPr>
                <w:rFonts w:ascii="Arial" w:hAnsi="Arial" w:cs="Arial"/>
                <w:sz w:val="24"/>
                <w:szCs w:val="24"/>
              </w:rPr>
              <w:fldChar w:fldCharType="separate"/>
            </w:r>
            <w:r w:rsidR="005F7A17">
              <w:rPr>
                <w:rFonts w:ascii="Arial" w:hAnsi="Arial" w:cs="Arial"/>
                <w:sz w:val="24"/>
                <w:szCs w:val="24"/>
              </w:rPr>
              <w:t>10</w:t>
            </w:r>
            <w:r w:rsidR="005007DE" w:rsidRPr="00887F22">
              <w:rPr>
                <w:rFonts w:ascii="Arial" w:hAnsi="Arial" w:cs="Arial"/>
                <w:sz w:val="24"/>
                <w:szCs w:val="24"/>
              </w:rPr>
              <w:fldChar w:fldCharType="end"/>
            </w:r>
          </w:hyperlink>
        </w:p>
        <w:p w14:paraId="6580F190" w14:textId="16C0F12C" w:rsidR="005007DE" w:rsidRPr="00887F22" w:rsidRDefault="5CAAD95B" w:rsidP="5CAAD95B">
          <w:pPr>
            <w:pStyle w:val="TOC1"/>
            <w:tabs>
              <w:tab w:val="right" w:leader="dot" w:pos="9015"/>
            </w:tabs>
            <w:rPr>
              <w:rStyle w:val="Hyperlink"/>
              <w:rFonts w:ascii="Arial" w:hAnsi="Arial" w:cs="Arial"/>
              <w:sz w:val="24"/>
              <w:szCs w:val="24"/>
            </w:rPr>
          </w:pPr>
          <w:hyperlink w:anchor="_Toc1014517295">
            <w:r w:rsidRPr="00887F22">
              <w:rPr>
                <w:rStyle w:val="Hyperlink"/>
                <w:rFonts w:ascii="Arial" w:hAnsi="Arial" w:cs="Arial"/>
                <w:sz w:val="24"/>
                <w:szCs w:val="24"/>
              </w:rPr>
              <w:t>References</w:t>
            </w:r>
            <w:r w:rsidR="005007DE" w:rsidRPr="00887F22">
              <w:rPr>
                <w:rFonts w:ascii="Arial" w:hAnsi="Arial" w:cs="Arial"/>
                <w:sz w:val="24"/>
                <w:szCs w:val="24"/>
              </w:rPr>
              <w:tab/>
            </w:r>
            <w:r w:rsidR="005007DE" w:rsidRPr="00887F22">
              <w:rPr>
                <w:rFonts w:ascii="Arial" w:hAnsi="Arial" w:cs="Arial"/>
                <w:sz w:val="24"/>
                <w:szCs w:val="24"/>
              </w:rPr>
              <w:fldChar w:fldCharType="begin"/>
            </w:r>
            <w:r w:rsidR="005007DE" w:rsidRPr="00887F22">
              <w:rPr>
                <w:rFonts w:ascii="Arial" w:hAnsi="Arial" w:cs="Arial"/>
                <w:sz w:val="24"/>
                <w:szCs w:val="24"/>
              </w:rPr>
              <w:instrText>PAGEREF _Toc1014517295 \h</w:instrText>
            </w:r>
            <w:r w:rsidR="005007DE" w:rsidRPr="00887F22">
              <w:rPr>
                <w:rFonts w:ascii="Arial" w:hAnsi="Arial" w:cs="Arial"/>
                <w:sz w:val="24"/>
                <w:szCs w:val="24"/>
              </w:rPr>
            </w:r>
            <w:r w:rsidR="005007DE" w:rsidRPr="00887F22">
              <w:rPr>
                <w:rFonts w:ascii="Arial" w:hAnsi="Arial" w:cs="Arial"/>
                <w:sz w:val="24"/>
                <w:szCs w:val="24"/>
              </w:rPr>
              <w:fldChar w:fldCharType="separate"/>
            </w:r>
            <w:r w:rsidR="005F7A17">
              <w:rPr>
                <w:rFonts w:ascii="Arial" w:hAnsi="Arial" w:cs="Arial"/>
                <w:sz w:val="24"/>
                <w:szCs w:val="24"/>
              </w:rPr>
              <w:t>12</w:t>
            </w:r>
            <w:r w:rsidR="005007DE" w:rsidRPr="00887F22">
              <w:rPr>
                <w:rFonts w:ascii="Arial" w:hAnsi="Arial" w:cs="Arial"/>
                <w:sz w:val="24"/>
                <w:szCs w:val="24"/>
              </w:rPr>
              <w:fldChar w:fldCharType="end"/>
            </w:r>
          </w:hyperlink>
          <w:r w:rsidR="005007DE" w:rsidRPr="00887F22">
            <w:rPr>
              <w:rFonts w:ascii="Arial" w:hAnsi="Arial" w:cs="Arial"/>
              <w:sz w:val="24"/>
              <w:szCs w:val="24"/>
            </w:rPr>
            <w:fldChar w:fldCharType="end"/>
          </w:r>
        </w:p>
      </w:sdtContent>
    </w:sdt>
    <w:p w14:paraId="006AB6B3" w14:textId="7659EAE3" w:rsidR="005007DE" w:rsidRPr="005007DE" w:rsidRDefault="005007DE" w:rsidP="5CAAD95B">
      <w:pPr>
        <w:keepNext/>
        <w:keepLines/>
        <w:spacing w:before="240" w:after="0"/>
        <w:jc w:val="center"/>
        <w:rPr>
          <w:rFonts w:ascii="Arial" w:eastAsia="Arial" w:hAnsi="Arial" w:cs="Arial"/>
          <w:b/>
          <w:bCs/>
          <w:color w:val="000000" w:themeColor="text1"/>
          <w:sz w:val="32"/>
          <w:szCs w:val="32"/>
          <w:lang w:val="en-US"/>
        </w:rPr>
      </w:pPr>
    </w:p>
    <w:p w14:paraId="30D4C1AF" w14:textId="0FFA3BF3" w:rsidR="005007DE" w:rsidRPr="005007DE" w:rsidRDefault="005007DE" w:rsidP="5CAAD95B">
      <w:pPr>
        <w:keepNext/>
        <w:keepLines/>
        <w:spacing w:before="240" w:after="0"/>
        <w:jc w:val="center"/>
        <w:rPr>
          <w:b/>
          <w:bCs/>
          <w:sz w:val="28"/>
          <w:szCs w:val="28"/>
        </w:rPr>
      </w:pPr>
    </w:p>
    <w:p w14:paraId="2921DF15" w14:textId="6F41D31A" w:rsidR="005007DE" w:rsidRPr="005007DE" w:rsidRDefault="005007DE" w:rsidP="5CAAD95B">
      <w:pPr>
        <w:keepNext/>
        <w:keepLines/>
        <w:spacing w:before="240" w:after="0"/>
        <w:jc w:val="center"/>
        <w:rPr>
          <w:b/>
          <w:bCs/>
          <w:sz w:val="28"/>
          <w:szCs w:val="28"/>
        </w:rPr>
      </w:pPr>
    </w:p>
    <w:p w14:paraId="61DA14F2" w14:textId="24868F2B" w:rsidR="005007DE" w:rsidRPr="005007DE" w:rsidRDefault="005007DE" w:rsidP="005007DE">
      <w:r>
        <w:br w:type="page"/>
      </w:r>
    </w:p>
    <w:p w14:paraId="3C070586" w14:textId="77777777" w:rsidR="00C83CEA" w:rsidRDefault="00C83CEA" w:rsidP="5CAAD95B">
      <w:pPr>
        <w:keepNext/>
        <w:keepLines/>
        <w:spacing w:before="240" w:after="0"/>
        <w:jc w:val="center"/>
        <w:rPr>
          <w:b/>
          <w:bCs/>
          <w:sz w:val="28"/>
          <w:szCs w:val="28"/>
        </w:rPr>
        <w:sectPr w:rsidR="00C83CEA">
          <w:footerReference w:type="default" r:id="rId8"/>
          <w:footerReference w:type="first" r:id="rId9"/>
          <w:pgSz w:w="11906" w:h="16838"/>
          <w:pgMar w:top="1440" w:right="1440" w:bottom="1440" w:left="1440" w:header="708" w:footer="708" w:gutter="0"/>
          <w:cols w:space="708"/>
          <w:titlePg/>
          <w:docGrid w:linePitch="360"/>
        </w:sectPr>
      </w:pPr>
    </w:p>
    <w:p w14:paraId="2DB251CD" w14:textId="1FE6B895" w:rsidR="005007DE" w:rsidRPr="00887F22" w:rsidRDefault="29FB3654" w:rsidP="5CAAD95B">
      <w:pPr>
        <w:keepNext/>
        <w:keepLines/>
        <w:spacing w:before="240" w:after="0"/>
        <w:jc w:val="center"/>
        <w:rPr>
          <w:rFonts w:ascii="Arial" w:hAnsi="Arial" w:cs="Arial"/>
          <w:b/>
          <w:bCs/>
          <w:sz w:val="24"/>
          <w:szCs w:val="24"/>
        </w:rPr>
      </w:pPr>
      <w:r w:rsidRPr="00887F22">
        <w:rPr>
          <w:rFonts w:ascii="Arial" w:hAnsi="Arial" w:cs="Arial"/>
          <w:b/>
          <w:bCs/>
          <w:sz w:val="24"/>
          <w:szCs w:val="24"/>
        </w:rPr>
        <w:lastRenderedPageBreak/>
        <w:t>MARKETING ENVIRONMENT ANALYSIS: Tesla (Pioneer) vs Ford EV (Follower)</w:t>
      </w:r>
    </w:p>
    <w:p w14:paraId="2CF8FF77" w14:textId="77777777" w:rsidR="005007DE" w:rsidRPr="005007DE" w:rsidRDefault="7BB53456" w:rsidP="5CAAD95B">
      <w:pPr>
        <w:pStyle w:val="Heading1"/>
        <w:jc w:val="both"/>
      </w:pPr>
      <w:bookmarkStart w:id="0" w:name="_Toc804368184"/>
      <w:bookmarkStart w:id="1" w:name="_Toc824818636"/>
      <w:r>
        <w:t>1. Introduction</w:t>
      </w:r>
      <w:bookmarkEnd w:id="0"/>
      <w:bookmarkEnd w:id="1"/>
      <w:r>
        <w:t xml:space="preserve"> </w:t>
      </w:r>
    </w:p>
    <w:p w14:paraId="72405779" w14:textId="255287B9" w:rsidR="007B335F" w:rsidRPr="00887F22" w:rsidRDefault="354A40B3" w:rsidP="00887F22">
      <w:pPr>
        <w:spacing w:line="360" w:lineRule="auto"/>
        <w:jc w:val="both"/>
        <w:rPr>
          <w:rFonts w:ascii="Arial" w:hAnsi="Arial" w:cs="Arial"/>
          <w:sz w:val="24"/>
          <w:szCs w:val="24"/>
        </w:rPr>
      </w:pPr>
      <w:r w:rsidRPr="00887F22">
        <w:rPr>
          <w:rFonts w:ascii="Arial" w:hAnsi="Arial" w:cs="Arial"/>
          <w:sz w:val="24"/>
          <w:szCs w:val="24"/>
        </w:rPr>
        <w:t>The world automotive market is experiencing a dramatic change due to environmental sustainability, technology improvement and rising regulatory demands. Among the aspects of this transition, the explosion in the popularity of electric cars (EVs) deserves attention. In 2023, the sales of EV across the globe were about 14 million or about 18 percent of all vehicle sales as compared to the 4 percent of 2020 (IEA, 2024). This is a massive growth that signifies a complete change in consumer behaviour and strategic positioning in the industry.</w:t>
      </w:r>
    </w:p>
    <w:p w14:paraId="09D75627" w14:textId="274C6105" w:rsidR="007B335F" w:rsidRPr="00887F22" w:rsidRDefault="354A40B3" w:rsidP="00887F22">
      <w:pPr>
        <w:spacing w:line="360" w:lineRule="auto"/>
        <w:jc w:val="both"/>
        <w:rPr>
          <w:rFonts w:ascii="Arial" w:hAnsi="Arial" w:cs="Arial"/>
          <w:sz w:val="24"/>
          <w:szCs w:val="24"/>
        </w:rPr>
      </w:pPr>
      <w:r w:rsidRPr="00887F22">
        <w:rPr>
          <w:rFonts w:ascii="Arial" w:hAnsi="Arial" w:cs="Arial"/>
          <w:sz w:val="24"/>
          <w:szCs w:val="24"/>
        </w:rPr>
        <w:t>In this changing market, Tesla is well known as an innovative organisation that has re-invented the electric mobility by being a pioneer and first-moover. By 2023, Tesla had supplied about 1.8 million cars and is still on the top in the EV market (Tesla, 2023). Its strategic approach is highly anchored on technology innovation, vertical integration and branding based on sustainability.</w:t>
      </w:r>
    </w:p>
    <w:p w14:paraId="2C38941D" w14:textId="46A06FD3" w:rsidR="007B335F" w:rsidRPr="00887F22" w:rsidRDefault="354A40B3" w:rsidP="00887F22">
      <w:pPr>
        <w:spacing w:line="360" w:lineRule="auto"/>
        <w:jc w:val="both"/>
        <w:rPr>
          <w:rFonts w:ascii="Arial" w:hAnsi="Arial" w:cs="Arial"/>
          <w:sz w:val="24"/>
          <w:szCs w:val="24"/>
        </w:rPr>
      </w:pPr>
      <w:r w:rsidRPr="00887F22">
        <w:rPr>
          <w:rFonts w:ascii="Arial" w:hAnsi="Arial" w:cs="Arial"/>
          <w:sz w:val="24"/>
          <w:szCs w:val="24"/>
        </w:rPr>
        <w:t>Conversely, Ford Motor Company is an example of a follower organisation that is moving out of the old internal combustion engine (ICE) vehicles and into the electric mobility. Ford has registered more than 72,000 EV sales in the US in 2023 (Ford, 2023). As opposed to Tesla, Ford has an issue of balancing its current ICE business, and investing in EV transition at the same time.</w:t>
      </w:r>
    </w:p>
    <w:p w14:paraId="25979DC0" w14:textId="6FCE76CB" w:rsidR="007B335F" w:rsidRDefault="354A40B3" w:rsidP="00887F22">
      <w:pPr>
        <w:spacing w:line="360" w:lineRule="auto"/>
        <w:jc w:val="both"/>
      </w:pPr>
      <w:r w:rsidRPr="00887F22">
        <w:rPr>
          <w:rFonts w:ascii="Arial" w:hAnsi="Arial" w:cs="Arial"/>
          <w:sz w:val="24"/>
          <w:szCs w:val="24"/>
        </w:rPr>
        <w:t>This paper is a critical examination of two macro-environmental forces, including government regulation and technological innovation, and how these forces influenced Tesla and Ford. It also compares the strategic responses of both organisations on Porters Generic Strategies and growth matrix of Ansoff to determine how the two organisations manage to stay competitive in a fast evolving industry.</w:t>
      </w:r>
    </w:p>
    <w:p w14:paraId="448B97F4" w14:textId="77777777" w:rsidR="007B335F" w:rsidRDefault="5310AC78" w:rsidP="5CAAD95B">
      <w:pPr>
        <w:pStyle w:val="Heading1"/>
        <w:rPr>
          <w:bCs/>
          <w:sz w:val="28"/>
          <w:szCs w:val="28"/>
        </w:rPr>
      </w:pPr>
      <w:bookmarkStart w:id="2" w:name="_Toc1418004308"/>
      <w:r>
        <w:t>2. Industry Overview</w:t>
      </w:r>
      <w:bookmarkEnd w:id="2"/>
      <w:r>
        <w:t xml:space="preserve"> </w:t>
      </w:r>
    </w:p>
    <w:p w14:paraId="39D4826C" w14:textId="5EF3EB31" w:rsidR="12E7DA01" w:rsidRPr="00887F22" w:rsidRDefault="5FD796B4" w:rsidP="00887F22">
      <w:pPr>
        <w:spacing w:line="360" w:lineRule="auto"/>
        <w:jc w:val="both"/>
        <w:rPr>
          <w:rFonts w:ascii="Arial" w:hAnsi="Arial" w:cs="Arial"/>
          <w:sz w:val="24"/>
          <w:szCs w:val="24"/>
        </w:rPr>
      </w:pPr>
      <w:r w:rsidRPr="00887F22">
        <w:rPr>
          <w:rFonts w:ascii="Arial" w:hAnsi="Arial" w:cs="Arial"/>
          <w:sz w:val="24"/>
          <w:szCs w:val="24"/>
        </w:rPr>
        <w:t>Global electric vehicle (EV) market is among the booming industries in the automotive industry due to the growing environmental concerns, government incentives and swifter technological changes. The International Energy Agency (2024) has estimated that EVs will constitute over 60% of all vehicles sold world over by 2030, which is a sign of the internal combustion engine cars eventually fading away in the long run.</w:t>
      </w:r>
    </w:p>
    <w:p w14:paraId="31859027" w14:textId="2BA196E3" w:rsidR="12E7DA01" w:rsidRPr="00887F22" w:rsidRDefault="12E7DA01" w:rsidP="00887F22">
      <w:pPr>
        <w:spacing w:line="360" w:lineRule="auto"/>
        <w:jc w:val="both"/>
        <w:rPr>
          <w:rFonts w:ascii="Arial" w:hAnsi="Arial" w:cs="Arial"/>
          <w:sz w:val="24"/>
          <w:szCs w:val="24"/>
        </w:rPr>
      </w:pPr>
      <w:r w:rsidRPr="00887F22">
        <w:rPr>
          <w:rFonts w:ascii="Arial" w:hAnsi="Arial" w:cs="Arial"/>
          <w:sz w:val="24"/>
          <w:szCs w:val="24"/>
        </w:rPr>
        <w:lastRenderedPageBreak/>
        <w:drawing>
          <wp:anchor distT="0" distB="0" distL="114300" distR="114300" simplePos="0" relativeHeight="251657216" behindDoc="0" locked="0" layoutInCell="1" allowOverlap="1" wp14:anchorId="508C6F0A" wp14:editId="57EB0564">
            <wp:simplePos x="0" y="0"/>
            <wp:positionH relativeFrom="column">
              <wp:align>left</wp:align>
            </wp:positionH>
            <wp:positionV relativeFrom="paragraph">
              <wp:posOffset>0</wp:posOffset>
            </wp:positionV>
            <wp:extent cx="4369608" cy="2457450"/>
            <wp:effectExtent l="0" t="0" r="0" b="0"/>
            <wp:wrapSquare wrapText="bothSides"/>
            <wp:docPr id="12508064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806431" name="Picture 1250806431"/>
                    <pic:cNvPicPr/>
                  </pic:nvPicPr>
                  <pic:blipFill>
                    <a:blip r:embed="rId10">
                      <a:extLst>
                        <a:ext uri="{28A0092B-C50C-407E-A947-70E740481C1C}">
                          <a14:useLocalDpi xmlns:a14="http://schemas.microsoft.com/office/drawing/2010/main"/>
                        </a:ext>
                      </a:extLst>
                    </a:blip>
                    <a:stretch>
                      <a:fillRect/>
                    </a:stretch>
                  </pic:blipFill>
                  <pic:spPr>
                    <a:xfrm>
                      <a:off x="0" y="0"/>
                      <a:ext cx="4369608" cy="2457450"/>
                    </a:xfrm>
                    <a:prstGeom prst="rect">
                      <a:avLst/>
                    </a:prstGeom>
                  </pic:spPr>
                </pic:pic>
              </a:graphicData>
            </a:graphic>
            <wp14:sizeRelH relativeFrom="page">
              <wp14:pctWidth>0</wp14:pctWidth>
            </wp14:sizeRelH>
            <wp14:sizeRelV relativeFrom="page">
              <wp14:pctHeight>0</wp14:pctHeight>
            </wp14:sizeRelV>
          </wp:anchor>
        </w:drawing>
      </w:r>
      <w:r w:rsidR="5FD796B4" w:rsidRPr="00887F22">
        <w:rPr>
          <w:rFonts w:ascii="Arial" w:hAnsi="Arial" w:cs="Arial"/>
          <w:sz w:val="24"/>
          <w:szCs w:val="24"/>
        </w:rPr>
        <w:t>Tesla has been of a significant use to this transition bringing high-performance EVs and changing the consumer perception of electric mobility. Its high innovation capacity, coupled with a vertical integration business model enables the company to enjoy a top competitive edge. The model of Gigafactory production and internationalization strategy of Tesla also enhances its dominance in the market.</w:t>
      </w:r>
    </w:p>
    <w:p w14:paraId="5166225A" w14:textId="36BF2FA3" w:rsidR="12E7DA01" w:rsidRPr="00887F22" w:rsidRDefault="5FD796B4" w:rsidP="00887F22">
      <w:pPr>
        <w:spacing w:line="360" w:lineRule="auto"/>
        <w:jc w:val="both"/>
        <w:rPr>
          <w:rFonts w:ascii="Arial" w:hAnsi="Arial" w:cs="Arial"/>
          <w:sz w:val="24"/>
          <w:szCs w:val="24"/>
        </w:rPr>
      </w:pPr>
      <w:r w:rsidRPr="00887F22">
        <w:rPr>
          <w:rFonts w:ascii="Arial" w:hAnsi="Arial" w:cs="Arial"/>
          <w:sz w:val="24"/>
          <w:szCs w:val="24"/>
        </w:rPr>
        <w:t>Instead, Ford is experiencing a strategy shift towards electrification. The organization is investing more than 50 billion in EVs in 2022-2026 and released models of Mustang Mach-E and F-150 Lightning (Ford, 2023). Nevertheless, Ford has some problems regarding history-based manufacturing systems, reorganization of its supply chains and employee modification.</w:t>
      </w:r>
    </w:p>
    <w:p w14:paraId="50E1A300" w14:textId="101F01D4" w:rsidR="7BAA717A" w:rsidRPr="00887F22" w:rsidRDefault="5FD796B4" w:rsidP="00887F22">
      <w:pPr>
        <w:spacing w:line="360" w:lineRule="auto"/>
        <w:jc w:val="both"/>
        <w:rPr>
          <w:rFonts w:ascii="Arial" w:hAnsi="Arial" w:cs="Arial"/>
          <w:sz w:val="24"/>
          <w:szCs w:val="24"/>
        </w:rPr>
      </w:pPr>
      <w:r w:rsidRPr="00887F22">
        <w:rPr>
          <w:rFonts w:ascii="Arial" w:hAnsi="Arial" w:cs="Arial"/>
          <w:sz w:val="24"/>
          <w:szCs w:val="24"/>
        </w:rPr>
        <w:t>This is a key difference between pioneer and follower organisations especially in this industry. Tesla has the first-mover advantages since it can influence the trends in the industry, whereas Ford has to deal with the risks of transformation as it remains competitive.</w:t>
      </w:r>
    </w:p>
    <w:p w14:paraId="04E86C94" w14:textId="77777777" w:rsidR="007B335F" w:rsidRDefault="5310AC78" w:rsidP="5CAAD95B">
      <w:pPr>
        <w:pStyle w:val="Heading1"/>
        <w:rPr>
          <w:bCs/>
          <w:sz w:val="28"/>
          <w:szCs w:val="28"/>
        </w:rPr>
      </w:pPr>
      <w:bookmarkStart w:id="3" w:name="_Toc713500371"/>
      <w:r>
        <w:t>3. Task 1: Macro-Environmental Analysis.</w:t>
      </w:r>
      <w:bookmarkEnd w:id="3"/>
      <w:r>
        <w:t xml:space="preserve"> </w:t>
      </w:r>
    </w:p>
    <w:p w14:paraId="639A0FC1" w14:textId="77777777" w:rsidR="007B335F" w:rsidRDefault="5310AC78" w:rsidP="5CAAD95B">
      <w:pPr>
        <w:pStyle w:val="Heading2"/>
        <w:rPr>
          <w:bCs/>
        </w:rPr>
      </w:pPr>
      <w:bookmarkStart w:id="4" w:name="_Toc79363018"/>
      <w:r>
        <w:t>3.1 Government regulation and Sustainability policies.</w:t>
      </w:r>
      <w:bookmarkEnd w:id="4"/>
      <w:r>
        <w:t xml:space="preserve"> </w:t>
      </w:r>
    </w:p>
    <w:p w14:paraId="66A5F908" w14:textId="0FCCA110" w:rsidR="524377CE" w:rsidRPr="00887F22" w:rsidRDefault="07D451D5" w:rsidP="00887F22">
      <w:pPr>
        <w:spacing w:line="360" w:lineRule="auto"/>
        <w:jc w:val="both"/>
        <w:rPr>
          <w:rFonts w:ascii="Arial" w:hAnsi="Arial" w:cs="Arial"/>
          <w:sz w:val="24"/>
          <w:szCs w:val="24"/>
        </w:rPr>
      </w:pPr>
      <w:r w:rsidRPr="00887F22">
        <w:rPr>
          <w:rFonts w:ascii="Arial" w:hAnsi="Arial" w:cs="Arial"/>
          <w:sz w:val="24"/>
          <w:szCs w:val="24"/>
        </w:rPr>
        <w:t>One of the most significant macro-environmental factors that will have an impact on the EV industry is government regulation. Sustainable mobility is aimed by enacting policies that aim to speed up the shift to sustainable mobility, i.e. emission targets, carbon taxation and financial incentives. To illustrate, the United States Inflation Reduction Act is also providing up to 7,500 tax credits to EV buyers, and the European Union has even promised to prohibit the sale of new ICE vehicles by 2035 (European Commission, 2023).</w:t>
      </w:r>
    </w:p>
    <w:p w14:paraId="32451192" w14:textId="70A27A53" w:rsidR="524377CE" w:rsidRPr="00887F22" w:rsidRDefault="07D451D5" w:rsidP="00887F22">
      <w:pPr>
        <w:spacing w:line="360" w:lineRule="auto"/>
        <w:jc w:val="both"/>
        <w:rPr>
          <w:rFonts w:ascii="Arial" w:hAnsi="Arial" w:cs="Arial"/>
          <w:b/>
          <w:bCs/>
          <w:sz w:val="24"/>
          <w:szCs w:val="24"/>
        </w:rPr>
      </w:pPr>
      <w:r w:rsidRPr="00887F22">
        <w:rPr>
          <w:rFonts w:ascii="Arial" w:hAnsi="Arial" w:cs="Arial"/>
          <w:b/>
          <w:bCs/>
          <w:sz w:val="24"/>
          <w:szCs w:val="24"/>
        </w:rPr>
        <w:lastRenderedPageBreak/>
        <w:t>Impact on Tesla</w:t>
      </w:r>
    </w:p>
    <w:p w14:paraId="7C078080" w14:textId="48FC55B0" w:rsidR="524377CE" w:rsidRPr="00887F22" w:rsidRDefault="07D451D5" w:rsidP="00887F22">
      <w:pPr>
        <w:pStyle w:val="ListParagraph"/>
        <w:numPr>
          <w:ilvl w:val="0"/>
          <w:numId w:val="8"/>
        </w:numPr>
        <w:spacing w:line="360" w:lineRule="auto"/>
        <w:jc w:val="both"/>
        <w:rPr>
          <w:rFonts w:ascii="Arial" w:hAnsi="Arial" w:cs="Arial"/>
          <w:sz w:val="24"/>
          <w:szCs w:val="24"/>
        </w:rPr>
      </w:pPr>
      <w:r w:rsidRPr="00887F22">
        <w:rPr>
          <w:rFonts w:ascii="Arial" w:hAnsi="Arial" w:cs="Arial"/>
          <w:sz w:val="24"/>
          <w:szCs w:val="24"/>
        </w:rPr>
        <w:t>Tesla is also well-placed to enjoy regulatory changes because it has managed to invest early in the electric mobility.</w:t>
      </w:r>
    </w:p>
    <w:p w14:paraId="5FBEA710" w14:textId="4BD71621" w:rsidR="524377CE" w:rsidRPr="00887F22" w:rsidRDefault="07D451D5" w:rsidP="00887F22">
      <w:pPr>
        <w:pStyle w:val="ListParagraph"/>
        <w:numPr>
          <w:ilvl w:val="0"/>
          <w:numId w:val="8"/>
        </w:numPr>
        <w:spacing w:line="360" w:lineRule="auto"/>
        <w:jc w:val="both"/>
        <w:rPr>
          <w:rFonts w:ascii="Arial" w:hAnsi="Arial" w:cs="Arial"/>
          <w:sz w:val="24"/>
          <w:szCs w:val="24"/>
        </w:rPr>
      </w:pPr>
      <w:r w:rsidRPr="00887F22">
        <w:rPr>
          <w:rFonts w:ascii="Arial" w:hAnsi="Arial" w:cs="Arial"/>
          <w:sz w:val="24"/>
          <w:szCs w:val="24"/>
        </w:rPr>
        <w:t>Camped close to 1.79 billion in regulatory credit revenue in 2023 (Tesla, 2023)</w:t>
      </w:r>
    </w:p>
    <w:p w14:paraId="5DDF116E" w14:textId="685A0359" w:rsidR="524377CE" w:rsidRPr="00887F22" w:rsidRDefault="07D451D5" w:rsidP="00887F22">
      <w:pPr>
        <w:pStyle w:val="ListParagraph"/>
        <w:numPr>
          <w:ilvl w:val="0"/>
          <w:numId w:val="8"/>
        </w:numPr>
        <w:spacing w:line="360" w:lineRule="auto"/>
        <w:jc w:val="both"/>
        <w:rPr>
          <w:rFonts w:ascii="Arial" w:hAnsi="Arial" w:cs="Arial"/>
          <w:sz w:val="24"/>
          <w:szCs w:val="24"/>
        </w:rPr>
      </w:pPr>
      <w:r w:rsidRPr="00887F22">
        <w:rPr>
          <w:rFonts w:ascii="Arial" w:hAnsi="Arial" w:cs="Arial"/>
          <w:sz w:val="24"/>
          <w:szCs w:val="24"/>
        </w:rPr>
        <w:t>Wholesomely electric product line goes in line with the sustainability policies.</w:t>
      </w:r>
    </w:p>
    <w:p w14:paraId="6E713954" w14:textId="002E18B0" w:rsidR="524377CE" w:rsidRPr="00887F22" w:rsidRDefault="07D451D5" w:rsidP="00887F22">
      <w:pPr>
        <w:pStyle w:val="ListParagraph"/>
        <w:numPr>
          <w:ilvl w:val="0"/>
          <w:numId w:val="8"/>
        </w:numPr>
        <w:spacing w:line="360" w:lineRule="auto"/>
        <w:jc w:val="both"/>
        <w:rPr>
          <w:rFonts w:ascii="Arial" w:hAnsi="Arial" w:cs="Arial"/>
          <w:sz w:val="24"/>
          <w:szCs w:val="24"/>
        </w:rPr>
      </w:pPr>
      <w:r w:rsidRPr="00887F22">
        <w:rPr>
          <w:rFonts w:ascii="Arial" w:hAnsi="Arial" w:cs="Arial"/>
          <w:sz w:val="24"/>
          <w:szCs w:val="24"/>
        </w:rPr>
        <w:t>No reliance on ICE cars, which avoids switching costs.</w:t>
      </w:r>
    </w:p>
    <w:p w14:paraId="6BEE2821" w14:textId="44EFF854" w:rsidR="524377CE" w:rsidRPr="00887F22" w:rsidRDefault="07D451D5" w:rsidP="00887F22">
      <w:pPr>
        <w:spacing w:line="360" w:lineRule="auto"/>
        <w:jc w:val="both"/>
        <w:rPr>
          <w:rFonts w:ascii="Arial" w:hAnsi="Arial" w:cs="Arial"/>
          <w:sz w:val="24"/>
          <w:szCs w:val="24"/>
        </w:rPr>
      </w:pPr>
      <w:r w:rsidRPr="00887F22">
        <w:rPr>
          <w:rFonts w:ascii="Arial" w:hAnsi="Arial" w:cs="Arial"/>
          <w:sz w:val="24"/>
          <w:szCs w:val="24"/>
        </w:rPr>
        <w:t>The fact that Tesla has aligned with environmental policies means that it can use regulatory pressures as a competitive advantage. Tesla does not have to restructure its legacy systems as compared to its traditional manufacturers. On the contrary, regulatory regimes reinforce its position in the market.</w:t>
      </w:r>
    </w:p>
    <w:p w14:paraId="1C54A264" w14:textId="663BBE43" w:rsidR="524377CE" w:rsidRPr="00887F22" w:rsidRDefault="07D451D5" w:rsidP="00887F22">
      <w:pPr>
        <w:spacing w:line="360" w:lineRule="auto"/>
        <w:jc w:val="both"/>
        <w:rPr>
          <w:rFonts w:ascii="Arial" w:hAnsi="Arial" w:cs="Arial"/>
          <w:sz w:val="24"/>
          <w:szCs w:val="24"/>
        </w:rPr>
      </w:pPr>
      <w:r w:rsidRPr="00887F22">
        <w:rPr>
          <w:rFonts w:ascii="Arial" w:hAnsi="Arial" w:cs="Arial"/>
          <w:sz w:val="24"/>
          <w:szCs w:val="24"/>
        </w:rPr>
        <w:t>Moreover, the fact that Tesla is able to sell carbon credits proves the fact that environmental regulation can turn into a direct source of revenue. This symbolizes a high strategic agility as opposed to competitors.</w:t>
      </w:r>
    </w:p>
    <w:p w14:paraId="4C13CF58" w14:textId="3762471D" w:rsidR="524377CE" w:rsidRPr="00887F22" w:rsidRDefault="07D451D5" w:rsidP="00887F22">
      <w:pPr>
        <w:spacing w:line="360" w:lineRule="auto"/>
        <w:jc w:val="both"/>
        <w:rPr>
          <w:rFonts w:ascii="Arial" w:hAnsi="Arial" w:cs="Arial"/>
          <w:b/>
          <w:bCs/>
          <w:sz w:val="24"/>
          <w:szCs w:val="24"/>
        </w:rPr>
      </w:pPr>
      <w:r w:rsidRPr="00887F22">
        <w:rPr>
          <w:rFonts w:ascii="Arial" w:hAnsi="Arial" w:cs="Arial"/>
          <w:b/>
          <w:bCs/>
          <w:sz w:val="24"/>
          <w:szCs w:val="24"/>
        </w:rPr>
        <w:t>Impact on Ford EV</w:t>
      </w:r>
    </w:p>
    <w:p w14:paraId="595B589F" w14:textId="29D001F1" w:rsidR="524377CE" w:rsidRPr="00887F22" w:rsidRDefault="07D451D5" w:rsidP="00887F22">
      <w:pPr>
        <w:pStyle w:val="ListParagraph"/>
        <w:numPr>
          <w:ilvl w:val="0"/>
          <w:numId w:val="7"/>
        </w:numPr>
        <w:spacing w:line="360" w:lineRule="auto"/>
        <w:jc w:val="both"/>
        <w:rPr>
          <w:rFonts w:ascii="Arial" w:hAnsi="Arial" w:cs="Arial"/>
          <w:sz w:val="24"/>
          <w:szCs w:val="24"/>
        </w:rPr>
      </w:pPr>
      <w:r w:rsidRPr="00887F22">
        <w:rPr>
          <w:rFonts w:ascii="Arial" w:hAnsi="Arial" w:cs="Arial"/>
          <w:sz w:val="24"/>
          <w:szCs w:val="24"/>
        </w:rPr>
        <w:t>Ford has a more complicated situation as it is used to ICE automobiles.</w:t>
      </w:r>
    </w:p>
    <w:p w14:paraId="655BAC38" w14:textId="3A923F29" w:rsidR="524377CE" w:rsidRPr="00887F22" w:rsidRDefault="07D451D5" w:rsidP="00887F22">
      <w:pPr>
        <w:pStyle w:val="ListParagraph"/>
        <w:numPr>
          <w:ilvl w:val="0"/>
          <w:numId w:val="7"/>
        </w:numPr>
        <w:spacing w:line="360" w:lineRule="auto"/>
        <w:jc w:val="both"/>
        <w:rPr>
          <w:rFonts w:ascii="Arial" w:hAnsi="Arial" w:cs="Arial"/>
          <w:sz w:val="24"/>
          <w:szCs w:val="24"/>
        </w:rPr>
      </w:pPr>
      <w:r w:rsidRPr="00887F22">
        <w:rPr>
          <w:rFonts w:ascii="Arial" w:hAnsi="Arial" w:cs="Arial"/>
          <w:sz w:val="24"/>
          <w:szCs w:val="24"/>
        </w:rPr>
        <w:t>Losses of more than 4.7 billion in its EV division in 2023 (Ford, 2023).</w:t>
      </w:r>
    </w:p>
    <w:p w14:paraId="4A90E29C" w14:textId="7035A8EA" w:rsidR="524377CE" w:rsidRPr="00887F22" w:rsidRDefault="07D451D5" w:rsidP="00887F22">
      <w:pPr>
        <w:pStyle w:val="ListParagraph"/>
        <w:numPr>
          <w:ilvl w:val="0"/>
          <w:numId w:val="7"/>
        </w:numPr>
        <w:spacing w:line="360" w:lineRule="auto"/>
        <w:jc w:val="both"/>
        <w:rPr>
          <w:rFonts w:ascii="Arial" w:hAnsi="Arial" w:cs="Arial"/>
          <w:sz w:val="24"/>
          <w:szCs w:val="24"/>
        </w:rPr>
      </w:pPr>
      <w:r w:rsidRPr="00887F22">
        <w:rPr>
          <w:rFonts w:ascii="Arial" w:hAnsi="Arial" w:cs="Arial"/>
          <w:sz w:val="24"/>
          <w:szCs w:val="24"/>
        </w:rPr>
        <w:t>Invested more than 50 billion in EV.</w:t>
      </w:r>
    </w:p>
    <w:p w14:paraId="26BF3636" w14:textId="6CB307ED" w:rsidR="524377CE" w:rsidRPr="00887F22" w:rsidRDefault="07D451D5" w:rsidP="00887F22">
      <w:pPr>
        <w:pStyle w:val="ListParagraph"/>
        <w:numPr>
          <w:ilvl w:val="0"/>
          <w:numId w:val="7"/>
        </w:numPr>
        <w:spacing w:line="360" w:lineRule="auto"/>
        <w:jc w:val="both"/>
        <w:rPr>
          <w:rFonts w:ascii="Arial" w:hAnsi="Arial" w:cs="Arial"/>
          <w:sz w:val="24"/>
          <w:szCs w:val="24"/>
        </w:rPr>
      </w:pPr>
      <w:r w:rsidRPr="00887F22">
        <w:rPr>
          <w:rFonts w:ascii="Arial" w:hAnsi="Arial" w:cs="Arial"/>
          <w:sz w:val="24"/>
          <w:szCs w:val="24"/>
        </w:rPr>
        <w:t>Has to coordinate the ICE operations as well as EV transition.</w:t>
      </w:r>
    </w:p>
    <w:p w14:paraId="2E543BF6" w14:textId="36603909" w:rsidR="524377CE" w:rsidRPr="00887F22" w:rsidRDefault="07D451D5" w:rsidP="00887F22">
      <w:pPr>
        <w:spacing w:line="360" w:lineRule="auto"/>
        <w:jc w:val="both"/>
        <w:rPr>
          <w:rFonts w:ascii="Arial" w:hAnsi="Arial" w:cs="Arial"/>
          <w:sz w:val="24"/>
          <w:szCs w:val="24"/>
        </w:rPr>
      </w:pPr>
      <w:r w:rsidRPr="00887F22">
        <w:rPr>
          <w:rFonts w:ascii="Arial" w:hAnsi="Arial" w:cs="Arial"/>
          <w:sz w:val="24"/>
          <w:szCs w:val="24"/>
        </w:rPr>
        <w:t>The shift by Ford poses a great financial and operational problem. The firm will have to make huge investments in new technologies and retain its current business. This two-pronged approach brings about strategic tension and a lack of organisational flexibility.</w:t>
      </w:r>
    </w:p>
    <w:p w14:paraId="1B1853F6" w14:textId="1BFB8581" w:rsidR="524377CE" w:rsidRPr="00887F22" w:rsidRDefault="07D451D5" w:rsidP="00887F22">
      <w:pPr>
        <w:spacing w:line="360" w:lineRule="auto"/>
        <w:jc w:val="both"/>
        <w:rPr>
          <w:rFonts w:ascii="Arial" w:hAnsi="Arial" w:cs="Arial"/>
          <w:sz w:val="24"/>
          <w:szCs w:val="24"/>
        </w:rPr>
      </w:pPr>
      <w:r w:rsidRPr="00887F22">
        <w:rPr>
          <w:rFonts w:ascii="Arial" w:hAnsi="Arial" w:cs="Arial"/>
          <w:sz w:val="24"/>
          <w:szCs w:val="24"/>
        </w:rPr>
        <w:t>Also, environmental regulations raise costs of operations due to supply chain redesigning and production restructuring. Regulatory incentives cannot be fully enjoyed by Ford as it would have to face substantial transition costs unlike Tesla.</w:t>
      </w:r>
    </w:p>
    <w:p w14:paraId="6EC551E3" w14:textId="6456068D" w:rsidR="524377CE" w:rsidRPr="00887F22" w:rsidRDefault="07D451D5" w:rsidP="00887F22">
      <w:pPr>
        <w:spacing w:line="360" w:lineRule="auto"/>
        <w:jc w:val="both"/>
        <w:rPr>
          <w:rFonts w:ascii="Arial" w:hAnsi="Arial" w:cs="Arial"/>
          <w:b/>
          <w:bCs/>
          <w:sz w:val="24"/>
          <w:szCs w:val="24"/>
        </w:rPr>
      </w:pPr>
      <w:r w:rsidRPr="00887F22">
        <w:rPr>
          <w:rFonts w:ascii="Arial" w:hAnsi="Arial" w:cs="Arial"/>
          <w:b/>
          <w:bCs/>
          <w:sz w:val="24"/>
          <w:szCs w:val="24"/>
        </w:rPr>
        <w:t>Critical Evaluation</w:t>
      </w:r>
    </w:p>
    <w:p w14:paraId="1D418FA2" w14:textId="38FF0D09" w:rsidR="524377CE" w:rsidRPr="00887F22" w:rsidRDefault="07D451D5" w:rsidP="00887F22">
      <w:pPr>
        <w:pStyle w:val="ListParagraph"/>
        <w:numPr>
          <w:ilvl w:val="0"/>
          <w:numId w:val="6"/>
        </w:numPr>
        <w:spacing w:line="360" w:lineRule="auto"/>
        <w:jc w:val="both"/>
        <w:rPr>
          <w:rFonts w:ascii="Arial" w:hAnsi="Arial" w:cs="Arial"/>
          <w:sz w:val="24"/>
          <w:szCs w:val="24"/>
        </w:rPr>
      </w:pPr>
      <w:r w:rsidRPr="00887F22">
        <w:rPr>
          <w:rFonts w:ascii="Arial" w:hAnsi="Arial" w:cs="Arial"/>
          <w:sz w:val="24"/>
          <w:szCs w:val="24"/>
        </w:rPr>
        <w:t>The effect of government control is obviously disproportional:</w:t>
      </w:r>
    </w:p>
    <w:p w14:paraId="75B6D0B5" w14:textId="59563F1B" w:rsidR="524377CE" w:rsidRPr="00887F22" w:rsidRDefault="07D451D5" w:rsidP="00887F22">
      <w:pPr>
        <w:pStyle w:val="ListParagraph"/>
        <w:numPr>
          <w:ilvl w:val="0"/>
          <w:numId w:val="6"/>
        </w:numPr>
        <w:spacing w:line="360" w:lineRule="auto"/>
        <w:jc w:val="both"/>
        <w:rPr>
          <w:rFonts w:ascii="Arial" w:hAnsi="Arial" w:cs="Arial"/>
          <w:sz w:val="24"/>
          <w:szCs w:val="24"/>
        </w:rPr>
      </w:pPr>
      <w:r w:rsidRPr="00887F22">
        <w:rPr>
          <w:rFonts w:ascii="Arial" w:hAnsi="Arial" w:cs="Arial"/>
          <w:sz w:val="24"/>
          <w:szCs w:val="24"/>
        </w:rPr>
        <w:t>Early strategic alignment is an advantage to Tesla.</w:t>
      </w:r>
    </w:p>
    <w:p w14:paraId="62C812B4" w14:textId="2041BE74" w:rsidR="524377CE" w:rsidRPr="00887F22" w:rsidRDefault="07D451D5" w:rsidP="00887F22">
      <w:pPr>
        <w:pStyle w:val="ListParagraph"/>
        <w:numPr>
          <w:ilvl w:val="0"/>
          <w:numId w:val="6"/>
        </w:numPr>
        <w:spacing w:line="360" w:lineRule="auto"/>
        <w:jc w:val="both"/>
        <w:rPr>
          <w:rFonts w:ascii="Arial" w:hAnsi="Arial" w:cs="Arial"/>
          <w:sz w:val="24"/>
          <w:szCs w:val="24"/>
        </w:rPr>
      </w:pPr>
      <w:r w:rsidRPr="00887F22">
        <w:rPr>
          <w:rFonts w:ascii="Arial" w:hAnsi="Arial" w:cs="Arial"/>
          <w:sz w:val="24"/>
          <w:szCs w:val="24"/>
        </w:rPr>
        <w:t>Ford is a company that has been regulated.</w:t>
      </w:r>
    </w:p>
    <w:p w14:paraId="1C94802C" w14:textId="42E2CFC1" w:rsidR="007B335F" w:rsidRPr="00887F22" w:rsidRDefault="07D451D5" w:rsidP="00887F22">
      <w:pPr>
        <w:spacing w:line="360" w:lineRule="auto"/>
        <w:jc w:val="both"/>
        <w:rPr>
          <w:rFonts w:ascii="Arial" w:hAnsi="Arial" w:cs="Arial"/>
          <w:sz w:val="24"/>
          <w:szCs w:val="24"/>
        </w:rPr>
      </w:pPr>
      <w:r w:rsidRPr="00887F22">
        <w:rPr>
          <w:rFonts w:ascii="Arial" w:hAnsi="Arial" w:cs="Arial"/>
          <w:sz w:val="24"/>
          <w:szCs w:val="24"/>
        </w:rPr>
        <w:lastRenderedPageBreak/>
        <w:t>This implies that regulatory policies do not bring about a level playing field but rather they reinforce competitive advantage. Tesla is the first-mover, which allows it to take advantage of incentives and Ford has to spend a lot to transform it. Regulation, therefore, is a competitive booster to the innovators and a structural problem to the follower organisations.</w:t>
      </w:r>
    </w:p>
    <w:p w14:paraId="0805CDDD" w14:textId="77777777" w:rsidR="007B335F" w:rsidRPr="00887F22" w:rsidRDefault="5310AC78" w:rsidP="5CAAD95B">
      <w:pPr>
        <w:pStyle w:val="Heading2"/>
        <w:rPr>
          <w:rFonts w:cs="Arial"/>
          <w:bCs/>
        </w:rPr>
      </w:pPr>
      <w:bookmarkStart w:id="5" w:name="_Toc738792878"/>
      <w:r w:rsidRPr="00887F22">
        <w:rPr>
          <w:rFonts w:cs="Arial"/>
        </w:rPr>
        <w:t>3.2 Technological Innovation</w:t>
      </w:r>
      <w:bookmarkEnd w:id="5"/>
      <w:r w:rsidRPr="00887F22">
        <w:rPr>
          <w:rFonts w:cs="Arial"/>
        </w:rPr>
        <w:t xml:space="preserve"> </w:t>
      </w:r>
    </w:p>
    <w:p w14:paraId="3B759712" w14:textId="7ECE7D0F" w:rsidR="005007DE" w:rsidRPr="00887F22" w:rsidRDefault="726C4023" w:rsidP="00887F22">
      <w:pPr>
        <w:spacing w:line="360" w:lineRule="auto"/>
        <w:jc w:val="both"/>
        <w:rPr>
          <w:rFonts w:ascii="Arial" w:hAnsi="Arial" w:cs="Arial"/>
          <w:sz w:val="24"/>
          <w:szCs w:val="24"/>
        </w:rPr>
      </w:pPr>
      <w:r w:rsidRPr="00887F22">
        <w:rPr>
          <w:rFonts w:ascii="Arial" w:hAnsi="Arial" w:cs="Arial"/>
          <w:sz w:val="24"/>
          <w:szCs w:val="24"/>
        </w:rPr>
        <w:t>One of the factors that contribute to the competitive advantage in the EV industry is technological innovation, especially in terms of battery efficiency, autonomous driving and software integration. The cost of batteries has reduced by around 89 percent in 2010-2023, which leads to the increased availability of EVs (BloombergNEF, 2024).</w:t>
      </w:r>
    </w:p>
    <w:p w14:paraId="761C50E4" w14:textId="7C5FC474" w:rsidR="005007DE" w:rsidRPr="00887F22" w:rsidRDefault="726C4023" w:rsidP="00887F22">
      <w:pPr>
        <w:spacing w:line="360" w:lineRule="auto"/>
        <w:jc w:val="both"/>
        <w:rPr>
          <w:rFonts w:ascii="Arial" w:hAnsi="Arial" w:cs="Arial"/>
          <w:b/>
          <w:bCs/>
          <w:sz w:val="24"/>
          <w:szCs w:val="24"/>
        </w:rPr>
      </w:pPr>
      <w:r w:rsidRPr="00887F22">
        <w:rPr>
          <w:rFonts w:ascii="Arial" w:hAnsi="Arial" w:cs="Arial"/>
          <w:b/>
          <w:bCs/>
          <w:sz w:val="24"/>
          <w:szCs w:val="24"/>
        </w:rPr>
        <w:t>Impact on Tesla</w:t>
      </w:r>
    </w:p>
    <w:p w14:paraId="2C9C4700" w14:textId="200ED765" w:rsidR="005007DE" w:rsidRPr="00887F22" w:rsidRDefault="726C4023" w:rsidP="00887F22">
      <w:pPr>
        <w:pStyle w:val="ListParagraph"/>
        <w:numPr>
          <w:ilvl w:val="0"/>
          <w:numId w:val="5"/>
        </w:numPr>
        <w:spacing w:line="360" w:lineRule="auto"/>
        <w:jc w:val="both"/>
        <w:rPr>
          <w:rFonts w:ascii="Arial" w:hAnsi="Arial" w:cs="Arial"/>
          <w:sz w:val="24"/>
          <w:szCs w:val="24"/>
        </w:rPr>
      </w:pPr>
      <w:r w:rsidRPr="00887F22">
        <w:rPr>
          <w:rFonts w:ascii="Arial" w:hAnsi="Arial" w:cs="Arial"/>
          <w:sz w:val="24"/>
          <w:szCs w:val="24"/>
        </w:rPr>
        <w:t>Tesla has a competitive power rooted in its technological high level of skills.</w:t>
      </w:r>
    </w:p>
    <w:p w14:paraId="13D4C50A" w14:textId="60D24223" w:rsidR="005007DE" w:rsidRPr="00887F22" w:rsidRDefault="726C4023" w:rsidP="00887F22">
      <w:pPr>
        <w:pStyle w:val="ListParagraph"/>
        <w:numPr>
          <w:ilvl w:val="0"/>
          <w:numId w:val="5"/>
        </w:numPr>
        <w:spacing w:line="360" w:lineRule="auto"/>
        <w:jc w:val="both"/>
        <w:rPr>
          <w:rFonts w:ascii="Arial" w:hAnsi="Arial" w:cs="Arial"/>
          <w:sz w:val="24"/>
          <w:szCs w:val="24"/>
        </w:rPr>
      </w:pPr>
      <w:r w:rsidRPr="00887F22">
        <w:rPr>
          <w:rFonts w:ascii="Arial" w:hAnsi="Arial" w:cs="Arial"/>
          <w:sz w:val="24"/>
          <w:szCs w:val="24"/>
        </w:rPr>
        <w:t>Research and development of more than 3 billion every year (Tesla, 2023)</w:t>
      </w:r>
    </w:p>
    <w:p w14:paraId="405B2AF0" w14:textId="3F84A260" w:rsidR="005007DE" w:rsidRPr="00887F22" w:rsidRDefault="726C4023" w:rsidP="00887F22">
      <w:pPr>
        <w:pStyle w:val="ListParagraph"/>
        <w:numPr>
          <w:ilvl w:val="0"/>
          <w:numId w:val="5"/>
        </w:numPr>
        <w:spacing w:line="360" w:lineRule="auto"/>
        <w:jc w:val="both"/>
        <w:rPr>
          <w:rFonts w:ascii="Arial" w:hAnsi="Arial" w:cs="Arial"/>
          <w:sz w:val="24"/>
          <w:szCs w:val="24"/>
        </w:rPr>
      </w:pPr>
      <w:r w:rsidRPr="00887F22">
        <w:rPr>
          <w:rFonts w:ascii="Arial" w:hAnsi="Arial" w:cs="Arial"/>
          <w:sz w:val="24"/>
          <w:szCs w:val="24"/>
        </w:rPr>
        <w:t>Invents its own battery technology and artificial intelligence autonomous systems.</w:t>
      </w:r>
    </w:p>
    <w:p w14:paraId="68FB3A07" w14:textId="065D54A1" w:rsidR="005007DE" w:rsidRPr="00887F22" w:rsidRDefault="726C4023" w:rsidP="00887F22">
      <w:pPr>
        <w:pStyle w:val="ListParagraph"/>
        <w:numPr>
          <w:ilvl w:val="0"/>
          <w:numId w:val="5"/>
        </w:numPr>
        <w:spacing w:line="360" w:lineRule="auto"/>
        <w:jc w:val="both"/>
        <w:rPr>
          <w:rFonts w:ascii="Arial" w:hAnsi="Arial" w:cs="Arial"/>
          <w:sz w:val="24"/>
          <w:szCs w:val="24"/>
        </w:rPr>
      </w:pPr>
      <w:r w:rsidRPr="00887F22">
        <w:rPr>
          <w:rFonts w:ascii="Arial" w:hAnsi="Arial" w:cs="Arial"/>
          <w:sz w:val="24"/>
          <w:szCs w:val="24"/>
        </w:rPr>
        <w:t xml:space="preserve">Resorts to vertical integration in order to dominate major parts. </w:t>
      </w:r>
    </w:p>
    <w:p w14:paraId="4A912DF5" w14:textId="6685C7F1" w:rsidR="005007DE" w:rsidRPr="00887F22" w:rsidRDefault="726C4023" w:rsidP="00887F22">
      <w:pPr>
        <w:spacing w:line="360" w:lineRule="auto"/>
        <w:jc w:val="both"/>
        <w:rPr>
          <w:rFonts w:ascii="Arial" w:hAnsi="Arial" w:cs="Arial"/>
          <w:sz w:val="24"/>
          <w:szCs w:val="24"/>
        </w:rPr>
      </w:pPr>
      <w:r w:rsidRPr="00887F22">
        <w:rPr>
          <w:rFonts w:ascii="Arial" w:hAnsi="Arial" w:cs="Arial"/>
          <w:sz w:val="24"/>
          <w:szCs w:val="24"/>
        </w:rPr>
        <w:t>The approach used by Tesla allows it to innovate and constantly develop products. Customers can also enhance their vehicles through over-the-air software updates, which enhances customer value and loyalty to the company.</w:t>
      </w:r>
    </w:p>
    <w:p w14:paraId="3160C795" w14:textId="59F57A4D" w:rsidR="005007DE" w:rsidRPr="00887F22" w:rsidRDefault="726C4023" w:rsidP="00887F22">
      <w:pPr>
        <w:spacing w:line="360" w:lineRule="auto"/>
        <w:jc w:val="both"/>
        <w:rPr>
          <w:rFonts w:ascii="Arial" w:hAnsi="Arial" w:cs="Arial"/>
          <w:sz w:val="24"/>
          <w:szCs w:val="24"/>
        </w:rPr>
      </w:pPr>
      <w:r w:rsidRPr="00887F22">
        <w:rPr>
          <w:rFonts w:ascii="Arial" w:hAnsi="Arial" w:cs="Arial"/>
          <w:sz w:val="24"/>
          <w:szCs w:val="24"/>
        </w:rPr>
        <w:t>Also, the vertical integration minimizes dependence on the suppliers which improves the operational efficiency and helps to adapt more swiftly to the changes in technology.</w:t>
      </w:r>
    </w:p>
    <w:p w14:paraId="018BB030" w14:textId="0257F259" w:rsidR="005007DE" w:rsidRPr="00887F22" w:rsidRDefault="726C4023" w:rsidP="00887F22">
      <w:pPr>
        <w:spacing w:line="360" w:lineRule="auto"/>
        <w:jc w:val="both"/>
        <w:rPr>
          <w:rFonts w:ascii="Arial" w:hAnsi="Arial" w:cs="Arial"/>
          <w:b/>
          <w:bCs/>
          <w:sz w:val="24"/>
          <w:szCs w:val="24"/>
        </w:rPr>
      </w:pPr>
      <w:r w:rsidRPr="00887F22">
        <w:rPr>
          <w:rFonts w:ascii="Arial" w:hAnsi="Arial" w:cs="Arial"/>
          <w:b/>
          <w:bCs/>
          <w:sz w:val="24"/>
          <w:szCs w:val="24"/>
        </w:rPr>
        <w:t>Impact on Ford EV</w:t>
      </w:r>
    </w:p>
    <w:p w14:paraId="7C0EB281" w14:textId="1118A213" w:rsidR="005007DE" w:rsidRPr="00887F22" w:rsidRDefault="726C4023" w:rsidP="00887F22">
      <w:pPr>
        <w:pStyle w:val="ListParagraph"/>
        <w:numPr>
          <w:ilvl w:val="0"/>
          <w:numId w:val="4"/>
        </w:numPr>
        <w:spacing w:line="360" w:lineRule="auto"/>
        <w:jc w:val="both"/>
        <w:rPr>
          <w:rFonts w:ascii="Arial" w:hAnsi="Arial" w:cs="Arial"/>
          <w:sz w:val="24"/>
          <w:szCs w:val="24"/>
        </w:rPr>
      </w:pPr>
      <w:r w:rsidRPr="00887F22">
        <w:rPr>
          <w:rFonts w:ascii="Arial" w:hAnsi="Arial" w:cs="Arial"/>
          <w:sz w:val="24"/>
          <w:szCs w:val="24"/>
        </w:rPr>
        <w:t>Ford is a conservative technological firm.</w:t>
      </w:r>
    </w:p>
    <w:p w14:paraId="33CD410E" w14:textId="679E4456" w:rsidR="005007DE" w:rsidRPr="00887F22" w:rsidRDefault="726C4023" w:rsidP="00887F22">
      <w:pPr>
        <w:pStyle w:val="ListParagraph"/>
        <w:numPr>
          <w:ilvl w:val="0"/>
          <w:numId w:val="4"/>
        </w:numPr>
        <w:spacing w:line="360" w:lineRule="auto"/>
        <w:jc w:val="both"/>
        <w:rPr>
          <w:rFonts w:ascii="Arial" w:hAnsi="Arial" w:cs="Arial"/>
          <w:sz w:val="24"/>
          <w:szCs w:val="24"/>
        </w:rPr>
      </w:pPr>
      <w:r w:rsidRPr="00887F22">
        <w:rPr>
          <w:rFonts w:ascii="Arial" w:hAnsi="Arial" w:cs="Arial"/>
          <w:sz w:val="24"/>
          <w:szCs w:val="24"/>
        </w:rPr>
        <w:t>Sources of batteries and software on third-party basis.</w:t>
      </w:r>
    </w:p>
    <w:p w14:paraId="2B2CBCF1" w14:textId="4BC17203" w:rsidR="005007DE" w:rsidRPr="00887F22" w:rsidRDefault="726C4023" w:rsidP="00887F22">
      <w:pPr>
        <w:pStyle w:val="ListParagraph"/>
        <w:numPr>
          <w:ilvl w:val="0"/>
          <w:numId w:val="4"/>
        </w:numPr>
        <w:spacing w:line="360" w:lineRule="auto"/>
        <w:jc w:val="both"/>
        <w:rPr>
          <w:rFonts w:ascii="Arial" w:hAnsi="Arial" w:cs="Arial"/>
          <w:sz w:val="24"/>
          <w:szCs w:val="24"/>
        </w:rPr>
      </w:pPr>
      <w:r w:rsidRPr="00887F22">
        <w:rPr>
          <w:rFonts w:ascii="Arial" w:hAnsi="Arial" w:cs="Arial"/>
          <w:sz w:val="24"/>
          <w:szCs w:val="24"/>
        </w:rPr>
        <w:t>Specializes in electrifying current vehicle models.</w:t>
      </w:r>
    </w:p>
    <w:p w14:paraId="03627EAD" w14:textId="0A7D499D" w:rsidR="005007DE" w:rsidRPr="00887F22" w:rsidRDefault="726C4023" w:rsidP="00887F22">
      <w:pPr>
        <w:pStyle w:val="ListParagraph"/>
        <w:numPr>
          <w:ilvl w:val="0"/>
          <w:numId w:val="4"/>
        </w:numPr>
        <w:spacing w:line="360" w:lineRule="auto"/>
        <w:jc w:val="both"/>
        <w:rPr>
          <w:rFonts w:ascii="Arial" w:hAnsi="Arial" w:cs="Arial"/>
          <w:sz w:val="24"/>
          <w:szCs w:val="24"/>
        </w:rPr>
      </w:pPr>
      <w:r w:rsidRPr="00887F22">
        <w:rPr>
          <w:rFonts w:ascii="Arial" w:hAnsi="Arial" w:cs="Arial"/>
          <w:sz w:val="24"/>
          <w:szCs w:val="24"/>
        </w:rPr>
        <w:t>Lagging innovation speed and pace compared to Tesla.</w:t>
      </w:r>
    </w:p>
    <w:p w14:paraId="036C4693" w14:textId="01547F45" w:rsidR="005007DE" w:rsidRPr="00887F22" w:rsidRDefault="726C4023" w:rsidP="00887F22">
      <w:pPr>
        <w:spacing w:line="360" w:lineRule="auto"/>
        <w:jc w:val="both"/>
        <w:rPr>
          <w:rFonts w:ascii="Arial" w:hAnsi="Arial" w:cs="Arial"/>
          <w:sz w:val="24"/>
          <w:szCs w:val="24"/>
        </w:rPr>
      </w:pPr>
      <w:r w:rsidRPr="00887F22">
        <w:rPr>
          <w:rFonts w:ascii="Arial" w:hAnsi="Arial" w:cs="Arial"/>
          <w:sz w:val="24"/>
          <w:szCs w:val="24"/>
        </w:rPr>
        <w:t>Partnerships decrease initial investment risk; nevertheless, they restrain the control of Ford in respect of innovation. It can lead to a retarded product development and lower differentiation.</w:t>
      </w:r>
    </w:p>
    <w:p w14:paraId="26377B15" w14:textId="77777777" w:rsidR="00C83CEA" w:rsidRPr="00887F22" w:rsidRDefault="726C4023" w:rsidP="00887F22">
      <w:pPr>
        <w:spacing w:line="360" w:lineRule="auto"/>
        <w:jc w:val="both"/>
        <w:rPr>
          <w:rFonts w:ascii="Arial" w:hAnsi="Arial" w:cs="Arial"/>
          <w:b/>
          <w:bCs/>
          <w:sz w:val="24"/>
          <w:szCs w:val="24"/>
        </w:rPr>
      </w:pPr>
      <w:r w:rsidRPr="00887F22">
        <w:rPr>
          <w:rFonts w:ascii="Arial" w:hAnsi="Arial" w:cs="Arial"/>
          <w:sz w:val="24"/>
          <w:szCs w:val="24"/>
        </w:rPr>
        <w:lastRenderedPageBreak/>
        <w:t>Moreover, modifications to the existing vehicle platforms into EVs could restrict the performance and efficiency in opposition to Tesla, whose vehicles are specifically designed.</w:t>
      </w:r>
      <w:r w:rsidR="005007DE" w:rsidRPr="00887F22">
        <w:rPr>
          <w:rFonts w:ascii="Arial" w:hAnsi="Arial" w:cs="Arial"/>
          <w:sz w:val="24"/>
          <w:szCs w:val="24"/>
        </w:rPr>
        <w:br/>
      </w:r>
      <w:r w:rsidR="005007DE" w:rsidRPr="00887F22">
        <w:rPr>
          <w:rFonts w:ascii="Arial" w:hAnsi="Arial" w:cs="Arial"/>
          <w:sz w:val="24"/>
          <w:szCs w:val="24"/>
        </w:rPr>
        <w:br/>
      </w:r>
      <w:r w:rsidRPr="00887F22">
        <w:rPr>
          <w:rFonts w:ascii="Arial" w:hAnsi="Arial" w:cs="Arial"/>
          <w:b/>
          <w:bCs/>
          <w:sz w:val="24"/>
          <w:szCs w:val="24"/>
        </w:rPr>
        <w:t>Critical</w:t>
      </w:r>
      <w:r w:rsidR="00C83CEA" w:rsidRPr="00887F22">
        <w:rPr>
          <w:rFonts w:ascii="Arial" w:hAnsi="Arial" w:cs="Arial"/>
          <w:b/>
          <w:bCs/>
          <w:sz w:val="24"/>
          <w:szCs w:val="24"/>
        </w:rPr>
        <w:t xml:space="preserve"> </w:t>
      </w:r>
      <w:r w:rsidRPr="00887F22">
        <w:rPr>
          <w:rFonts w:ascii="Arial" w:hAnsi="Arial" w:cs="Arial"/>
          <w:b/>
          <w:bCs/>
          <w:sz w:val="24"/>
          <w:szCs w:val="24"/>
        </w:rPr>
        <w:t>Evaluation</w:t>
      </w:r>
    </w:p>
    <w:p w14:paraId="60DE0669" w14:textId="14FF6E4F" w:rsidR="005007DE" w:rsidRPr="00887F22" w:rsidRDefault="005007DE" w:rsidP="00887F22">
      <w:pPr>
        <w:spacing w:line="360" w:lineRule="auto"/>
        <w:jc w:val="both"/>
        <w:rPr>
          <w:rFonts w:ascii="Arial" w:hAnsi="Arial" w:cs="Arial"/>
          <w:sz w:val="24"/>
          <w:szCs w:val="24"/>
        </w:rPr>
      </w:pPr>
      <w:r w:rsidRPr="00887F22">
        <w:rPr>
          <w:rFonts w:ascii="Arial" w:hAnsi="Arial" w:cs="Arial"/>
          <w:sz w:val="24"/>
          <w:szCs w:val="24"/>
        </w:rPr>
        <w:br/>
      </w:r>
      <w:r w:rsidRPr="00887F22">
        <w:rPr>
          <w:rFonts w:ascii="Arial" w:hAnsi="Arial" w:cs="Arial"/>
          <w:sz w:val="24"/>
          <w:szCs w:val="24"/>
        </w:rPr>
        <w:br/>
      </w:r>
      <w:r w:rsidR="3801377B" w:rsidRPr="00887F22">
        <w:rPr>
          <w:rFonts w:ascii="Arial" w:hAnsi="Arial" w:cs="Arial"/>
          <w:sz w:val="24"/>
          <w:szCs w:val="24"/>
        </w:rPr>
        <w:t xml:space="preserve">1. </w:t>
      </w:r>
      <w:r w:rsidR="726C4023" w:rsidRPr="00887F22">
        <w:rPr>
          <w:rFonts w:ascii="Arial" w:hAnsi="Arial" w:cs="Arial"/>
          <w:sz w:val="24"/>
          <w:szCs w:val="24"/>
        </w:rPr>
        <w:t>Long-term competitiveness is a goal that is strategic in nature in regard to technological innovation:</w:t>
      </w:r>
      <w:r w:rsidRPr="00887F22">
        <w:rPr>
          <w:rFonts w:ascii="Arial" w:hAnsi="Arial" w:cs="Arial"/>
          <w:sz w:val="24"/>
          <w:szCs w:val="24"/>
        </w:rPr>
        <w:br/>
      </w:r>
      <w:r w:rsidRPr="00887F22">
        <w:rPr>
          <w:rFonts w:ascii="Arial" w:hAnsi="Arial" w:cs="Arial"/>
          <w:sz w:val="24"/>
          <w:szCs w:val="24"/>
        </w:rPr>
        <w:br/>
      </w:r>
      <w:r w:rsidR="60747FD3" w:rsidRPr="00887F22">
        <w:rPr>
          <w:rFonts w:ascii="Arial" w:hAnsi="Arial" w:cs="Arial"/>
          <w:sz w:val="24"/>
          <w:szCs w:val="24"/>
        </w:rPr>
        <w:t xml:space="preserve">2. </w:t>
      </w:r>
      <w:r w:rsidR="726C4023" w:rsidRPr="00887F22">
        <w:rPr>
          <w:rFonts w:ascii="Arial" w:hAnsi="Arial" w:cs="Arial"/>
          <w:sz w:val="24"/>
          <w:szCs w:val="24"/>
        </w:rPr>
        <w:t>Tesla is an innovation leader.</w:t>
      </w:r>
      <w:r w:rsidRPr="00887F22">
        <w:rPr>
          <w:rFonts w:ascii="Arial" w:hAnsi="Arial" w:cs="Arial"/>
          <w:sz w:val="24"/>
          <w:szCs w:val="24"/>
        </w:rPr>
        <w:br/>
      </w:r>
      <w:r w:rsidR="643F583C" w:rsidRPr="00887F22">
        <w:rPr>
          <w:rFonts w:ascii="Arial" w:hAnsi="Arial" w:cs="Arial"/>
          <w:sz w:val="24"/>
          <w:szCs w:val="24"/>
        </w:rPr>
        <w:t xml:space="preserve">3. </w:t>
      </w:r>
      <w:r w:rsidR="726C4023" w:rsidRPr="00887F22">
        <w:rPr>
          <w:rFonts w:ascii="Arial" w:hAnsi="Arial" w:cs="Arial"/>
          <w:sz w:val="24"/>
          <w:szCs w:val="24"/>
        </w:rPr>
        <w:t>Ford is also a technology adopter.</w:t>
      </w:r>
      <w:r w:rsidR="7BAA717A" w:rsidRPr="00887F22">
        <w:rPr>
          <w:rFonts w:ascii="Arial" w:hAnsi="Arial" w:cs="Arial"/>
          <w:sz w:val="24"/>
          <w:szCs w:val="24"/>
        </w:rPr>
        <w:drawing>
          <wp:anchor distT="0" distB="0" distL="114300" distR="114300" simplePos="0" relativeHeight="251658240" behindDoc="0" locked="0" layoutInCell="1" allowOverlap="1" wp14:anchorId="00086E25" wp14:editId="6EDE10F3">
            <wp:simplePos x="0" y="0"/>
            <wp:positionH relativeFrom="column">
              <wp:align>left</wp:align>
            </wp:positionH>
            <wp:positionV relativeFrom="paragraph">
              <wp:posOffset>0</wp:posOffset>
            </wp:positionV>
            <wp:extent cx="3286125" cy="2533926"/>
            <wp:effectExtent l="76200" t="76200" r="123825" b="133350"/>
            <wp:wrapSquare wrapText="bothSides"/>
            <wp:docPr id="17551328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992531" name="Picture 593992531"/>
                    <pic:cNvPicPr/>
                  </pic:nvPicPr>
                  <pic:blipFill>
                    <a:blip r:embed="rId11">
                      <a:extLst>
                        <a:ext uri="{28A0092B-C50C-407E-A947-70E740481C1C}">
                          <a14:useLocalDpi xmlns:a14="http://schemas.microsoft.com/office/drawing/2010/main"/>
                        </a:ext>
                      </a:extLst>
                    </a:blip>
                    <a:srcRect/>
                    <a:stretch>
                      <a:fillRect/>
                    </a:stretch>
                  </pic:blipFill>
                  <pic:spPr>
                    <a:xfrm>
                      <a:off x="0" y="0"/>
                      <a:ext cx="3286125" cy="25339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32311EE3" w14:textId="076805F7" w:rsidR="005007DE" w:rsidRPr="00887F22" w:rsidRDefault="726C4023" w:rsidP="00887F22">
      <w:pPr>
        <w:spacing w:line="360" w:lineRule="auto"/>
        <w:jc w:val="both"/>
        <w:rPr>
          <w:rFonts w:ascii="Arial" w:hAnsi="Arial" w:cs="Arial"/>
          <w:sz w:val="24"/>
          <w:szCs w:val="24"/>
        </w:rPr>
      </w:pPr>
      <w:r w:rsidRPr="00887F22">
        <w:rPr>
          <w:rFonts w:ascii="Arial" w:hAnsi="Arial" w:cs="Arial"/>
          <w:sz w:val="24"/>
          <w:szCs w:val="24"/>
        </w:rPr>
        <w:t>This implies that the industry is dominated by leaders in innovation whose role is to set the industry standards whereas followers can only adapt. The technological leadership positioning increases the competitive dominance of Tesla but limits the competitive position of Ford as a follower.</w:t>
      </w:r>
    </w:p>
    <w:p w14:paraId="42FC69A2" w14:textId="21B220BF" w:rsidR="6E55C495" w:rsidRPr="00887F22" w:rsidRDefault="7BB53456" w:rsidP="5CAAD95B">
      <w:pPr>
        <w:pStyle w:val="Heading1"/>
        <w:rPr>
          <w:rFonts w:cs="Arial"/>
          <w:bCs/>
          <w:sz w:val="32"/>
          <w:szCs w:val="32"/>
        </w:rPr>
      </w:pPr>
      <w:bookmarkStart w:id="6" w:name="_Toc270399712"/>
      <w:r w:rsidRPr="00887F22">
        <w:rPr>
          <w:rFonts w:cs="Arial"/>
        </w:rPr>
        <w:t xml:space="preserve">4. Strategic </w:t>
      </w:r>
      <w:r w:rsidR="001141AB" w:rsidRPr="00887F22">
        <w:rPr>
          <w:rFonts w:cs="Arial"/>
        </w:rPr>
        <w:t xml:space="preserve">Analysis </w:t>
      </w:r>
      <w:r w:rsidRPr="00887F22">
        <w:rPr>
          <w:rFonts w:cs="Arial"/>
        </w:rPr>
        <w:t>Responses</w:t>
      </w:r>
      <w:bookmarkEnd w:id="6"/>
      <w:r w:rsidRPr="00887F22">
        <w:rPr>
          <w:rFonts w:cs="Arial"/>
        </w:rPr>
        <w:t xml:space="preserve"> </w:t>
      </w:r>
    </w:p>
    <w:p w14:paraId="7C9F1CCF" w14:textId="12691CA6" w:rsidR="3C43CC9B" w:rsidRPr="00887F22" w:rsidRDefault="233E73EC" w:rsidP="5CAAD95B">
      <w:pPr>
        <w:pStyle w:val="Heading2"/>
        <w:rPr>
          <w:rFonts w:eastAsia="Calibri" w:cs="Arial"/>
          <w:bCs/>
          <w:sz w:val="24"/>
          <w:szCs w:val="24"/>
        </w:rPr>
      </w:pPr>
      <w:bookmarkStart w:id="7" w:name="_Toc895656124"/>
      <w:r w:rsidRPr="00887F22">
        <w:rPr>
          <w:rFonts w:cs="Arial"/>
        </w:rPr>
        <w:t>4.1 Porter’s Generic Strategies</w:t>
      </w:r>
      <w:bookmarkEnd w:id="7"/>
      <w:r w:rsidRPr="00887F22">
        <w:rPr>
          <w:rFonts w:cs="Arial"/>
        </w:rPr>
        <w:t xml:space="preserve"> </w:t>
      </w:r>
    </w:p>
    <w:p w14:paraId="301143F9" w14:textId="24C1AB85" w:rsidR="3C43CC9B" w:rsidRPr="007604E3" w:rsidRDefault="233E73EC" w:rsidP="007604E3">
      <w:pPr>
        <w:spacing w:before="240" w:after="240" w:line="360" w:lineRule="auto"/>
        <w:jc w:val="both"/>
        <w:rPr>
          <w:rFonts w:ascii="Arial" w:hAnsi="Arial" w:cs="Arial"/>
          <w:sz w:val="24"/>
          <w:szCs w:val="24"/>
        </w:rPr>
      </w:pPr>
      <w:r w:rsidRPr="007604E3">
        <w:rPr>
          <w:rFonts w:ascii="Arial" w:eastAsia="Calibri" w:hAnsi="Arial" w:cs="Arial"/>
          <w:sz w:val="24"/>
          <w:szCs w:val="24"/>
        </w:rPr>
        <w:t>The framework of Generic Strategies by Porter describes the process through which organisations gain competitive advantage by cost leadership strategy, differentiation or focus strategy (Porter, 2008). In the electric vehicle industry, Tesla and the Ford Motor Company follow different strategies that are associated with pioneer and follower organisations.</w:t>
      </w:r>
    </w:p>
    <w:p w14:paraId="1B4E698B" w14:textId="68D550B0" w:rsidR="3C43CC9B" w:rsidRPr="007604E3" w:rsidRDefault="233E73EC" w:rsidP="007604E3">
      <w:pPr>
        <w:spacing w:before="240" w:after="240" w:line="360" w:lineRule="auto"/>
        <w:jc w:val="both"/>
        <w:rPr>
          <w:rFonts w:ascii="Arial" w:hAnsi="Arial" w:cs="Arial"/>
          <w:sz w:val="24"/>
          <w:szCs w:val="24"/>
        </w:rPr>
      </w:pPr>
      <w:r w:rsidRPr="007604E3">
        <w:rPr>
          <w:rFonts w:ascii="Arial" w:eastAsia="Calibri" w:hAnsi="Arial" w:cs="Arial"/>
          <w:sz w:val="24"/>
          <w:szCs w:val="24"/>
        </w:rPr>
        <w:t xml:space="preserve">Tesla mainly resorts to differentiation strategy as it is equipped with electric vehicles that focus on innovation, performance and sustainability using technological advancement. The company combines software, artificial intelligence and battery technology to come up with a unique user experience that makes its products stand </w:t>
      </w:r>
      <w:r w:rsidRPr="007604E3">
        <w:rPr>
          <w:rFonts w:ascii="Arial" w:eastAsia="Calibri" w:hAnsi="Arial" w:cs="Arial"/>
          <w:sz w:val="24"/>
          <w:szCs w:val="24"/>
        </w:rPr>
        <w:lastRenderedPageBreak/>
        <w:t>out among others (Grant, 2022). Such functionality as autonomous driving and software updates over the air support the high-end positioning of Tesla and improve customer value.</w:t>
      </w:r>
    </w:p>
    <w:p w14:paraId="4B83E517" w14:textId="2399B395" w:rsidR="3C43CC9B" w:rsidRPr="007604E3" w:rsidRDefault="233E73EC" w:rsidP="007604E3">
      <w:pPr>
        <w:spacing w:before="240" w:after="240" w:line="360" w:lineRule="auto"/>
        <w:jc w:val="both"/>
        <w:rPr>
          <w:rFonts w:ascii="Arial" w:hAnsi="Arial" w:cs="Arial"/>
          <w:sz w:val="24"/>
          <w:szCs w:val="24"/>
        </w:rPr>
      </w:pPr>
      <w:r w:rsidRPr="007604E3">
        <w:rPr>
          <w:rFonts w:ascii="Arial" w:eastAsia="Calibri" w:hAnsi="Arial" w:cs="Arial"/>
          <w:sz w:val="24"/>
          <w:szCs w:val="24"/>
        </w:rPr>
        <w:t>Moreover, the vertically integrated business model enables Tesla to retain its authority over the production, technology and supply chain and this enhances its operational efficiency and aids in unceasing innovations (Barney, 1991). Consequently, Tesla can charge high prices and enjoy high brand loyalty.</w:t>
      </w:r>
    </w:p>
    <w:p w14:paraId="191F5EF7" w14:textId="10ABA7D9" w:rsidR="3C43CC9B" w:rsidRPr="007604E3" w:rsidRDefault="233E73EC" w:rsidP="007604E3">
      <w:pPr>
        <w:spacing w:before="240" w:after="240" w:line="360" w:lineRule="auto"/>
        <w:jc w:val="both"/>
        <w:rPr>
          <w:rFonts w:ascii="Arial" w:hAnsi="Arial" w:cs="Arial"/>
          <w:sz w:val="24"/>
          <w:szCs w:val="24"/>
        </w:rPr>
      </w:pPr>
      <w:r w:rsidRPr="007604E3">
        <w:rPr>
          <w:rFonts w:ascii="Arial" w:eastAsia="Calibri" w:hAnsi="Arial" w:cs="Arial"/>
          <w:sz w:val="24"/>
          <w:szCs w:val="24"/>
        </w:rPr>
        <w:t>Nevertheless, there are drawbacks to this strategy as well. The premium differentiation strategy used by Tesla could limit accessibility to price-sensitive markets, specifically in developing economies. This implies that differentiation will bolster the competitive edge at Tesla, but will suppress Tesla in terms of penetrating the mass-market (Kotler and Keller, 2022).</w:t>
      </w:r>
    </w:p>
    <w:p w14:paraId="00FC0354" w14:textId="44BC75B9" w:rsidR="3C43CC9B" w:rsidRPr="007604E3" w:rsidRDefault="233E73EC" w:rsidP="007604E3">
      <w:pPr>
        <w:spacing w:before="240" w:after="240" w:line="360" w:lineRule="auto"/>
        <w:jc w:val="both"/>
        <w:rPr>
          <w:rFonts w:ascii="Arial" w:hAnsi="Arial" w:cs="Arial"/>
          <w:sz w:val="24"/>
          <w:szCs w:val="24"/>
        </w:rPr>
      </w:pPr>
      <w:r w:rsidRPr="007604E3">
        <w:rPr>
          <w:rFonts w:ascii="Arial" w:eastAsia="Calibri" w:hAnsi="Arial" w:cs="Arial"/>
          <w:sz w:val="24"/>
          <w:szCs w:val="24"/>
        </w:rPr>
        <w:t>On the other hand, Ford is a company that is taking a hybrid approach, a mix of cost leadership and differentiation. The company aims at manufacturing electric cars that are cheaper and more affordable to a larger market base. Ford is trying to strike the balance between the innovation and prices with models like the Mustang Mach-E, F-150 Lightning, and other models (Ford, 2023).</w:t>
      </w:r>
    </w:p>
    <w:p w14:paraId="6607D6F7" w14:textId="2774402A" w:rsidR="3C43CC9B" w:rsidRPr="007604E3" w:rsidRDefault="233E73EC" w:rsidP="007604E3">
      <w:pPr>
        <w:spacing w:before="240" w:after="240" w:line="360" w:lineRule="auto"/>
        <w:jc w:val="both"/>
        <w:rPr>
          <w:rFonts w:ascii="Arial" w:hAnsi="Arial" w:cs="Arial"/>
          <w:sz w:val="24"/>
          <w:szCs w:val="24"/>
        </w:rPr>
      </w:pPr>
      <w:r w:rsidRPr="007604E3">
        <w:rPr>
          <w:rFonts w:ascii="Arial" w:eastAsia="Calibri" w:hAnsi="Arial" w:cs="Arial"/>
          <w:sz w:val="24"/>
          <w:szCs w:val="24"/>
        </w:rPr>
        <w:t>The strategy used by Ford enables it to take advantage of its good brand image, scale of production and distribution networks across the world. This helps it to focus on current customers and the new EV adopters. Nevertheless, Ford might be confined to its legacy systems and a slow innovation process, which prevents it from competing with Tesla technologically (Johnson et al., 2023).</w:t>
      </w:r>
    </w:p>
    <w:p w14:paraId="59F4F97B" w14:textId="2D695CE8" w:rsidR="3C43CC9B" w:rsidRPr="007604E3" w:rsidRDefault="233E73EC" w:rsidP="007604E3">
      <w:pPr>
        <w:spacing w:before="240" w:after="240" w:line="360" w:lineRule="auto"/>
        <w:jc w:val="both"/>
        <w:rPr>
          <w:rFonts w:ascii="Arial" w:hAnsi="Arial" w:cs="Arial"/>
          <w:sz w:val="24"/>
          <w:szCs w:val="24"/>
        </w:rPr>
      </w:pPr>
      <w:r w:rsidRPr="007604E3">
        <w:rPr>
          <w:rFonts w:ascii="Arial" w:eastAsia="Calibri" w:hAnsi="Arial" w:cs="Arial"/>
          <w:sz w:val="24"/>
          <w:szCs w:val="24"/>
        </w:rPr>
        <w:t>In general, Tesla can be characterized by the innovation-centered approach and premium differentiation whereas Ford stands out by its strategy of accessibility and wider market coverage. This shows that Tesla is more interested in technological leadership when compared to Ford which is more interested in market growth and flexibility.</w:t>
      </w:r>
    </w:p>
    <w:p w14:paraId="4FE859A7" w14:textId="1413E4F8" w:rsidR="36E02A0B" w:rsidRPr="00887F22" w:rsidRDefault="0236754E" w:rsidP="5CAAD95B">
      <w:pPr>
        <w:pStyle w:val="Heading2"/>
        <w:rPr>
          <w:rFonts w:eastAsia="Calibri" w:cs="Arial"/>
          <w:bCs/>
          <w:sz w:val="24"/>
          <w:szCs w:val="24"/>
        </w:rPr>
      </w:pPr>
      <w:bookmarkStart w:id="8" w:name="_Toc691707501"/>
      <w:r w:rsidRPr="00887F22">
        <w:rPr>
          <w:rFonts w:cs="Arial"/>
        </w:rPr>
        <w:t>4.2 Ansoff Growth Matrix</w:t>
      </w:r>
      <w:bookmarkEnd w:id="8"/>
      <w:r w:rsidRPr="00887F22">
        <w:rPr>
          <w:rFonts w:cs="Arial"/>
        </w:rPr>
        <w:t xml:space="preserve"> </w:t>
      </w:r>
    </w:p>
    <w:p w14:paraId="55875949" w14:textId="77BA4F89" w:rsidR="36E02A0B" w:rsidRPr="007604E3" w:rsidRDefault="0236754E" w:rsidP="007604E3">
      <w:pPr>
        <w:spacing w:before="240" w:after="240" w:line="360" w:lineRule="auto"/>
        <w:jc w:val="both"/>
        <w:rPr>
          <w:rFonts w:ascii="Arial" w:hAnsi="Arial" w:cs="Arial"/>
          <w:sz w:val="24"/>
          <w:szCs w:val="24"/>
        </w:rPr>
      </w:pPr>
      <w:r w:rsidRPr="007604E3">
        <w:rPr>
          <w:rFonts w:ascii="Arial" w:eastAsia="Calibri" w:hAnsi="Arial" w:cs="Arial"/>
          <w:sz w:val="24"/>
          <w:szCs w:val="24"/>
        </w:rPr>
        <w:t xml:space="preserve">Ansoff Growth Matrix is a tool that is used in the analysis of the growth strategies of an organisation based on market penetration, product development, market </w:t>
      </w:r>
      <w:r w:rsidRPr="007604E3">
        <w:rPr>
          <w:rFonts w:ascii="Arial" w:eastAsia="Calibri" w:hAnsi="Arial" w:cs="Arial"/>
          <w:sz w:val="24"/>
          <w:szCs w:val="24"/>
        </w:rPr>
        <w:lastRenderedPageBreak/>
        <w:t>development and diversification (Ansoff, 1988). Tesla and Ford use these strategies in different ways depending on their strengths and strategic focus.</w:t>
      </w:r>
    </w:p>
    <w:p w14:paraId="68B9A060" w14:textId="2BB6027D" w:rsidR="36E02A0B" w:rsidRPr="007604E3" w:rsidRDefault="0236754E" w:rsidP="007604E3">
      <w:pPr>
        <w:spacing w:before="240" w:after="240" w:line="360" w:lineRule="auto"/>
        <w:jc w:val="both"/>
        <w:rPr>
          <w:rFonts w:ascii="Arial" w:hAnsi="Arial" w:cs="Arial"/>
          <w:sz w:val="24"/>
          <w:szCs w:val="24"/>
        </w:rPr>
      </w:pPr>
      <w:r w:rsidRPr="007604E3">
        <w:rPr>
          <w:rFonts w:ascii="Arial" w:eastAsia="Calibri" w:hAnsi="Arial" w:cs="Arial"/>
          <w:sz w:val="24"/>
          <w:szCs w:val="24"/>
        </w:rPr>
        <w:t>The strategy of Tesla is mostly directed at product development and diversification. The company is constantly releasing new technologies, including development of battery performance, autonomous driving, solutions of energy like solar panels and energy storage (Tesla, 2023). This strategy will enable Tesla to go beyond the automobile industry and develop new sources of income.</w:t>
      </w:r>
    </w:p>
    <w:p w14:paraId="438F47F4" w14:textId="3BD8EE7F" w:rsidR="36E02A0B" w:rsidRPr="007604E3" w:rsidRDefault="0236754E" w:rsidP="007604E3">
      <w:pPr>
        <w:spacing w:before="240" w:after="240" w:line="360" w:lineRule="auto"/>
        <w:jc w:val="both"/>
        <w:rPr>
          <w:rFonts w:ascii="Arial" w:hAnsi="Arial" w:cs="Arial"/>
          <w:sz w:val="24"/>
          <w:szCs w:val="24"/>
        </w:rPr>
      </w:pPr>
      <w:r w:rsidRPr="007604E3">
        <w:rPr>
          <w:rFonts w:ascii="Arial" w:eastAsia="Calibri" w:hAnsi="Arial" w:cs="Arial"/>
          <w:sz w:val="24"/>
          <w:szCs w:val="24"/>
        </w:rPr>
        <w:t>Moreover, Tesla is also involved in the development of the market through the expansion into the global markets, specifically Europe and China, where EVs are currently gaining demand (IEA, 2024). The Gigafactory concept allows it to produce in large quantities and increase its competitiveness worldwide.</w:t>
      </w:r>
    </w:p>
    <w:p w14:paraId="309A1CC7" w14:textId="5D0B2F49" w:rsidR="36E02A0B" w:rsidRPr="007604E3" w:rsidRDefault="0236754E" w:rsidP="007604E3">
      <w:pPr>
        <w:spacing w:before="240" w:after="240" w:line="360" w:lineRule="auto"/>
        <w:jc w:val="both"/>
        <w:rPr>
          <w:rFonts w:ascii="Arial" w:hAnsi="Arial" w:cs="Arial"/>
          <w:sz w:val="24"/>
          <w:szCs w:val="24"/>
        </w:rPr>
      </w:pPr>
      <w:r w:rsidRPr="007604E3">
        <w:rPr>
          <w:rFonts w:ascii="Arial" w:eastAsia="Calibri" w:hAnsi="Arial" w:cs="Arial"/>
          <w:sz w:val="24"/>
          <w:szCs w:val="24"/>
        </w:rPr>
        <w:t>Nonetheless, the strategy of Tesla strongly relies on ongoing innovations, which presupposes a lot of investment in research and development. It adds to the financial risk and puts the company under pressure to remain technologically ahead (PwC, 2024). Ford on the other hand is concentrated on penetrating the market and developing its products gradually. The company also intends to transform its current clientele of internal combustion engine vehicles to electric cars by launching well-known models under the electric versions. This minimizes the barriers to adoption and helps to keep consumers (Ford, 2023).</w:t>
      </w:r>
    </w:p>
    <w:p w14:paraId="469FE920" w14:textId="71A6C8EC" w:rsidR="36E02A0B" w:rsidRPr="007604E3" w:rsidRDefault="0236754E" w:rsidP="007604E3">
      <w:pPr>
        <w:spacing w:before="240" w:after="240" w:line="360" w:lineRule="auto"/>
        <w:jc w:val="both"/>
        <w:rPr>
          <w:rFonts w:ascii="Arial" w:hAnsi="Arial" w:cs="Arial"/>
          <w:sz w:val="24"/>
          <w:szCs w:val="24"/>
        </w:rPr>
      </w:pPr>
      <w:r w:rsidRPr="007604E3">
        <w:rPr>
          <w:rFonts w:ascii="Arial" w:eastAsia="Calibri" w:hAnsi="Arial" w:cs="Arial"/>
          <w:sz w:val="24"/>
          <w:szCs w:val="24"/>
        </w:rPr>
        <w:t>The other area where Ford invests in market development is the increasing use of EV in the global market. Nonetheless, its diversification strategy is not as large as, Tesla, since it is still mostly concentrated on the automotive sector. This can limit its capacity to produce other sources of revenues.</w:t>
      </w:r>
    </w:p>
    <w:p w14:paraId="38D34071" w14:textId="4CD0AF68" w:rsidR="36E02A0B" w:rsidRPr="007604E3" w:rsidRDefault="0236754E" w:rsidP="007604E3">
      <w:pPr>
        <w:spacing w:before="240" w:after="240" w:line="360" w:lineRule="auto"/>
        <w:jc w:val="both"/>
        <w:rPr>
          <w:rFonts w:ascii="Arial" w:hAnsi="Arial" w:cs="Arial"/>
          <w:sz w:val="24"/>
          <w:szCs w:val="24"/>
        </w:rPr>
      </w:pPr>
      <w:r w:rsidRPr="007604E3">
        <w:rPr>
          <w:rFonts w:ascii="Arial" w:eastAsia="Calibri" w:hAnsi="Arial" w:cs="Arial"/>
          <w:sz w:val="24"/>
          <w:szCs w:val="24"/>
        </w:rPr>
        <w:t>It implies that Tesla and Ford are market creators and market adapters, respectively, with Tesla aiming at gradual transformation and customer transition (Johnson et al., 2023).</w:t>
      </w:r>
    </w:p>
    <w:p w14:paraId="46C79A3D" w14:textId="73C52272" w:rsidR="091FB7E0" w:rsidRPr="00887F22" w:rsidRDefault="26FBC662" w:rsidP="5CAAD95B">
      <w:pPr>
        <w:pStyle w:val="Heading2"/>
        <w:rPr>
          <w:rFonts w:eastAsia="Calibri" w:cs="Arial"/>
          <w:bCs/>
          <w:sz w:val="28"/>
          <w:szCs w:val="28"/>
        </w:rPr>
      </w:pPr>
      <w:bookmarkStart w:id="9" w:name="_Toc1653783851"/>
      <w:r w:rsidRPr="00887F22">
        <w:rPr>
          <w:rFonts w:cs="Arial"/>
        </w:rPr>
        <w:t>4.3 SWOT Analysis</w:t>
      </w:r>
      <w:bookmarkEnd w:id="9"/>
    </w:p>
    <w:p w14:paraId="10AE9DC7" w14:textId="65E5D219" w:rsidR="091FB7E0" w:rsidRPr="007604E3" w:rsidRDefault="26FBC662" w:rsidP="007604E3">
      <w:pPr>
        <w:spacing w:before="240" w:after="240" w:line="360" w:lineRule="auto"/>
        <w:jc w:val="both"/>
        <w:rPr>
          <w:rFonts w:ascii="Arial" w:hAnsi="Arial" w:cs="Arial"/>
          <w:sz w:val="24"/>
          <w:szCs w:val="24"/>
        </w:rPr>
      </w:pPr>
      <w:r w:rsidRPr="007604E3">
        <w:rPr>
          <w:rFonts w:ascii="Arial" w:eastAsia="Calibri" w:hAnsi="Arial" w:cs="Arial"/>
          <w:sz w:val="24"/>
          <w:szCs w:val="24"/>
        </w:rPr>
        <w:t xml:space="preserve">EV Tesla vs Ford. A SWOT analysis is a systematic analysis of both the internal strengths and weaknesses, external opportunities and threats of the organisations. </w:t>
      </w:r>
      <w:r w:rsidRPr="007604E3">
        <w:rPr>
          <w:rFonts w:ascii="Arial" w:eastAsia="Calibri" w:hAnsi="Arial" w:cs="Arial"/>
          <w:sz w:val="24"/>
          <w:szCs w:val="24"/>
        </w:rPr>
        <w:lastRenderedPageBreak/>
        <w:t>Tesla and Ford have opposite strategic positions in the EV industry, which is based on their resources and capabilities.</w:t>
      </w:r>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1920"/>
        <w:gridCol w:w="3336"/>
        <w:gridCol w:w="3740"/>
      </w:tblGrid>
      <w:tr w:rsidR="7BAA717A" w:rsidRPr="007604E3" w14:paraId="5361A1FB" w14:textId="77777777" w:rsidTr="5CAAD95B">
        <w:trPr>
          <w:trHeight w:val="300"/>
        </w:trPr>
        <w:tc>
          <w:tcPr>
            <w:tcW w:w="1920" w:type="dxa"/>
            <w:vAlign w:val="center"/>
          </w:tcPr>
          <w:p w14:paraId="3A0E78C5" w14:textId="3A816C12" w:rsidR="7BAA717A" w:rsidRPr="007604E3" w:rsidRDefault="38871EE0" w:rsidP="007604E3">
            <w:pPr>
              <w:spacing w:after="0" w:line="360" w:lineRule="auto"/>
              <w:jc w:val="both"/>
              <w:rPr>
                <w:rFonts w:ascii="Arial" w:hAnsi="Arial" w:cs="Arial"/>
                <w:sz w:val="24"/>
                <w:szCs w:val="24"/>
              </w:rPr>
            </w:pPr>
            <w:r w:rsidRPr="007604E3">
              <w:rPr>
                <w:rFonts w:ascii="Arial" w:hAnsi="Arial" w:cs="Arial"/>
                <w:b/>
                <w:bCs/>
                <w:color w:val="000000" w:themeColor="text1"/>
                <w:sz w:val="24"/>
                <w:szCs w:val="24"/>
              </w:rPr>
              <w:t>Category</w:t>
            </w:r>
          </w:p>
        </w:tc>
        <w:tc>
          <w:tcPr>
            <w:tcW w:w="3344" w:type="dxa"/>
            <w:vAlign w:val="center"/>
          </w:tcPr>
          <w:p w14:paraId="67573546" w14:textId="0B15CCFF" w:rsidR="7BAA717A" w:rsidRPr="007604E3" w:rsidRDefault="38871EE0" w:rsidP="007604E3">
            <w:pPr>
              <w:spacing w:after="0" w:line="360" w:lineRule="auto"/>
              <w:jc w:val="both"/>
              <w:rPr>
                <w:rFonts w:ascii="Arial" w:hAnsi="Arial" w:cs="Arial"/>
                <w:sz w:val="24"/>
                <w:szCs w:val="24"/>
              </w:rPr>
            </w:pPr>
            <w:r w:rsidRPr="007604E3">
              <w:rPr>
                <w:rFonts w:ascii="Arial" w:hAnsi="Arial" w:cs="Arial"/>
                <w:b/>
                <w:bCs/>
                <w:color w:val="000000" w:themeColor="text1"/>
                <w:sz w:val="24"/>
                <w:szCs w:val="24"/>
              </w:rPr>
              <w:t>Tesla</w:t>
            </w:r>
          </w:p>
        </w:tc>
        <w:tc>
          <w:tcPr>
            <w:tcW w:w="3751" w:type="dxa"/>
            <w:vAlign w:val="center"/>
          </w:tcPr>
          <w:p w14:paraId="77EC1055" w14:textId="42F1AD65" w:rsidR="7BAA717A" w:rsidRPr="007604E3" w:rsidRDefault="38871EE0" w:rsidP="007604E3">
            <w:pPr>
              <w:spacing w:after="0" w:line="360" w:lineRule="auto"/>
              <w:jc w:val="both"/>
              <w:rPr>
                <w:rFonts w:ascii="Arial" w:hAnsi="Arial" w:cs="Arial"/>
                <w:sz w:val="24"/>
                <w:szCs w:val="24"/>
              </w:rPr>
            </w:pPr>
            <w:r w:rsidRPr="007604E3">
              <w:rPr>
                <w:rFonts w:ascii="Arial" w:hAnsi="Arial" w:cs="Arial"/>
                <w:b/>
                <w:bCs/>
                <w:color w:val="000000" w:themeColor="text1"/>
                <w:sz w:val="24"/>
                <w:szCs w:val="24"/>
              </w:rPr>
              <w:t>Ford EV</w:t>
            </w:r>
          </w:p>
        </w:tc>
      </w:tr>
      <w:tr w:rsidR="7BAA717A" w:rsidRPr="007604E3" w14:paraId="1A5B95BF" w14:textId="77777777" w:rsidTr="5CAAD95B">
        <w:trPr>
          <w:trHeight w:val="300"/>
        </w:trPr>
        <w:tc>
          <w:tcPr>
            <w:tcW w:w="1920" w:type="dxa"/>
            <w:vAlign w:val="center"/>
          </w:tcPr>
          <w:p w14:paraId="73FBEE53" w14:textId="171232B4" w:rsidR="7BAA717A" w:rsidRPr="007604E3" w:rsidRDefault="38871EE0" w:rsidP="007604E3">
            <w:pPr>
              <w:spacing w:after="0" w:line="360" w:lineRule="auto"/>
              <w:jc w:val="both"/>
              <w:rPr>
                <w:rFonts w:ascii="Arial" w:hAnsi="Arial" w:cs="Arial"/>
                <w:sz w:val="24"/>
                <w:szCs w:val="24"/>
              </w:rPr>
            </w:pPr>
            <w:r w:rsidRPr="007604E3">
              <w:rPr>
                <w:rFonts w:ascii="Arial" w:hAnsi="Arial" w:cs="Arial"/>
                <w:b/>
                <w:bCs/>
                <w:color w:val="000000" w:themeColor="text1"/>
                <w:sz w:val="24"/>
                <w:szCs w:val="24"/>
              </w:rPr>
              <w:t>Strengths</w:t>
            </w:r>
          </w:p>
        </w:tc>
        <w:tc>
          <w:tcPr>
            <w:tcW w:w="3344" w:type="dxa"/>
            <w:vAlign w:val="center"/>
          </w:tcPr>
          <w:p w14:paraId="645585BD" w14:textId="7D15CAFC" w:rsidR="004CF870" w:rsidRPr="007604E3" w:rsidRDefault="7A5692AF" w:rsidP="007604E3">
            <w:pPr>
              <w:spacing w:after="0" w:line="360" w:lineRule="auto"/>
              <w:jc w:val="both"/>
              <w:rPr>
                <w:rFonts w:ascii="Arial" w:hAnsi="Arial" w:cs="Arial"/>
                <w:sz w:val="24"/>
                <w:szCs w:val="24"/>
              </w:rPr>
            </w:pPr>
            <w:r w:rsidRPr="007604E3">
              <w:rPr>
                <w:rFonts w:ascii="Arial" w:hAnsi="Arial" w:cs="Arial"/>
                <w:color w:val="000000" w:themeColor="text1"/>
                <w:sz w:val="24"/>
                <w:szCs w:val="24"/>
              </w:rPr>
              <w:t>Excellent brand image, cutting-edge technology, vertical integration, superior battery and AI.</w:t>
            </w:r>
          </w:p>
        </w:tc>
        <w:tc>
          <w:tcPr>
            <w:tcW w:w="3751" w:type="dxa"/>
            <w:vAlign w:val="center"/>
          </w:tcPr>
          <w:p w14:paraId="31E4E65E" w14:textId="34A2EBD8" w:rsidR="004CF870" w:rsidRPr="007604E3" w:rsidRDefault="7A5692AF" w:rsidP="007604E3">
            <w:pPr>
              <w:spacing w:after="0" w:line="360" w:lineRule="auto"/>
              <w:jc w:val="both"/>
              <w:rPr>
                <w:rFonts w:ascii="Arial" w:hAnsi="Arial" w:cs="Arial"/>
                <w:sz w:val="24"/>
                <w:szCs w:val="24"/>
              </w:rPr>
            </w:pPr>
            <w:r w:rsidRPr="007604E3">
              <w:rPr>
                <w:rFonts w:ascii="Arial" w:hAnsi="Arial" w:cs="Arial"/>
                <w:color w:val="000000" w:themeColor="text1"/>
                <w:sz w:val="24"/>
                <w:szCs w:val="24"/>
              </w:rPr>
              <w:t>Brand image, state of the art technology, vertical integration, high-quality battery and AI.</w:t>
            </w:r>
          </w:p>
        </w:tc>
      </w:tr>
      <w:tr w:rsidR="7BAA717A" w:rsidRPr="007604E3" w14:paraId="4510A884" w14:textId="77777777" w:rsidTr="5CAAD95B">
        <w:trPr>
          <w:trHeight w:val="300"/>
        </w:trPr>
        <w:tc>
          <w:tcPr>
            <w:tcW w:w="1920" w:type="dxa"/>
            <w:vAlign w:val="center"/>
          </w:tcPr>
          <w:p w14:paraId="49CB2583" w14:textId="5ADE5F04" w:rsidR="7BAA717A" w:rsidRPr="007604E3" w:rsidRDefault="38871EE0" w:rsidP="007604E3">
            <w:pPr>
              <w:spacing w:after="0" w:line="360" w:lineRule="auto"/>
              <w:jc w:val="both"/>
              <w:rPr>
                <w:rFonts w:ascii="Arial" w:hAnsi="Arial" w:cs="Arial"/>
                <w:sz w:val="24"/>
                <w:szCs w:val="24"/>
              </w:rPr>
            </w:pPr>
            <w:r w:rsidRPr="007604E3">
              <w:rPr>
                <w:rFonts w:ascii="Arial" w:hAnsi="Arial" w:cs="Arial"/>
                <w:b/>
                <w:bCs/>
                <w:color w:val="000000" w:themeColor="text1"/>
                <w:sz w:val="24"/>
                <w:szCs w:val="24"/>
              </w:rPr>
              <w:t>Weaknesses</w:t>
            </w:r>
          </w:p>
        </w:tc>
        <w:tc>
          <w:tcPr>
            <w:tcW w:w="3344" w:type="dxa"/>
            <w:vAlign w:val="center"/>
          </w:tcPr>
          <w:p w14:paraId="69DF0F01" w14:textId="3C3414E9" w:rsidR="35397187" w:rsidRPr="007604E3" w:rsidRDefault="4B3E9217" w:rsidP="007604E3">
            <w:pPr>
              <w:spacing w:after="0" w:line="360" w:lineRule="auto"/>
              <w:jc w:val="both"/>
              <w:rPr>
                <w:rFonts w:ascii="Arial" w:hAnsi="Arial" w:cs="Arial"/>
                <w:sz w:val="24"/>
                <w:szCs w:val="24"/>
              </w:rPr>
            </w:pPr>
            <w:r w:rsidRPr="007604E3">
              <w:rPr>
                <w:rFonts w:ascii="Arial" w:hAnsi="Arial" w:cs="Arial"/>
                <w:color w:val="000000" w:themeColor="text1"/>
                <w:sz w:val="24"/>
                <w:szCs w:val="24"/>
              </w:rPr>
              <w:t>Premium prices, small product line, difficulties in scale of production.</w:t>
            </w:r>
          </w:p>
        </w:tc>
        <w:tc>
          <w:tcPr>
            <w:tcW w:w="3751" w:type="dxa"/>
            <w:vAlign w:val="center"/>
          </w:tcPr>
          <w:p w14:paraId="4F60586A" w14:textId="6F9D848E" w:rsidR="35397187" w:rsidRPr="007604E3" w:rsidRDefault="4B3E9217" w:rsidP="007604E3">
            <w:pPr>
              <w:spacing w:after="0" w:line="360" w:lineRule="auto"/>
              <w:jc w:val="both"/>
              <w:rPr>
                <w:rFonts w:ascii="Arial" w:hAnsi="Arial" w:cs="Arial"/>
                <w:sz w:val="24"/>
                <w:szCs w:val="24"/>
              </w:rPr>
            </w:pPr>
            <w:r w:rsidRPr="007604E3">
              <w:rPr>
                <w:rFonts w:ascii="Arial" w:hAnsi="Arial" w:cs="Arial"/>
                <w:color w:val="000000" w:themeColor="text1"/>
                <w:sz w:val="24"/>
                <w:szCs w:val="24"/>
              </w:rPr>
              <w:t>High prices, limited line of product, scale production problems.</w:t>
            </w:r>
          </w:p>
        </w:tc>
      </w:tr>
      <w:tr w:rsidR="7BAA717A" w:rsidRPr="007604E3" w14:paraId="49B551E5" w14:textId="77777777" w:rsidTr="5CAAD95B">
        <w:trPr>
          <w:trHeight w:val="300"/>
        </w:trPr>
        <w:tc>
          <w:tcPr>
            <w:tcW w:w="1920" w:type="dxa"/>
            <w:vAlign w:val="center"/>
          </w:tcPr>
          <w:p w14:paraId="529D77DB" w14:textId="3F3B99F7" w:rsidR="7BAA717A" w:rsidRPr="007604E3" w:rsidRDefault="38871EE0" w:rsidP="007604E3">
            <w:pPr>
              <w:spacing w:after="0" w:line="360" w:lineRule="auto"/>
              <w:jc w:val="both"/>
              <w:rPr>
                <w:rFonts w:ascii="Arial" w:hAnsi="Arial" w:cs="Arial"/>
                <w:sz w:val="24"/>
                <w:szCs w:val="24"/>
              </w:rPr>
            </w:pPr>
            <w:r w:rsidRPr="007604E3">
              <w:rPr>
                <w:rFonts w:ascii="Arial" w:hAnsi="Arial" w:cs="Arial"/>
                <w:b/>
                <w:bCs/>
                <w:color w:val="000000" w:themeColor="text1"/>
                <w:sz w:val="24"/>
                <w:szCs w:val="24"/>
              </w:rPr>
              <w:t>Opportunities</w:t>
            </w:r>
          </w:p>
        </w:tc>
        <w:tc>
          <w:tcPr>
            <w:tcW w:w="3344" w:type="dxa"/>
            <w:vAlign w:val="center"/>
          </w:tcPr>
          <w:p w14:paraId="3DAD1C2B" w14:textId="4120474E" w:rsidR="754E654B" w:rsidRPr="007604E3" w:rsidRDefault="3F11BAB3" w:rsidP="007604E3">
            <w:pPr>
              <w:spacing w:after="0" w:line="360" w:lineRule="auto"/>
              <w:jc w:val="both"/>
              <w:rPr>
                <w:rFonts w:ascii="Arial" w:hAnsi="Arial" w:cs="Arial"/>
                <w:sz w:val="24"/>
                <w:szCs w:val="24"/>
              </w:rPr>
            </w:pPr>
            <w:r w:rsidRPr="007604E3">
              <w:rPr>
                <w:rFonts w:ascii="Arial" w:hAnsi="Arial" w:cs="Arial"/>
                <w:color w:val="000000" w:themeColor="text1"/>
                <w:sz w:val="24"/>
                <w:szCs w:val="24"/>
              </w:rPr>
              <w:t>Global EV markets, energy solutions, autonomous driving innovation.</w:t>
            </w:r>
          </w:p>
        </w:tc>
        <w:tc>
          <w:tcPr>
            <w:tcW w:w="3751" w:type="dxa"/>
            <w:vAlign w:val="center"/>
          </w:tcPr>
          <w:p w14:paraId="6AF9C059" w14:textId="1C1A9B19" w:rsidR="754E654B" w:rsidRPr="007604E3" w:rsidRDefault="3F11BAB3" w:rsidP="007604E3">
            <w:pPr>
              <w:spacing w:after="0" w:line="360" w:lineRule="auto"/>
              <w:jc w:val="both"/>
              <w:rPr>
                <w:rFonts w:ascii="Arial" w:hAnsi="Arial" w:cs="Arial"/>
                <w:sz w:val="24"/>
                <w:szCs w:val="24"/>
              </w:rPr>
            </w:pPr>
            <w:r w:rsidRPr="007604E3">
              <w:rPr>
                <w:rFonts w:ascii="Arial" w:hAnsi="Arial" w:cs="Arial"/>
                <w:color w:val="000000" w:themeColor="text1"/>
                <w:sz w:val="24"/>
                <w:szCs w:val="24"/>
              </w:rPr>
              <w:t>Rising EV, government policies, emerging market growth.</w:t>
            </w:r>
          </w:p>
        </w:tc>
      </w:tr>
      <w:tr w:rsidR="7BAA717A" w:rsidRPr="007604E3" w14:paraId="41A6F575" w14:textId="77777777" w:rsidTr="5CAAD95B">
        <w:trPr>
          <w:trHeight w:val="300"/>
        </w:trPr>
        <w:tc>
          <w:tcPr>
            <w:tcW w:w="1920" w:type="dxa"/>
            <w:vAlign w:val="center"/>
          </w:tcPr>
          <w:p w14:paraId="1BB133F4" w14:textId="38C7378A" w:rsidR="7BAA717A" w:rsidRPr="007604E3" w:rsidRDefault="38871EE0" w:rsidP="007604E3">
            <w:pPr>
              <w:spacing w:after="0" w:line="360" w:lineRule="auto"/>
              <w:jc w:val="both"/>
              <w:rPr>
                <w:rFonts w:ascii="Arial" w:hAnsi="Arial" w:cs="Arial"/>
                <w:sz w:val="24"/>
                <w:szCs w:val="24"/>
              </w:rPr>
            </w:pPr>
            <w:r w:rsidRPr="007604E3">
              <w:rPr>
                <w:rFonts w:ascii="Arial" w:hAnsi="Arial" w:cs="Arial"/>
                <w:b/>
                <w:bCs/>
                <w:color w:val="000000" w:themeColor="text1"/>
                <w:sz w:val="24"/>
                <w:szCs w:val="24"/>
              </w:rPr>
              <w:t>Threats</w:t>
            </w:r>
          </w:p>
        </w:tc>
        <w:tc>
          <w:tcPr>
            <w:tcW w:w="3344" w:type="dxa"/>
            <w:vAlign w:val="center"/>
          </w:tcPr>
          <w:p w14:paraId="1E429250" w14:textId="26DCEF4F" w:rsidR="68C82CA4" w:rsidRPr="007604E3" w:rsidRDefault="21A31072" w:rsidP="007604E3">
            <w:pPr>
              <w:spacing w:after="0" w:line="360" w:lineRule="auto"/>
              <w:jc w:val="both"/>
              <w:rPr>
                <w:rFonts w:ascii="Arial" w:hAnsi="Arial" w:cs="Arial"/>
                <w:sz w:val="24"/>
                <w:szCs w:val="24"/>
              </w:rPr>
            </w:pPr>
            <w:r w:rsidRPr="007604E3">
              <w:rPr>
                <w:rFonts w:ascii="Arial" w:hAnsi="Arial" w:cs="Arial"/>
                <w:color w:val="000000" w:themeColor="text1"/>
                <w:sz w:val="24"/>
                <w:szCs w:val="24"/>
              </w:rPr>
              <w:t>Increasing competition, regulatory amendments, supply chain risks.</w:t>
            </w:r>
          </w:p>
        </w:tc>
        <w:tc>
          <w:tcPr>
            <w:tcW w:w="3751" w:type="dxa"/>
            <w:vAlign w:val="center"/>
          </w:tcPr>
          <w:p w14:paraId="7C3EA370" w14:textId="5565D2A0" w:rsidR="44578A29" w:rsidRPr="007604E3" w:rsidRDefault="5BC91A55" w:rsidP="007604E3">
            <w:pPr>
              <w:spacing w:line="360" w:lineRule="auto"/>
              <w:jc w:val="both"/>
              <w:rPr>
                <w:rFonts w:ascii="Arial" w:hAnsi="Arial" w:cs="Arial"/>
                <w:sz w:val="24"/>
                <w:szCs w:val="24"/>
              </w:rPr>
            </w:pPr>
            <w:r w:rsidRPr="007604E3">
              <w:rPr>
                <w:rFonts w:ascii="Arial" w:eastAsia="Calibri" w:hAnsi="Arial" w:cs="Arial"/>
                <w:color w:val="000000" w:themeColor="text1"/>
                <w:sz w:val="24"/>
                <w:szCs w:val="24"/>
              </w:rPr>
              <w:t>Competition from EV leaders, high investment risks, market uncertainty</w:t>
            </w:r>
          </w:p>
        </w:tc>
      </w:tr>
    </w:tbl>
    <w:p w14:paraId="20D472D2" w14:textId="21DE5677" w:rsidR="46434416" w:rsidRPr="007604E3" w:rsidRDefault="56422C62" w:rsidP="007604E3">
      <w:pPr>
        <w:spacing w:before="240" w:after="240" w:line="360" w:lineRule="auto"/>
        <w:jc w:val="both"/>
        <w:rPr>
          <w:rFonts w:ascii="Arial" w:eastAsia="Calibri" w:hAnsi="Arial" w:cs="Arial"/>
          <w:sz w:val="24"/>
          <w:szCs w:val="24"/>
        </w:rPr>
      </w:pPr>
      <w:r w:rsidRPr="007604E3">
        <w:rPr>
          <w:rFonts w:ascii="Arial" w:eastAsia="Calibri" w:hAnsi="Arial" w:cs="Arial"/>
          <w:sz w:val="24"/>
          <w:szCs w:val="24"/>
        </w:rPr>
        <w:t>In the SWOT analysis, it can be noted that the innovation capabilities and technological leadership are the core strengths of Tesla that contribute to its leading role in the EV industry. Nevertheless, its high-end pricing model can restrict the reach to the mass-market consumers (Kotler and Keller, 2022).</w:t>
      </w:r>
    </w:p>
    <w:p w14:paraId="7943238E" w14:textId="6214224B" w:rsidR="46434416" w:rsidRPr="007604E3" w:rsidRDefault="56422C62" w:rsidP="007604E3">
      <w:pPr>
        <w:spacing w:before="240" w:after="240" w:line="360" w:lineRule="auto"/>
        <w:jc w:val="both"/>
        <w:rPr>
          <w:rFonts w:ascii="Arial" w:hAnsi="Arial" w:cs="Arial"/>
          <w:sz w:val="24"/>
          <w:szCs w:val="24"/>
        </w:rPr>
      </w:pPr>
      <w:r w:rsidRPr="007604E3">
        <w:rPr>
          <w:rFonts w:ascii="Arial" w:eastAsia="Calibri" w:hAnsi="Arial" w:cs="Arial"/>
          <w:sz w:val="24"/>
          <w:szCs w:val="24"/>
        </w:rPr>
        <w:t>By comparison, Ford has its advantages in terms of existing market share and production capacity that allow it to produce and access more customers. However, its reliance on its past systems and high transition costs are also a major problem in the fast changes in the EV market (Ford, 2023).</w:t>
      </w:r>
    </w:p>
    <w:p w14:paraId="223E5D88" w14:textId="793B1C94" w:rsidR="007B335F" w:rsidRPr="007604E3" w:rsidRDefault="56422C62" w:rsidP="007604E3">
      <w:pPr>
        <w:spacing w:before="240" w:after="240" w:line="360" w:lineRule="auto"/>
        <w:jc w:val="both"/>
        <w:rPr>
          <w:rFonts w:ascii="Arial" w:hAnsi="Arial" w:cs="Arial"/>
          <w:sz w:val="24"/>
          <w:szCs w:val="24"/>
        </w:rPr>
      </w:pPr>
      <w:r w:rsidRPr="007604E3">
        <w:rPr>
          <w:rFonts w:ascii="Arial" w:eastAsia="Calibri" w:hAnsi="Arial" w:cs="Arial"/>
          <w:sz w:val="24"/>
          <w:szCs w:val="24"/>
        </w:rPr>
        <w:t>This indicates that Tesla stands in a better position to be technologically far ahead in the long run whereas success in Ford relies on its capacity to cope with transformation positively and enhance innovation capacity.</w:t>
      </w:r>
    </w:p>
    <w:p w14:paraId="4D96DD3F" w14:textId="377203F0" w:rsidR="007B335F" w:rsidRPr="00887F22" w:rsidRDefault="5310AC78" w:rsidP="5CAAD95B">
      <w:pPr>
        <w:pStyle w:val="Heading1"/>
        <w:rPr>
          <w:rFonts w:cs="Arial"/>
          <w:bCs/>
        </w:rPr>
      </w:pPr>
      <w:bookmarkStart w:id="10" w:name="_Toc102148419"/>
      <w:r w:rsidRPr="00887F22">
        <w:rPr>
          <w:rFonts w:cs="Arial"/>
        </w:rPr>
        <w:lastRenderedPageBreak/>
        <w:t>5. Co</w:t>
      </w:r>
      <w:r w:rsidR="30B6E02E" w:rsidRPr="00887F22">
        <w:rPr>
          <w:rFonts w:cs="Arial"/>
        </w:rPr>
        <w:t>mparative Discussion</w:t>
      </w:r>
      <w:bookmarkEnd w:id="10"/>
    </w:p>
    <w:p w14:paraId="239699D0" w14:textId="36F8614B" w:rsidR="007B335F" w:rsidRPr="00887F22" w:rsidRDefault="14BEDD4A" w:rsidP="00887F22">
      <w:pPr>
        <w:spacing w:line="360" w:lineRule="auto"/>
        <w:jc w:val="both"/>
        <w:rPr>
          <w:rFonts w:ascii="Arial" w:hAnsi="Arial" w:cs="Arial"/>
          <w:sz w:val="24"/>
          <w:szCs w:val="24"/>
        </w:rPr>
      </w:pPr>
      <w:r w:rsidRPr="00887F22">
        <w:rPr>
          <w:rFonts w:ascii="Arial" w:hAnsi="Arial" w:cs="Arial"/>
          <w:sz w:val="24"/>
          <w:szCs w:val="24"/>
        </w:rPr>
        <w:t>In as much as Tesla and Ford Motor Company are functioning in the same industry of electric cars, their strategic styles have great variance in regards to innovation, market positioning and competitive emphasis.</w:t>
      </w:r>
    </w:p>
    <w:p w14:paraId="33ED397E" w14:textId="665E65C1" w:rsidR="007B335F" w:rsidRPr="00887F22" w:rsidRDefault="14BEDD4A" w:rsidP="00887F22">
      <w:pPr>
        <w:spacing w:line="360" w:lineRule="auto"/>
        <w:jc w:val="both"/>
        <w:rPr>
          <w:rFonts w:ascii="Arial" w:hAnsi="Arial" w:cs="Arial"/>
          <w:sz w:val="24"/>
          <w:szCs w:val="24"/>
        </w:rPr>
      </w:pPr>
      <w:r w:rsidRPr="00887F22">
        <w:rPr>
          <w:rFonts w:ascii="Arial" w:hAnsi="Arial" w:cs="Arial"/>
          <w:sz w:val="24"/>
          <w:szCs w:val="24"/>
        </w:rPr>
        <w:t>The approach of Tesla focuses on differentiation based on innovation. Tesla has become one of the leaders in the EV market by creating sophisticated technologies and combining software and hardware to achieve its position. Its sustainability and innovation have increased its brand image and formed a powerful customer loyalty (Grant, 2022). Nonetheless, such a premium positioning might restrict its accessibility to price-sensitive marketability.</w:t>
      </w:r>
    </w:p>
    <w:p w14:paraId="33B9571E" w14:textId="75ABD0C7" w:rsidR="007B335F" w:rsidRPr="00887F22" w:rsidRDefault="14BEDD4A" w:rsidP="00887F22">
      <w:pPr>
        <w:spacing w:line="360" w:lineRule="auto"/>
        <w:jc w:val="both"/>
        <w:rPr>
          <w:rFonts w:ascii="Arial" w:hAnsi="Arial" w:cs="Arial"/>
          <w:sz w:val="24"/>
          <w:szCs w:val="24"/>
        </w:rPr>
      </w:pPr>
      <w:r w:rsidRPr="00887F22">
        <w:rPr>
          <w:rFonts w:ascii="Arial" w:hAnsi="Arial" w:cs="Arial"/>
          <w:sz w:val="24"/>
          <w:szCs w:val="24"/>
        </w:rPr>
        <w:t>Ford, on the other hand, is more diversified and does not implement an adaptive strategy. Providing electric versions of the current models of vehicles, Ford will minimize the resistance of consumers to EVs and will use the existing reputation of the company. This enables the company to access more people and compete in a variety of market segments (Johnson et al., 2023).</w:t>
      </w:r>
    </w:p>
    <w:p w14:paraId="5C86720D" w14:textId="6418DDD6" w:rsidR="007B335F" w:rsidRPr="00887F22" w:rsidRDefault="14BEDD4A" w:rsidP="00887F22">
      <w:pPr>
        <w:spacing w:line="360" w:lineRule="auto"/>
        <w:jc w:val="both"/>
        <w:rPr>
          <w:rFonts w:ascii="Arial" w:hAnsi="Arial" w:cs="Arial"/>
          <w:sz w:val="24"/>
          <w:szCs w:val="24"/>
        </w:rPr>
      </w:pPr>
      <w:r w:rsidRPr="00887F22">
        <w:rPr>
          <w:rFonts w:ascii="Arial" w:hAnsi="Arial" w:cs="Arial"/>
          <w:sz w:val="24"/>
          <w:szCs w:val="24"/>
        </w:rPr>
        <w:t>These strategic differences are supported by the SWOT analysis. The strengths of Tesla are the capacities of the technological nature and the innovations, whereas the strengths of Ford are the capacities of the scale and experience and the market reach. Nevertheless, Tesla has issues to do with prices and scaleability of production, and Ford has issues with high transition costs and slower innovation.</w:t>
      </w:r>
    </w:p>
    <w:p w14:paraId="0691F9C9" w14:textId="69346709" w:rsidR="007B335F" w:rsidRPr="00887F22" w:rsidRDefault="08D6833B" w:rsidP="00887F22">
      <w:pPr>
        <w:spacing w:line="360" w:lineRule="auto"/>
        <w:jc w:val="both"/>
        <w:rPr>
          <w:rFonts w:ascii="Arial" w:hAnsi="Arial" w:cs="Arial"/>
          <w:sz w:val="24"/>
          <w:szCs w:val="24"/>
        </w:rPr>
      </w:pPr>
      <w:r w:rsidRPr="00887F22">
        <w:rPr>
          <w:rFonts w:ascii="Arial" w:hAnsi="Arial" w:cs="Arial"/>
        </w:rPr>
        <w:lastRenderedPageBreak/>
        <w:drawing>
          <wp:inline distT="0" distB="0" distL="0" distR="0" wp14:anchorId="06057FFF" wp14:editId="281FB364">
            <wp:extent cx="5724525" cy="2933700"/>
            <wp:effectExtent l="9525" t="9525" r="9525" b="9525"/>
            <wp:docPr id="14923063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306392" name="Picture 1492306392"/>
                    <pic:cNvPicPr/>
                  </pic:nvPicPr>
                  <pic:blipFill>
                    <a:blip r:embed="rId12">
                      <a:extLst>
                        <a:ext uri="{28A0092B-C50C-407E-A947-70E740481C1C}">
                          <a14:useLocalDpi xmlns:a14="http://schemas.microsoft.com/office/drawing/2010/main"/>
                        </a:ext>
                      </a:extLst>
                    </a:blip>
                    <a:stretch>
                      <a:fillRect/>
                    </a:stretch>
                  </pic:blipFill>
                  <pic:spPr>
                    <a:xfrm>
                      <a:off x="0" y="0"/>
                      <a:ext cx="5724525" cy="2933700"/>
                    </a:xfrm>
                    <a:prstGeom prst="rect">
                      <a:avLst/>
                    </a:prstGeom>
                    <a:ln w="9525">
                      <a:solidFill>
                        <a:srgbClr val="0070C0"/>
                      </a:solidFill>
                      <a:prstDash val="solid"/>
                    </a:ln>
                  </pic:spPr>
                </pic:pic>
              </a:graphicData>
            </a:graphic>
          </wp:inline>
        </w:drawing>
      </w:r>
      <w:r w:rsidR="14BEDD4A" w:rsidRPr="00887F22">
        <w:rPr>
          <w:rFonts w:ascii="Arial" w:hAnsi="Arial" w:cs="Arial"/>
          <w:sz w:val="24"/>
          <w:szCs w:val="24"/>
        </w:rPr>
        <w:t>This comparison underscores the fact that Tesla strategy is depth oriented, which emphasizes technological leadership and long term innovation, whereas the Ford strategy is breadth oriented, which emphasizes coverage of the market and gradual adaptation. The two methods also have their merits, but they represent the various ways of attaining sustainable competitive advantage.</w:t>
      </w:r>
    </w:p>
    <w:p w14:paraId="2D696AC8" w14:textId="0DDA2331" w:rsidR="7BAA717A" w:rsidRPr="00887F22" w:rsidRDefault="14BEDD4A" w:rsidP="00887F22">
      <w:pPr>
        <w:spacing w:line="360" w:lineRule="auto"/>
        <w:jc w:val="both"/>
        <w:rPr>
          <w:rFonts w:ascii="Arial" w:hAnsi="Arial" w:cs="Arial"/>
          <w:sz w:val="24"/>
          <w:szCs w:val="24"/>
        </w:rPr>
      </w:pPr>
      <w:r w:rsidRPr="00887F22">
        <w:rPr>
          <w:rFonts w:ascii="Arial" w:hAnsi="Arial" w:cs="Arial"/>
          <w:sz w:val="24"/>
          <w:szCs w:val="24"/>
        </w:rPr>
        <w:t>On the whole, this implies that Tesla is a more successful company in terms of defining the future of the EV market, and Ford is more adaptable to market dynamics.</w:t>
      </w:r>
    </w:p>
    <w:p w14:paraId="3B6BAE8A" w14:textId="1ABE3EAC" w:rsidR="7DD131C2" w:rsidRPr="00887F22" w:rsidRDefault="7DD131C2" w:rsidP="5CAAD95B">
      <w:pPr>
        <w:pStyle w:val="Heading1"/>
        <w:rPr>
          <w:rFonts w:eastAsia="Calibri" w:cs="Arial"/>
          <w:bCs/>
          <w:sz w:val="28"/>
          <w:szCs w:val="28"/>
        </w:rPr>
      </w:pPr>
      <w:bookmarkStart w:id="11" w:name="_Toc878202974"/>
      <w:r w:rsidRPr="00887F22">
        <w:rPr>
          <w:rFonts w:cs="Arial"/>
        </w:rPr>
        <w:t>6. Conclusion</w:t>
      </w:r>
      <w:bookmarkEnd w:id="11"/>
      <w:r w:rsidRPr="00887F22">
        <w:rPr>
          <w:rFonts w:cs="Arial"/>
        </w:rPr>
        <w:t xml:space="preserve"> </w:t>
      </w:r>
    </w:p>
    <w:p w14:paraId="29D1AE40" w14:textId="2960F50F" w:rsidR="5A9C5117" w:rsidRPr="00887F22" w:rsidRDefault="5A9C5117" w:rsidP="00887F22">
      <w:pPr>
        <w:spacing w:before="240" w:after="240" w:line="360" w:lineRule="auto"/>
        <w:jc w:val="both"/>
        <w:rPr>
          <w:rFonts w:ascii="Arial" w:hAnsi="Arial" w:cs="Arial"/>
          <w:sz w:val="24"/>
          <w:szCs w:val="24"/>
        </w:rPr>
      </w:pPr>
      <w:r w:rsidRPr="00887F22">
        <w:rPr>
          <w:rFonts w:ascii="Arial" w:eastAsia="Calibri" w:hAnsi="Arial" w:cs="Arial"/>
          <w:sz w:val="24"/>
          <w:szCs w:val="24"/>
        </w:rPr>
        <w:t>The market of electric vehicles is rapidly changing all over the world due to technological breakthrough and more intense regulation. This report has shown that Tesla has a high competitive edge, owing to its innovation-based policy, high level of technology and early predictability to sustainability policies. Its differentiation strategy can achieve high price, high brand loyalty and long-term market leader.</w:t>
      </w:r>
    </w:p>
    <w:p w14:paraId="0C01A2F7" w14:textId="0880A3C8" w:rsidR="5A9C5117" w:rsidRPr="00887F22" w:rsidRDefault="5A9C5117" w:rsidP="00887F22">
      <w:pPr>
        <w:spacing w:before="240" w:after="240" w:line="360" w:lineRule="auto"/>
        <w:jc w:val="both"/>
        <w:rPr>
          <w:rFonts w:ascii="Arial" w:hAnsi="Arial" w:cs="Arial"/>
          <w:sz w:val="24"/>
          <w:szCs w:val="24"/>
        </w:rPr>
      </w:pPr>
      <w:r w:rsidRPr="00887F22">
        <w:rPr>
          <w:rFonts w:ascii="Arial" w:eastAsia="Calibri" w:hAnsi="Arial" w:cs="Arial"/>
          <w:sz w:val="24"/>
          <w:szCs w:val="24"/>
        </w:rPr>
        <w:t>Conversely, the Ford Motor Company is more adaptive and gradual transition strategy, making use of its current scale of production and market share to increase EV. Although the strategy makes accessibility more inclusive and less risky, the technological innovation will not allow Ford to compete at the same level.</w:t>
      </w:r>
    </w:p>
    <w:p w14:paraId="7F9FDFCD" w14:textId="5449C952" w:rsidR="5A9C5117" w:rsidRPr="00887F22" w:rsidRDefault="5A9C5117" w:rsidP="00887F22">
      <w:pPr>
        <w:spacing w:before="240" w:after="240" w:line="360" w:lineRule="auto"/>
        <w:jc w:val="both"/>
        <w:rPr>
          <w:sz w:val="24"/>
          <w:szCs w:val="24"/>
        </w:rPr>
      </w:pPr>
      <w:r w:rsidRPr="00887F22">
        <w:rPr>
          <w:rFonts w:ascii="Arial" w:eastAsia="Calibri" w:hAnsi="Arial" w:cs="Arial"/>
          <w:sz w:val="24"/>
          <w:szCs w:val="24"/>
        </w:rPr>
        <w:t xml:space="preserve">In the aggregate, the analysis can indicate that future success in the EV industry can be based on both being able to respond to environmental changes and being able to </w:t>
      </w:r>
      <w:r w:rsidRPr="00887F22">
        <w:rPr>
          <w:rFonts w:ascii="Arial" w:eastAsia="Calibri" w:hAnsi="Arial" w:cs="Arial"/>
          <w:sz w:val="24"/>
          <w:szCs w:val="24"/>
        </w:rPr>
        <w:lastRenderedPageBreak/>
        <w:t>predict and influence them. The active and innovation-oriented approach of Tesla places it in a better position to grow in the future, as opposed to Ford, which will need to effectively handle the process of transformation and enhance its innovation potential in a more competitive environment.</w:t>
      </w:r>
    </w:p>
    <w:p w14:paraId="3A602F8A" w14:textId="4C4D66B7" w:rsidR="7BAA717A" w:rsidRDefault="7BAA717A" w:rsidP="7BAA717A"/>
    <w:p w14:paraId="4BCC3263" w14:textId="5EE634C8" w:rsidR="005F7A17" w:rsidRDefault="005F7A17" w:rsidP="5CAAD95B"/>
    <w:p w14:paraId="4934097A" w14:textId="6AFB13CF" w:rsidR="005F7A17" w:rsidRDefault="005F7A17" w:rsidP="5CAAD95B">
      <w:r>
        <w:br w:type="page"/>
      </w:r>
    </w:p>
    <w:p w14:paraId="1B67A9D4" w14:textId="06596356" w:rsidR="4E31EA99" w:rsidRDefault="4E31EA99" w:rsidP="5CAAD95B">
      <w:pPr>
        <w:pStyle w:val="Heading1"/>
        <w:rPr>
          <w:b w:val="0"/>
        </w:rPr>
      </w:pPr>
      <w:bookmarkStart w:id="12" w:name="_Toc1014517295"/>
      <w:r>
        <w:lastRenderedPageBreak/>
        <w:t>References</w:t>
      </w:r>
      <w:bookmarkEnd w:id="12"/>
    </w:p>
    <w:p w14:paraId="67F3E6BB" w14:textId="0BB5807D" w:rsidR="3F476479" w:rsidRDefault="3F476479" w:rsidP="5CAAD95B">
      <w:pPr>
        <w:spacing w:beforeAutospacing="1" w:afterAutospacing="1" w:line="240" w:lineRule="auto"/>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Ansoff, H.I. (1988) </w:t>
      </w:r>
      <w:r w:rsidRPr="5CAAD95B">
        <w:rPr>
          <w:rFonts w:ascii="Times New Roman" w:eastAsia="Times New Roman" w:hAnsi="Times New Roman" w:cs="Times New Roman"/>
          <w:i/>
          <w:iCs/>
          <w:color w:val="000000" w:themeColor="text1"/>
          <w:sz w:val="24"/>
          <w:szCs w:val="24"/>
        </w:rPr>
        <w:t>Corporate Strategy</w:t>
      </w:r>
      <w:r w:rsidRPr="5CAAD95B">
        <w:rPr>
          <w:rFonts w:ascii="Times New Roman" w:eastAsia="Times New Roman" w:hAnsi="Times New Roman" w:cs="Times New Roman"/>
          <w:color w:val="000000" w:themeColor="text1"/>
          <w:sz w:val="24"/>
          <w:szCs w:val="24"/>
        </w:rPr>
        <w:t>. London: Penguin Books.</w:t>
      </w:r>
    </w:p>
    <w:p w14:paraId="3313D379" w14:textId="4D766596"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Barney, J. (1991) ‘Firm resources and sustained competitive advantage’, </w:t>
      </w:r>
      <w:r w:rsidRPr="5CAAD95B">
        <w:rPr>
          <w:rFonts w:ascii="Times New Roman" w:eastAsia="Times New Roman" w:hAnsi="Times New Roman" w:cs="Times New Roman"/>
          <w:i/>
          <w:iCs/>
          <w:color w:val="000000" w:themeColor="text1"/>
          <w:sz w:val="24"/>
          <w:szCs w:val="24"/>
        </w:rPr>
        <w:t>Journal of Management</w:t>
      </w:r>
      <w:r w:rsidRPr="5CAAD95B">
        <w:rPr>
          <w:rFonts w:ascii="Times New Roman" w:eastAsia="Times New Roman" w:hAnsi="Times New Roman" w:cs="Times New Roman"/>
          <w:color w:val="000000" w:themeColor="text1"/>
          <w:sz w:val="24"/>
          <w:szCs w:val="24"/>
        </w:rPr>
        <w:t>, 17(1), pp. 99–120.</w:t>
      </w:r>
    </w:p>
    <w:p w14:paraId="6C55C5FB" w14:textId="1A66EB34"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Chaffey, D. and Ellis-Chadwick, F. (2022) </w:t>
      </w:r>
      <w:r w:rsidRPr="5CAAD95B">
        <w:rPr>
          <w:rFonts w:ascii="Times New Roman" w:eastAsia="Times New Roman" w:hAnsi="Times New Roman" w:cs="Times New Roman"/>
          <w:i/>
          <w:iCs/>
          <w:color w:val="000000" w:themeColor="text1"/>
          <w:sz w:val="24"/>
          <w:szCs w:val="24"/>
        </w:rPr>
        <w:t>Digital Marketing</w:t>
      </w:r>
      <w:r w:rsidRPr="5CAAD95B">
        <w:rPr>
          <w:rFonts w:ascii="Times New Roman" w:eastAsia="Times New Roman" w:hAnsi="Times New Roman" w:cs="Times New Roman"/>
          <w:color w:val="000000" w:themeColor="text1"/>
          <w:sz w:val="24"/>
          <w:szCs w:val="24"/>
        </w:rPr>
        <w:t>. 8th edn. Harlow: Pearson.</w:t>
      </w:r>
    </w:p>
    <w:p w14:paraId="31B1A54C" w14:textId="19E690D2"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Cecere, G., Corrocher, N. and Battaglia, R.D. (2014) ‘Innovation and competition in the smartphone industry’, </w:t>
      </w:r>
      <w:r w:rsidRPr="5CAAD95B">
        <w:rPr>
          <w:rFonts w:ascii="Times New Roman" w:eastAsia="Times New Roman" w:hAnsi="Times New Roman" w:cs="Times New Roman"/>
          <w:i/>
          <w:iCs/>
          <w:color w:val="000000" w:themeColor="text1"/>
          <w:sz w:val="24"/>
          <w:szCs w:val="24"/>
        </w:rPr>
        <w:t>Telecommunications Policy</w:t>
      </w:r>
      <w:r w:rsidRPr="5CAAD95B">
        <w:rPr>
          <w:rFonts w:ascii="Times New Roman" w:eastAsia="Times New Roman" w:hAnsi="Times New Roman" w:cs="Times New Roman"/>
          <w:color w:val="000000" w:themeColor="text1"/>
          <w:sz w:val="24"/>
          <w:szCs w:val="24"/>
        </w:rPr>
        <w:t xml:space="preserve">. </w:t>
      </w:r>
    </w:p>
    <w:p w14:paraId="5E8C8130" w14:textId="61255913" w:rsidR="3F476479" w:rsidRDefault="3F476479" w:rsidP="5CAAD95B">
      <w:pPr>
        <w:spacing w:before="240" w:after="240"/>
        <w:rPr>
          <w:rFonts w:ascii="Calibri" w:eastAsia="Calibri" w:hAnsi="Calibri" w:cs="Calibri"/>
        </w:rPr>
      </w:pPr>
      <w:r w:rsidRPr="5CAAD95B">
        <w:rPr>
          <w:rFonts w:ascii="Times New Roman" w:eastAsia="Times New Roman" w:hAnsi="Times New Roman" w:cs="Times New Roman"/>
          <w:color w:val="000000" w:themeColor="text1"/>
          <w:sz w:val="24"/>
          <w:szCs w:val="24"/>
        </w:rPr>
        <w:t xml:space="preserve">Counterpoint Research (2026) </w:t>
      </w:r>
      <w:r w:rsidRPr="5CAAD95B">
        <w:rPr>
          <w:rFonts w:ascii="Times New Roman" w:eastAsia="Times New Roman" w:hAnsi="Times New Roman" w:cs="Times New Roman"/>
          <w:i/>
          <w:iCs/>
          <w:color w:val="000000" w:themeColor="text1"/>
          <w:sz w:val="24"/>
          <w:szCs w:val="24"/>
        </w:rPr>
        <w:t>Global Smartphone Market Share Report</w:t>
      </w:r>
      <w:r w:rsidRPr="5CAAD95B">
        <w:rPr>
          <w:rFonts w:ascii="Times New Roman" w:eastAsia="Times New Roman" w:hAnsi="Times New Roman" w:cs="Times New Roman"/>
          <w:color w:val="000000" w:themeColor="text1"/>
          <w:sz w:val="24"/>
          <w:szCs w:val="24"/>
        </w:rPr>
        <w:t xml:space="preserve">. Available at: </w:t>
      </w:r>
      <w:hyperlink r:id="rId13">
        <w:r w:rsidRPr="5CAAD95B">
          <w:rPr>
            <w:rStyle w:val="Hyperlink"/>
            <w:rFonts w:ascii="Times New Roman" w:eastAsia="Times New Roman" w:hAnsi="Times New Roman" w:cs="Times New Roman"/>
            <w:sz w:val="24"/>
            <w:szCs w:val="24"/>
          </w:rPr>
          <w:t>https://counterpointresearch.com</w:t>
        </w:r>
      </w:hyperlink>
    </w:p>
    <w:p w14:paraId="0FD1D4E2" w14:textId="7E8ED7E2"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Deloitte (2024) </w:t>
      </w:r>
      <w:r w:rsidRPr="5CAAD95B">
        <w:rPr>
          <w:rFonts w:ascii="Times New Roman" w:eastAsia="Times New Roman" w:hAnsi="Times New Roman" w:cs="Times New Roman"/>
          <w:i/>
          <w:iCs/>
          <w:color w:val="000000" w:themeColor="text1"/>
          <w:sz w:val="24"/>
          <w:szCs w:val="24"/>
        </w:rPr>
        <w:t>Global Technology, Media and Telecommunications Predictions</w:t>
      </w:r>
      <w:r w:rsidRPr="5CAAD95B">
        <w:rPr>
          <w:rFonts w:ascii="Times New Roman" w:eastAsia="Times New Roman" w:hAnsi="Times New Roman" w:cs="Times New Roman"/>
          <w:color w:val="000000" w:themeColor="text1"/>
          <w:sz w:val="24"/>
          <w:szCs w:val="24"/>
        </w:rPr>
        <w:t>. London: Deloitte Insights.</w:t>
      </w:r>
    </w:p>
    <w:p w14:paraId="2B84BCBF" w14:textId="5F478699" w:rsidR="3F476479" w:rsidRDefault="3F476479" w:rsidP="5CAAD95B">
      <w:pPr>
        <w:spacing w:before="240" w:after="240"/>
        <w:rPr>
          <w:rFonts w:ascii="Calibri" w:eastAsia="Calibri" w:hAnsi="Calibri" w:cs="Calibri"/>
        </w:rPr>
      </w:pPr>
      <w:r w:rsidRPr="5CAAD95B">
        <w:rPr>
          <w:rFonts w:ascii="Times New Roman" w:eastAsia="Times New Roman" w:hAnsi="Times New Roman" w:cs="Times New Roman"/>
          <w:color w:val="000000" w:themeColor="text1"/>
          <w:sz w:val="24"/>
          <w:szCs w:val="24"/>
        </w:rPr>
        <w:t xml:space="preserve">Grand View Research (2024) </w:t>
      </w:r>
      <w:r w:rsidRPr="5CAAD95B">
        <w:rPr>
          <w:rFonts w:ascii="Times New Roman" w:eastAsia="Times New Roman" w:hAnsi="Times New Roman" w:cs="Times New Roman"/>
          <w:i/>
          <w:iCs/>
          <w:color w:val="000000" w:themeColor="text1"/>
          <w:sz w:val="24"/>
          <w:szCs w:val="24"/>
        </w:rPr>
        <w:t>Smartphone Market Size Report</w:t>
      </w:r>
      <w:r w:rsidRPr="5CAAD95B">
        <w:rPr>
          <w:rFonts w:ascii="Times New Roman" w:eastAsia="Times New Roman" w:hAnsi="Times New Roman" w:cs="Times New Roman"/>
          <w:color w:val="000000" w:themeColor="text1"/>
          <w:sz w:val="24"/>
          <w:szCs w:val="24"/>
        </w:rPr>
        <w:t xml:space="preserve">. Available at: </w:t>
      </w:r>
      <w:hyperlink r:id="rId14">
        <w:r w:rsidRPr="5CAAD95B">
          <w:rPr>
            <w:rStyle w:val="Hyperlink"/>
            <w:rFonts w:ascii="Times New Roman" w:eastAsia="Times New Roman" w:hAnsi="Times New Roman" w:cs="Times New Roman"/>
            <w:sz w:val="24"/>
            <w:szCs w:val="24"/>
          </w:rPr>
          <w:t>https://www.grandviewresearch.com</w:t>
        </w:r>
      </w:hyperlink>
    </w:p>
    <w:p w14:paraId="5780D63A" w14:textId="7B1B9404"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Grant, R.M. (2022) </w:t>
      </w:r>
      <w:r w:rsidRPr="5CAAD95B">
        <w:rPr>
          <w:rFonts w:ascii="Times New Roman" w:eastAsia="Times New Roman" w:hAnsi="Times New Roman" w:cs="Times New Roman"/>
          <w:i/>
          <w:iCs/>
          <w:color w:val="000000" w:themeColor="text1"/>
          <w:sz w:val="24"/>
          <w:szCs w:val="24"/>
        </w:rPr>
        <w:t>Contemporary Strategy Analysis</w:t>
      </w:r>
      <w:r w:rsidRPr="5CAAD95B">
        <w:rPr>
          <w:rFonts w:ascii="Times New Roman" w:eastAsia="Times New Roman" w:hAnsi="Times New Roman" w:cs="Times New Roman"/>
          <w:color w:val="000000" w:themeColor="text1"/>
          <w:sz w:val="24"/>
          <w:szCs w:val="24"/>
        </w:rPr>
        <w:t>. 11th edn. Oxford: Wiley.</w:t>
      </w:r>
    </w:p>
    <w:p w14:paraId="6D652535" w14:textId="0A089F8D" w:rsidR="3F476479" w:rsidRDefault="3F476479" w:rsidP="5CAAD95B">
      <w:pPr>
        <w:spacing w:before="240" w:after="240"/>
        <w:rPr>
          <w:rFonts w:ascii="Calibri" w:eastAsia="Calibri" w:hAnsi="Calibri" w:cs="Calibri"/>
        </w:rPr>
      </w:pPr>
      <w:r w:rsidRPr="5CAAD95B">
        <w:rPr>
          <w:rFonts w:ascii="Times New Roman" w:eastAsia="Times New Roman" w:hAnsi="Times New Roman" w:cs="Times New Roman"/>
          <w:color w:val="000000" w:themeColor="text1"/>
          <w:sz w:val="24"/>
          <w:szCs w:val="24"/>
        </w:rPr>
        <w:t xml:space="preserve">International Data Corporation (IDC) (2025) </w:t>
      </w:r>
      <w:r w:rsidRPr="5CAAD95B">
        <w:rPr>
          <w:rFonts w:ascii="Times New Roman" w:eastAsia="Times New Roman" w:hAnsi="Times New Roman" w:cs="Times New Roman"/>
          <w:i/>
          <w:iCs/>
          <w:color w:val="000000" w:themeColor="text1"/>
          <w:sz w:val="24"/>
          <w:szCs w:val="24"/>
        </w:rPr>
        <w:t>Worldwide Smartphone Market Share Report</w:t>
      </w:r>
      <w:r w:rsidRPr="5CAAD95B">
        <w:rPr>
          <w:rFonts w:ascii="Times New Roman" w:eastAsia="Times New Roman" w:hAnsi="Times New Roman" w:cs="Times New Roman"/>
          <w:color w:val="000000" w:themeColor="text1"/>
          <w:sz w:val="24"/>
          <w:szCs w:val="24"/>
        </w:rPr>
        <w:t xml:space="preserve">. Available at: </w:t>
      </w:r>
      <w:hyperlink r:id="rId15">
        <w:r w:rsidRPr="5CAAD95B">
          <w:rPr>
            <w:rStyle w:val="Hyperlink"/>
            <w:rFonts w:ascii="Times New Roman" w:eastAsia="Times New Roman" w:hAnsi="Times New Roman" w:cs="Times New Roman"/>
            <w:sz w:val="24"/>
            <w:szCs w:val="24"/>
          </w:rPr>
          <w:t>https://www.idc.com</w:t>
        </w:r>
      </w:hyperlink>
    </w:p>
    <w:p w14:paraId="03F18620" w14:textId="30986068"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Johnson, G., Scholes, K. and Whittington, R. (2023) </w:t>
      </w:r>
      <w:r w:rsidRPr="5CAAD95B">
        <w:rPr>
          <w:rFonts w:ascii="Times New Roman" w:eastAsia="Times New Roman" w:hAnsi="Times New Roman" w:cs="Times New Roman"/>
          <w:i/>
          <w:iCs/>
          <w:color w:val="000000" w:themeColor="text1"/>
          <w:sz w:val="24"/>
          <w:szCs w:val="24"/>
        </w:rPr>
        <w:t>Exploring Strategy</w:t>
      </w:r>
      <w:r w:rsidRPr="5CAAD95B">
        <w:rPr>
          <w:rFonts w:ascii="Times New Roman" w:eastAsia="Times New Roman" w:hAnsi="Times New Roman" w:cs="Times New Roman"/>
          <w:color w:val="000000" w:themeColor="text1"/>
          <w:sz w:val="24"/>
          <w:szCs w:val="24"/>
        </w:rPr>
        <w:t>. 13th edn. Harlow: Pearson.</w:t>
      </w:r>
    </w:p>
    <w:p w14:paraId="0F46D43C" w14:textId="6B92C972"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Jamalova, M. (2024) ‘Modelling user behaviour towards smartphones’, </w:t>
      </w:r>
      <w:r w:rsidRPr="5CAAD95B">
        <w:rPr>
          <w:rFonts w:ascii="Times New Roman" w:eastAsia="Times New Roman" w:hAnsi="Times New Roman" w:cs="Times New Roman"/>
          <w:i/>
          <w:iCs/>
          <w:color w:val="000000" w:themeColor="text1"/>
          <w:sz w:val="24"/>
          <w:szCs w:val="24"/>
        </w:rPr>
        <w:t>arXiv</w:t>
      </w:r>
      <w:r w:rsidRPr="5CAAD95B">
        <w:rPr>
          <w:rFonts w:ascii="Times New Roman" w:eastAsia="Times New Roman" w:hAnsi="Times New Roman" w:cs="Times New Roman"/>
          <w:color w:val="000000" w:themeColor="text1"/>
          <w:sz w:val="24"/>
          <w:szCs w:val="24"/>
        </w:rPr>
        <w:t>.</w:t>
      </w:r>
    </w:p>
    <w:p w14:paraId="04222CBF" w14:textId="07416BC3"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Kenney, M. and Pon, B. (2011) </w:t>
      </w:r>
      <w:r w:rsidRPr="5CAAD95B">
        <w:rPr>
          <w:rFonts w:ascii="Times New Roman" w:eastAsia="Times New Roman" w:hAnsi="Times New Roman" w:cs="Times New Roman"/>
          <w:i/>
          <w:iCs/>
          <w:color w:val="000000" w:themeColor="text1"/>
          <w:sz w:val="24"/>
          <w:szCs w:val="24"/>
        </w:rPr>
        <w:t>Structuring the smartphone industry</w:t>
      </w:r>
      <w:r w:rsidRPr="5CAAD95B">
        <w:rPr>
          <w:rFonts w:ascii="Times New Roman" w:eastAsia="Times New Roman" w:hAnsi="Times New Roman" w:cs="Times New Roman"/>
          <w:color w:val="000000" w:themeColor="text1"/>
          <w:sz w:val="24"/>
          <w:szCs w:val="24"/>
        </w:rPr>
        <w:t xml:space="preserve">. </w:t>
      </w:r>
    </w:p>
    <w:p w14:paraId="40BA75F6" w14:textId="574215F3"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Koetsier, J. (2024) ‘Apple becomes the number one global smartphone brand’, </w:t>
      </w:r>
      <w:r w:rsidRPr="5CAAD95B">
        <w:rPr>
          <w:rFonts w:ascii="Times New Roman" w:eastAsia="Times New Roman" w:hAnsi="Times New Roman" w:cs="Times New Roman"/>
          <w:i/>
          <w:iCs/>
          <w:color w:val="000000" w:themeColor="text1"/>
          <w:sz w:val="24"/>
          <w:szCs w:val="24"/>
        </w:rPr>
        <w:t>Forbes</w:t>
      </w:r>
      <w:r w:rsidRPr="5CAAD95B">
        <w:rPr>
          <w:rFonts w:ascii="Times New Roman" w:eastAsia="Times New Roman" w:hAnsi="Times New Roman" w:cs="Times New Roman"/>
          <w:color w:val="000000" w:themeColor="text1"/>
          <w:sz w:val="24"/>
          <w:szCs w:val="24"/>
        </w:rPr>
        <w:t>.</w:t>
      </w:r>
    </w:p>
    <w:p w14:paraId="5559DBF7" w14:textId="25BABF38"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Kotler, P. and Keller, K.L. (2022) </w:t>
      </w:r>
      <w:r w:rsidRPr="5CAAD95B">
        <w:rPr>
          <w:rFonts w:ascii="Times New Roman" w:eastAsia="Times New Roman" w:hAnsi="Times New Roman" w:cs="Times New Roman"/>
          <w:i/>
          <w:iCs/>
          <w:color w:val="000000" w:themeColor="text1"/>
          <w:sz w:val="24"/>
          <w:szCs w:val="24"/>
        </w:rPr>
        <w:t>Marketing Management</w:t>
      </w:r>
      <w:r w:rsidRPr="5CAAD95B">
        <w:rPr>
          <w:rFonts w:ascii="Times New Roman" w:eastAsia="Times New Roman" w:hAnsi="Times New Roman" w:cs="Times New Roman"/>
          <w:color w:val="000000" w:themeColor="text1"/>
          <w:sz w:val="24"/>
          <w:szCs w:val="24"/>
        </w:rPr>
        <w:t>. 16th edn. Harlow: Pearson.</w:t>
      </w:r>
    </w:p>
    <w:p w14:paraId="7F07D5AA" w14:textId="1F8BC870"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Kornelakis, A. (2025) ‘Technological innovation and smartphone competition’, </w:t>
      </w:r>
      <w:r w:rsidRPr="5CAAD95B">
        <w:rPr>
          <w:rFonts w:ascii="Times New Roman" w:eastAsia="Times New Roman" w:hAnsi="Times New Roman" w:cs="Times New Roman"/>
          <w:i/>
          <w:iCs/>
          <w:color w:val="000000" w:themeColor="text1"/>
          <w:sz w:val="24"/>
          <w:szCs w:val="24"/>
        </w:rPr>
        <w:t>Business History</w:t>
      </w:r>
      <w:r w:rsidRPr="5CAAD95B">
        <w:rPr>
          <w:rFonts w:ascii="Times New Roman" w:eastAsia="Times New Roman" w:hAnsi="Times New Roman" w:cs="Times New Roman"/>
          <w:color w:val="000000" w:themeColor="text1"/>
          <w:sz w:val="24"/>
          <w:szCs w:val="24"/>
        </w:rPr>
        <w:t xml:space="preserve">. </w:t>
      </w:r>
    </w:p>
    <w:p w14:paraId="0B642EC5" w14:textId="6989372A" w:rsidR="3F476479" w:rsidRDefault="3F476479" w:rsidP="5CAAD95B">
      <w:pPr>
        <w:spacing w:before="240" w:after="240"/>
        <w:rPr>
          <w:rFonts w:ascii="Calibri" w:eastAsia="Calibri" w:hAnsi="Calibri" w:cs="Calibri"/>
        </w:rPr>
      </w:pPr>
      <w:r w:rsidRPr="5CAAD95B">
        <w:rPr>
          <w:rFonts w:ascii="Times New Roman" w:eastAsia="Times New Roman" w:hAnsi="Times New Roman" w:cs="Times New Roman"/>
          <w:color w:val="000000" w:themeColor="text1"/>
          <w:sz w:val="24"/>
          <w:szCs w:val="24"/>
        </w:rPr>
        <w:t xml:space="preserve">Mordor Intelligence (2026) </w:t>
      </w:r>
      <w:r w:rsidRPr="5CAAD95B">
        <w:rPr>
          <w:rFonts w:ascii="Times New Roman" w:eastAsia="Times New Roman" w:hAnsi="Times New Roman" w:cs="Times New Roman"/>
          <w:i/>
          <w:iCs/>
          <w:color w:val="000000" w:themeColor="text1"/>
          <w:sz w:val="24"/>
          <w:szCs w:val="24"/>
        </w:rPr>
        <w:t>Smartphone Market Growth and Forecast</w:t>
      </w:r>
      <w:r w:rsidRPr="5CAAD95B">
        <w:rPr>
          <w:rFonts w:ascii="Times New Roman" w:eastAsia="Times New Roman" w:hAnsi="Times New Roman" w:cs="Times New Roman"/>
          <w:color w:val="000000" w:themeColor="text1"/>
          <w:sz w:val="24"/>
          <w:szCs w:val="24"/>
        </w:rPr>
        <w:t xml:space="preserve">. Available at: </w:t>
      </w:r>
      <w:hyperlink r:id="rId16">
        <w:r w:rsidRPr="5CAAD95B">
          <w:rPr>
            <w:rStyle w:val="Hyperlink"/>
            <w:rFonts w:ascii="Times New Roman" w:eastAsia="Times New Roman" w:hAnsi="Times New Roman" w:cs="Times New Roman"/>
            <w:sz w:val="24"/>
            <w:szCs w:val="24"/>
          </w:rPr>
          <w:t>https://www.mordorintelligence.com</w:t>
        </w:r>
      </w:hyperlink>
    </w:p>
    <w:p w14:paraId="587D2C86" w14:textId="3A1AB0F4"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Pariser, E. (2011) </w:t>
      </w:r>
      <w:r w:rsidRPr="5CAAD95B">
        <w:rPr>
          <w:rFonts w:ascii="Times New Roman" w:eastAsia="Times New Roman" w:hAnsi="Times New Roman" w:cs="Times New Roman"/>
          <w:i/>
          <w:iCs/>
          <w:color w:val="000000" w:themeColor="text1"/>
          <w:sz w:val="24"/>
          <w:szCs w:val="24"/>
        </w:rPr>
        <w:t>The Filter Bubble</w:t>
      </w:r>
      <w:r w:rsidRPr="5CAAD95B">
        <w:rPr>
          <w:rFonts w:ascii="Times New Roman" w:eastAsia="Times New Roman" w:hAnsi="Times New Roman" w:cs="Times New Roman"/>
          <w:color w:val="000000" w:themeColor="text1"/>
          <w:sz w:val="24"/>
          <w:szCs w:val="24"/>
        </w:rPr>
        <w:t>. London: Penguin.</w:t>
      </w:r>
    </w:p>
    <w:p w14:paraId="05E83014" w14:textId="2966E403"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Porter, M.E. (2008) </w:t>
      </w:r>
      <w:r w:rsidRPr="5CAAD95B">
        <w:rPr>
          <w:rFonts w:ascii="Times New Roman" w:eastAsia="Times New Roman" w:hAnsi="Times New Roman" w:cs="Times New Roman"/>
          <w:i/>
          <w:iCs/>
          <w:color w:val="000000" w:themeColor="text1"/>
          <w:sz w:val="24"/>
          <w:szCs w:val="24"/>
        </w:rPr>
        <w:t>Competitive Strategy</w:t>
      </w:r>
      <w:r w:rsidRPr="5CAAD95B">
        <w:rPr>
          <w:rFonts w:ascii="Times New Roman" w:eastAsia="Times New Roman" w:hAnsi="Times New Roman" w:cs="Times New Roman"/>
          <w:color w:val="000000" w:themeColor="text1"/>
          <w:sz w:val="24"/>
          <w:szCs w:val="24"/>
        </w:rPr>
        <w:t>. New York: Free Press.</w:t>
      </w:r>
    </w:p>
    <w:p w14:paraId="455D70C5" w14:textId="13029403"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Prahalad, C.K. and Hamel, G. (1990) ‘The core competence of the corporation’, </w:t>
      </w:r>
      <w:r w:rsidRPr="5CAAD95B">
        <w:rPr>
          <w:rFonts w:ascii="Times New Roman" w:eastAsia="Times New Roman" w:hAnsi="Times New Roman" w:cs="Times New Roman"/>
          <w:i/>
          <w:iCs/>
          <w:color w:val="000000" w:themeColor="text1"/>
          <w:sz w:val="24"/>
          <w:szCs w:val="24"/>
        </w:rPr>
        <w:t>Harvard Business Review</w:t>
      </w:r>
      <w:r w:rsidRPr="5CAAD95B">
        <w:rPr>
          <w:rFonts w:ascii="Times New Roman" w:eastAsia="Times New Roman" w:hAnsi="Times New Roman" w:cs="Times New Roman"/>
          <w:color w:val="000000" w:themeColor="text1"/>
          <w:sz w:val="24"/>
          <w:szCs w:val="24"/>
        </w:rPr>
        <w:t>, 68(3), pp. 79–91.</w:t>
      </w:r>
    </w:p>
    <w:p w14:paraId="58E6F7CD" w14:textId="27D7A5A0"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lastRenderedPageBreak/>
        <w:t xml:space="preserve">PwC (2024) </w:t>
      </w:r>
      <w:r w:rsidRPr="5CAAD95B">
        <w:rPr>
          <w:rFonts w:ascii="Times New Roman" w:eastAsia="Times New Roman" w:hAnsi="Times New Roman" w:cs="Times New Roman"/>
          <w:i/>
          <w:iCs/>
          <w:color w:val="000000" w:themeColor="text1"/>
          <w:sz w:val="24"/>
          <w:szCs w:val="24"/>
        </w:rPr>
        <w:t>Global Technology Industry Outlook</w:t>
      </w:r>
      <w:r w:rsidRPr="5CAAD95B">
        <w:rPr>
          <w:rFonts w:ascii="Times New Roman" w:eastAsia="Times New Roman" w:hAnsi="Times New Roman" w:cs="Times New Roman"/>
          <w:color w:val="000000" w:themeColor="text1"/>
          <w:sz w:val="24"/>
          <w:szCs w:val="24"/>
        </w:rPr>
        <w:t>. London: PricewaterhouseCoopers.</w:t>
      </w:r>
    </w:p>
    <w:p w14:paraId="7445F961" w14:textId="4D168002" w:rsidR="3F476479" w:rsidRDefault="3F476479" w:rsidP="5CAAD95B">
      <w:pPr>
        <w:spacing w:before="240" w:after="240"/>
        <w:rPr>
          <w:rFonts w:ascii="Calibri" w:eastAsia="Calibri" w:hAnsi="Calibri" w:cs="Calibri"/>
        </w:rPr>
      </w:pPr>
      <w:r w:rsidRPr="5CAAD95B">
        <w:rPr>
          <w:rFonts w:ascii="Times New Roman" w:eastAsia="Times New Roman" w:hAnsi="Times New Roman" w:cs="Times New Roman"/>
          <w:color w:val="000000" w:themeColor="text1"/>
          <w:sz w:val="24"/>
          <w:szCs w:val="24"/>
        </w:rPr>
        <w:t xml:space="preserve">StatCounter (2026) </w:t>
      </w:r>
      <w:r w:rsidRPr="5CAAD95B">
        <w:rPr>
          <w:rFonts w:ascii="Times New Roman" w:eastAsia="Times New Roman" w:hAnsi="Times New Roman" w:cs="Times New Roman"/>
          <w:i/>
          <w:iCs/>
          <w:color w:val="000000" w:themeColor="text1"/>
          <w:sz w:val="24"/>
          <w:szCs w:val="24"/>
        </w:rPr>
        <w:t>Global Mobile Vendor Market Share</w:t>
      </w:r>
      <w:r w:rsidRPr="5CAAD95B">
        <w:rPr>
          <w:rFonts w:ascii="Times New Roman" w:eastAsia="Times New Roman" w:hAnsi="Times New Roman" w:cs="Times New Roman"/>
          <w:color w:val="000000" w:themeColor="text1"/>
          <w:sz w:val="24"/>
          <w:szCs w:val="24"/>
        </w:rPr>
        <w:t xml:space="preserve">. Available at: </w:t>
      </w:r>
      <w:hyperlink r:id="rId17">
        <w:r w:rsidRPr="5CAAD95B">
          <w:rPr>
            <w:rStyle w:val="Hyperlink"/>
            <w:rFonts w:ascii="Times New Roman" w:eastAsia="Times New Roman" w:hAnsi="Times New Roman" w:cs="Times New Roman"/>
            <w:sz w:val="24"/>
            <w:szCs w:val="24"/>
          </w:rPr>
          <w:t>https://gs.statcounter.com</w:t>
        </w:r>
      </w:hyperlink>
    </w:p>
    <w:p w14:paraId="48B23C76" w14:textId="3C1885E2" w:rsidR="3F476479" w:rsidRDefault="3F476479" w:rsidP="5CAAD95B">
      <w:pPr>
        <w:spacing w:before="240" w:after="240"/>
        <w:rPr>
          <w:rFonts w:ascii="Calibri" w:eastAsia="Calibri" w:hAnsi="Calibri" w:cs="Calibri"/>
        </w:rPr>
      </w:pPr>
      <w:r w:rsidRPr="5CAAD95B">
        <w:rPr>
          <w:rFonts w:ascii="Times New Roman" w:eastAsia="Times New Roman" w:hAnsi="Times New Roman" w:cs="Times New Roman"/>
          <w:color w:val="000000" w:themeColor="text1"/>
          <w:sz w:val="24"/>
          <w:szCs w:val="24"/>
        </w:rPr>
        <w:t xml:space="preserve">Statista (2025) </w:t>
      </w:r>
      <w:r w:rsidRPr="5CAAD95B">
        <w:rPr>
          <w:rFonts w:ascii="Times New Roman" w:eastAsia="Times New Roman" w:hAnsi="Times New Roman" w:cs="Times New Roman"/>
          <w:i/>
          <w:iCs/>
          <w:color w:val="000000" w:themeColor="text1"/>
          <w:sz w:val="24"/>
          <w:szCs w:val="24"/>
        </w:rPr>
        <w:t>Global Smartphone Market Statistics</w:t>
      </w:r>
      <w:r w:rsidRPr="5CAAD95B">
        <w:rPr>
          <w:rFonts w:ascii="Times New Roman" w:eastAsia="Times New Roman" w:hAnsi="Times New Roman" w:cs="Times New Roman"/>
          <w:color w:val="000000" w:themeColor="text1"/>
          <w:sz w:val="24"/>
          <w:szCs w:val="24"/>
        </w:rPr>
        <w:t xml:space="preserve">. Available at: </w:t>
      </w:r>
      <w:hyperlink r:id="rId18">
        <w:r w:rsidRPr="5CAAD95B">
          <w:rPr>
            <w:rStyle w:val="Hyperlink"/>
            <w:rFonts w:ascii="Times New Roman" w:eastAsia="Times New Roman" w:hAnsi="Times New Roman" w:cs="Times New Roman"/>
            <w:sz w:val="24"/>
            <w:szCs w:val="24"/>
          </w:rPr>
          <w:t>https://www.statista.com</w:t>
        </w:r>
      </w:hyperlink>
    </w:p>
    <w:p w14:paraId="458DEB9E" w14:textId="45A382A9" w:rsidR="3F476479" w:rsidRDefault="3F476479" w:rsidP="5CAAD95B">
      <w:pPr>
        <w:spacing w:before="240" w:after="240"/>
        <w:rPr>
          <w:rFonts w:ascii="Calibri" w:eastAsia="Calibri" w:hAnsi="Calibri" w:cs="Calibri"/>
        </w:rPr>
      </w:pPr>
      <w:r w:rsidRPr="5CAAD95B">
        <w:rPr>
          <w:rFonts w:ascii="Times New Roman" w:eastAsia="Times New Roman" w:hAnsi="Times New Roman" w:cs="Times New Roman"/>
          <w:color w:val="000000" w:themeColor="text1"/>
          <w:sz w:val="24"/>
          <w:szCs w:val="24"/>
        </w:rPr>
        <w:t xml:space="preserve">Apple (2025) </w:t>
      </w:r>
      <w:r w:rsidRPr="5CAAD95B">
        <w:rPr>
          <w:rFonts w:ascii="Times New Roman" w:eastAsia="Times New Roman" w:hAnsi="Times New Roman" w:cs="Times New Roman"/>
          <w:i/>
          <w:iCs/>
          <w:color w:val="000000" w:themeColor="text1"/>
          <w:sz w:val="24"/>
          <w:szCs w:val="24"/>
        </w:rPr>
        <w:t>Annual Report</w:t>
      </w:r>
      <w:r w:rsidRPr="5CAAD95B">
        <w:rPr>
          <w:rFonts w:ascii="Times New Roman" w:eastAsia="Times New Roman" w:hAnsi="Times New Roman" w:cs="Times New Roman"/>
          <w:color w:val="000000" w:themeColor="text1"/>
          <w:sz w:val="24"/>
          <w:szCs w:val="24"/>
        </w:rPr>
        <w:t xml:space="preserve">. Available at: </w:t>
      </w:r>
      <w:hyperlink r:id="rId19">
        <w:r w:rsidRPr="5CAAD95B">
          <w:rPr>
            <w:rStyle w:val="Hyperlink"/>
            <w:rFonts w:ascii="Times New Roman" w:eastAsia="Times New Roman" w:hAnsi="Times New Roman" w:cs="Times New Roman"/>
            <w:sz w:val="24"/>
            <w:szCs w:val="24"/>
          </w:rPr>
          <w:t>https://www.apple.com</w:t>
        </w:r>
      </w:hyperlink>
    </w:p>
    <w:p w14:paraId="76800D75" w14:textId="6993D56F" w:rsidR="3F476479" w:rsidRDefault="3F476479" w:rsidP="5CAAD95B">
      <w:pPr>
        <w:spacing w:before="240" w:after="240"/>
        <w:rPr>
          <w:rFonts w:ascii="Calibri" w:eastAsia="Calibri" w:hAnsi="Calibri" w:cs="Calibri"/>
        </w:rPr>
      </w:pPr>
      <w:r w:rsidRPr="5CAAD95B">
        <w:rPr>
          <w:rFonts w:ascii="Times New Roman" w:eastAsia="Times New Roman" w:hAnsi="Times New Roman" w:cs="Times New Roman"/>
          <w:color w:val="000000" w:themeColor="text1"/>
          <w:sz w:val="24"/>
          <w:szCs w:val="24"/>
        </w:rPr>
        <w:t xml:space="preserve">Samsung (2025) </w:t>
      </w:r>
      <w:r w:rsidRPr="5CAAD95B">
        <w:rPr>
          <w:rFonts w:ascii="Times New Roman" w:eastAsia="Times New Roman" w:hAnsi="Times New Roman" w:cs="Times New Roman"/>
          <w:i/>
          <w:iCs/>
          <w:color w:val="000000" w:themeColor="text1"/>
          <w:sz w:val="24"/>
          <w:szCs w:val="24"/>
        </w:rPr>
        <w:t>Annual Report</w:t>
      </w:r>
      <w:r w:rsidRPr="5CAAD95B">
        <w:rPr>
          <w:rFonts w:ascii="Times New Roman" w:eastAsia="Times New Roman" w:hAnsi="Times New Roman" w:cs="Times New Roman"/>
          <w:color w:val="000000" w:themeColor="text1"/>
          <w:sz w:val="24"/>
          <w:szCs w:val="24"/>
        </w:rPr>
        <w:t xml:space="preserve">. Available at: </w:t>
      </w:r>
      <w:hyperlink r:id="rId20">
        <w:r w:rsidRPr="5CAAD95B">
          <w:rPr>
            <w:rStyle w:val="Hyperlink"/>
            <w:rFonts w:ascii="Times New Roman" w:eastAsia="Times New Roman" w:hAnsi="Times New Roman" w:cs="Times New Roman"/>
            <w:sz w:val="24"/>
            <w:szCs w:val="24"/>
          </w:rPr>
          <w:t>https://www.samsung.com</w:t>
        </w:r>
      </w:hyperlink>
    </w:p>
    <w:p w14:paraId="7BB6027E" w14:textId="33B760C9"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Albasoos, H. (2020) ‘Patent conflict between Apple and Samsung’, </w:t>
      </w:r>
      <w:r w:rsidRPr="5CAAD95B">
        <w:rPr>
          <w:rFonts w:ascii="Times New Roman" w:eastAsia="Times New Roman" w:hAnsi="Times New Roman" w:cs="Times New Roman"/>
          <w:i/>
          <w:iCs/>
          <w:color w:val="000000" w:themeColor="text1"/>
          <w:sz w:val="24"/>
          <w:szCs w:val="24"/>
        </w:rPr>
        <w:t>Business Review of Social Sciences</w:t>
      </w:r>
      <w:r w:rsidRPr="5CAAD95B">
        <w:rPr>
          <w:rFonts w:ascii="Times New Roman" w:eastAsia="Times New Roman" w:hAnsi="Times New Roman" w:cs="Times New Roman"/>
          <w:color w:val="000000" w:themeColor="text1"/>
          <w:sz w:val="24"/>
          <w:szCs w:val="24"/>
        </w:rPr>
        <w:t xml:space="preserve">. </w:t>
      </w:r>
    </w:p>
    <w:p w14:paraId="0E5FEBCF" w14:textId="3EAA87F2"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Choi, J. (2014) ‘UX and strategic management in smartphone companies’, </w:t>
      </w:r>
      <w:r w:rsidRPr="5CAAD95B">
        <w:rPr>
          <w:rFonts w:ascii="Times New Roman" w:eastAsia="Times New Roman" w:hAnsi="Times New Roman" w:cs="Times New Roman"/>
          <w:i/>
          <w:iCs/>
          <w:color w:val="000000" w:themeColor="text1"/>
          <w:sz w:val="24"/>
          <w:szCs w:val="24"/>
        </w:rPr>
        <w:t>Springer</w:t>
      </w:r>
      <w:r w:rsidRPr="5CAAD95B">
        <w:rPr>
          <w:rFonts w:ascii="Times New Roman" w:eastAsia="Times New Roman" w:hAnsi="Times New Roman" w:cs="Times New Roman"/>
          <w:color w:val="000000" w:themeColor="text1"/>
          <w:sz w:val="24"/>
          <w:szCs w:val="24"/>
        </w:rPr>
        <w:t xml:space="preserve">. </w:t>
      </w:r>
    </w:p>
    <w:p w14:paraId="4F217203" w14:textId="56459C42" w:rsidR="3F476479" w:rsidRDefault="3F476479" w:rsidP="5CAAD95B">
      <w:pPr>
        <w:spacing w:before="240" w:after="240"/>
        <w:rPr>
          <w:rFonts w:ascii="Times New Roman" w:eastAsia="Times New Roman" w:hAnsi="Times New Roman" w:cs="Times New Roman"/>
          <w:color w:val="000000" w:themeColor="text1"/>
          <w:sz w:val="24"/>
          <w:szCs w:val="24"/>
        </w:rPr>
      </w:pPr>
      <w:r w:rsidRPr="5CAAD95B">
        <w:rPr>
          <w:rFonts w:ascii="Times New Roman" w:eastAsia="Times New Roman" w:hAnsi="Times New Roman" w:cs="Times New Roman"/>
          <w:color w:val="000000" w:themeColor="text1"/>
          <w:sz w:val="24"/>
          <w:szCs w:val="24"/>
        </w:rPr>
        <w:t xml:space="preserve">Corrocher, N. (2025) ‘Smartphone replacement and consumer behaviour’, </w:t>
      </w:r>
      <w:r w:rsidRPr="5CAAD95B">
        <w:rPr>
          <w:rFonts w:ascii="Times New Roman" w:eastAsia="Times New Roman" w:hAnsi="Times New Roman" w:cs="Times New Roman"/>
          <w:i/>
          <w:iCs/>
          <w:color w:val="000000" w:themeColor="text1"/>
          <w:sz w:val="24"/>
          <w:szCs w:val="24"/>
        </w:rPr>
        <w:t>Technological Forecasting</w:t>
      </w:r>
      <w:r w:rsidRPr="5CAAD95B">
        <w:rPr>
          <w:rFonts w:ascii="Times New Roman" w:eastAsia="Times New Roman" w:hAnsi="Times New Roman" w:cs="Times New Roman"/>
          <w:color w:val="000000" w:themeColor="text1"/>
          <w:sz w:val="24"/>
          <w:szCs w:val="24"/>
        </w:rPr>
        <w:t>.</w:t>
      </w:r>
    </w:p>
    <w:p w14:paraId="5C37E513" w14:textId="64A2D4DB" w:rsidR="5CAAD95B" w:rsidRDefault="5CAAD95B" w:rsidP="5CAAD95B"/>
    <w:p w14:paraId="198B06B4" w14:textId="5C536A9A" w:rsidR="006B01C2" w:rsidRDefault="006B01C2"/>
    <w:sectPr w:rsidR="006B01C2" w:rsidSect="00C83CEA">
      <w:footerReference w:type="default" r:id="rId21"/>
      <w:footerReference w:type="first" r:id="rId2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3D6A6" w14:textId="77777777" w:rsidR="004B6C98" w:rsidRDefault="004B6C98">
      <w:pPr>
        <w:spacing w:after="0" w:line="240" w:lineRule="auto"/>
      </w:pPr>
      <w:r>
        <w:separator/>
      </w:r>
    </w:p>
  </w:endnote>
  <w:endnote w:type="continuationSeparator" w:id="0">
    <w:p w14:paraId="09276C53" w14:textId="77777777" w:rsidR="004B6C98" w:rsidRDefault="004B6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2E4D67" w14:textId="22808CB7" w:rsidR="00C83CEA" w:rsidRDefault="00C83CEA">
    <w:pPr>
      <w:pStyle w:val="Footer"/>
      <w:jc w:val="right"/>
    </w:pPr>
  </w:p>
  <w:p w14:paraId="35829BBE" w14:textId="1BB1C166" w:rsidR="5CAAD95B" w:rsidRDefault="5CAAD95B" w:rsidP="5CAAD9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CAAD95B" w14:paraId="47A07321" w14:textId="77777777" w:rsidTr="5CAAD95B">
      <w:trPr>
        <w:trHeight w:val="300"/>
      </w:trPr>
      <w:tc>
        <w:tcPr>
          <w:tcW w:w="3005" w:type="dxa"/>
        </w:tcPr>
        <w:p w14:paraId="170F9C63" w14:textId="1F46EAD6" w:rsidR="5CAAD95B" w:rsidRDefault="5CAAD95B" w:rsidP="5CAAD95B">
          <w:pPr>
            <w:pStyle w:val="Header"/>
            <w:ind w:left="-115"/>
          </w:pPr>
        </w:p>
      </w:tc>
      <w:tc>
        <w:tcPr>
          <w:tcW w:w="3005" w:type="dxa"/>
        </w:tcPr>
        <w:p w14:paraId="1D5BD2E9" w14:textId="71907A9E" w:rsidR="5CAAD95B" w:rsidRDefault="5CAAD95B" w:rsidP="5CAAD95B">
          <w:pPr>
            <w:pStyle w:val="Header"/>
            <w:jc w:val="center"/>
          </w:pPr>
        </w:p>
      </w:tc>
      <w:tc>
        <w:tcPr>
          <w:tcW w:w="3005" w:type="dxa"/>
        </w:tcPr>
        <w:p w14:paraId="38C0EBE5" w14:textId="3A220917" w:rsidR="5CAAD95B" w:rsidRDefault="5CAAD95B" w:rsidP="5CAAD95B">
          <w:pPr>
            <w:pStyle w:val="Header"/>
            <w:ind w:right="-115"/>
            <w:jc w:val="right"/>
          </w:pPr>
        </w:p>
      </w:tc>
    </w:tr>
  </w:tbl>
  <w:p w14:paraId="55BA16FB" w14:textId="0B0F00E5" w:rsidR="5CAAD95B" w:rsidRDefault="5CAAD95B" w:rsidP="5CAAD9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780253667"/>
      <w:docPartObj>
        <w:docPartGallery w:val="Page Numbers (Bottom of Page)"/>
        <w:docPartUnique/>
      </w:docPartObj>
    </w:sdtPr>
    <w:sdtEndPr>
      <w:rPr>
        <w:noProof/>
      </w:rPr>
    </w:sdtEndPr>
    <w:sdtContent>
      <w:p w14:paraId="0FB89797" w14:textId="1DE4ACA4" w:rsidR="00C83CEA" w:rsidRDefault="00C83CEA">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0A894E2E" w14:textId="77777777" w:rsidR="00C83CEA" w:rsidRDefault="00C83CEA" w:rsidP="5CAAD95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598553055"/>
      <w:docPartObj>
        <w:docPartGallery w:val="Page Numbers (Bottom of Page)"/>
        <w:docPartUnique/>
      </w:docPartObj>
    </w:sdtPr>
    <w:sdtEndPr>
      <w:rPr>
        <w:noProof/>
      </w:rPr>
    </w:sdtEndPr>
    <w:sdtContent>
      <w:p w14:paraId="6D217125" w14:textId="7230ACA6" w:rsidR="00C83CEA" w:rsidRDefault="00C83CEA">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057EE163" w14:textId="77777777" w:rsidR="00C83CEA" w:rsidRDefault="00C83CEA" w:rsidP="5CAAD9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760C21" w14:textId="77777777" w:rsidR="004B6C98" w:rsidRDefault="004B6C98">
      <w:pPr>
        <w:spacing w:after="0" w:line="240" w:lineRule="auto"/>
      </w:pPr>
      <w:r>
        <w:separator/>
      </w:r>
    </w:p>
  </w:footnote>
  <w:footnote w:type="continuationSeparator" w:id="0">
    <w:p w14:paraId="1430A095" w14:textId="77777777" w:rsidR="004B6C98" w:rsidRDefault="004B6C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38497"/>
    <w:multiLevelType w:val="hybridMultilevel"/>
    <w:tmpl w:val="9650E990"/>
    <w:lvl w:ilvl="0" w:tplc="018823BC">
      <w:start w:val="1"/>
      <w:numFmt w:val="bullet"/>
      <w:lvlText w:val=""/>
      <w:lvlJc w:val="left"/>
      <w:pPr>
        <w:ind w:left="720" w:hanging="360"/>
      </w:pPr>
      <w:rPr>
        <w:rFonts w:ascii="Symbol" w:hAnsi="Symbol" w:hint="default"/>
      </w:rPr>
    </w:lvl>
    <w:lvl w:ilvl="1" w:tplc="70782F5E">
      <w:start w:val="1"/>
      <w:numFmt w:val="bullet"/>
      <w:lvlText w:val="o"/>
      <w:lvlJc w:val="left"/>
      <w:pPr>
        <w:ind w:left="1440" w:hanging="360"/>
      </w:pPr>
      <w:rPr>
        <w:rFonts w:ascii="Courier New" w:hAnsi="Courier New" w:hint="default"/>
      </w:rPr>
    </w:lvl>
    <w:lvl w:ilvl="2" w:tplc="779E80D6">
      <w:start w:val="1"/>
      <w:numFmt w:val="bullet"/>
      <w:lvlText w:val=""/>
      <w:lvlJc w:val="left"/>
      <w:pPr>
        <w:ind w:left="2160" w:hanging="360"/>
      </w:pPr>
      <w:rPr>
        <w:rFonts w:ascii="Wingdings" w:hAnsi="Wingdings" w:hint="default"/>
      </w:rPr>
    </w:lvl>
    <w:lvl w:ilvl="3" w:tplc="0C9AEFEC">
      <w:start w:val="1"/>
      <w:numFmt w:val="bullet"/>
      <w:lvlText w:val=""/>
      <w:lvlJc w:val="left"/>
      <w:pPr>
        <w:ind w:left="2880" w:hanging="360"/>
      </w:pPr>
      <w:rPr>
        <w:rFonts w:ascii="Symbol" w:hAnsi="Symbol" w:hint="default"/>
      </w:rPr>
    </w:lvl>
    <w:lvl w:ilvl="4" w:tplc="BA8AE6DC">
      <w:start w:val="1"/>
      <w:numFmt w:val="bullet"/>
      <w:lvlText w:val="o"/>
      <w:lvlJc w:val="left"/>
      <w:pPr>
        <w:ind w:left="3600" w:hanging="360"/>
      </w:pPr>
      <w:rPr>
        <w:rFonts w:ascii="Courier New" w:hAnsi="Courier New" w:hint="default"/>
      </w:rPr>
    </w:lvl>
    <w:lvl w:ilvl="5" w:tplc="1384F41A">
      <w:start w:val="1"/>
      <w:numFmt w:val="bullet"/>
      <w:lvlText w:val=""/>
      <w:lvlJc w:val="left"/>
      <w:pPr>
        <w:ind w:left="4320" w:hanging="360"/>
      </w:pPr>
      <w:rPr>
        <w:rFonts w:ascii="Wingdings" w:hAnsi="Wingdings" w:hint="default"/>
      </w:rPr>
    </w:lvl>
    <w:lvl w:ilvl="6" w:tplc="0A9A1E7C">
      <w:start w:val="1"/>
      <w:numFmt w:val="bullet"/>
      <w:lvlText w:val=""/>
      <w:lvlJc w:val="left"/>
      <w:pPr>
        <w:ind w:left="5040" w:hanging="360"/>
      </w:pPr>
      <w:rPr>
        <w:rFonts w:ascii="Symbol" w:hAnsi="Symbol" w:hint="default"/>
      </w:rPr>
    </w:lvl>
    <w:lvl w:ilvl="7" w:tplc="D4F42D10">
      <w:start w:val="1"/>
      <w:numFmt w:val="bullet"/>
      <w:lvlText w:val="o"/>
      <w:lvlJc w:val="left"/>
      <w:pPr>
        <w:ind w:left="5760" w:hanging="360"/>
      </w:pPr>
      <w:rPr>
        <w:rFonts w:ascii="Courier New" w:hAnsi="Courier New" w:hint="default"/>
      </w:rPr>
    </w:lvl>
    <w:lvl w:ilvl="8" w:tplc="0B20375C">
      <w:start w:val="1"/>
      <w:numFmt w:val="bullet"/>
      <w:lvlText w:val=""/>
      <w:lvlJc w:val="left"/>
      <w:pPr>
        <w:ind w:left="6480" w:hanging="360"/>
      </w:pPr>
      <w:rPr>
        <w:rFonts w:ascii="Wingdings" w:hAnsi="Wingdings" w:hint="default"/>
      </w:rPr>
    </w:lvl>
  </w:abstractNum>
  <w:abstractNum w:abstractNumId="1" w15:restartNumberingAfterBreak="0">
    <w:nsid w:val="02D5462B"/>
    <w:multiLevelType w:val="multilevel"/>
    <w:tmpl w:val="57F6F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53321"/>
    <w:multiLevelType w:val="multilevel"/>
    <w:tmpl w:val="810C1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B07814"/>
    <w:multiLevelType w:val="multilevel"/>
    <w:tmpl w:val="C24ED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CF241B"/>
    <w:multiLevelType w:val="multilevel"/>
    <w:tmpl w:val="B4466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CA42C1"/>
    <w:multiLevelType w:val="multilevel"/>
    <w:tmpl w:val="47CCB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4D1FA9"/>
    <w:multiLevelType w:val="multilevel"/>
    <w:tmpl w:val="AC3CF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107005"/>
    <w:multiLevelType w:val="multilevel"/>
    <w:tmpl w:val="95569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A75C2B"/>
    <w:multiLevelType w:val="multilevel"/>
    <w:tmpl w:val="5D12E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C184DB"/>
    <w:multiLevelType w:val="hybridMultilevel"/>
    <w:tmpl w:val="A5C0665E"/>
    <w:lvl w:ilvl="0" w:tplc="AEF8E8BA">
      <w:start w:val="1"/>
      <w:numFmt w:val="bullet"/>
      <w:lvlText w:val=""/>
      <w:lvlJc w:val="left"/>
      <w:pPr>
        <w:ind w:left="720" w:hanging="360"/>
      </w:pPr>
      <w:rPr>
        <w:rFonts w:ascii="Symbol" w:hAnsi="Symbol" w:hint="default"/>
      </w:rPr>
    </w:lvl>
    <w:lvl w:ilvl="1" w:tplc="B8CE5832">
      <w:start w:val="1"/>
      <w:numFmt w:val="bullet"/>
      <w:lvlText w:val="o"/>
      <w:lvlJc w:val="left"/>
      <w:pPr>
        <w:ind w:left="1440" w:hanging="360"/>
      </w:pPr>
      <w:rPr>
        <w:rFonts w:ascii="Courier New" w:hAnsi="Courier New" w:hint="default"/>
      </w:rPr>
    </w:lvl>
    <w:lvl w:ilvl="2" w:tplc="130AA542">
      <w:start w:val="1"/>
      <w:numFmt w:val="bullet"/>
      <w:lvlText w:val=""/>
      <w:lvlJc w:val="left"/>
      <w:pPr>
        <w:ind w:left="2160" w:hanging="360"/>
      </w:pPr>
      <w:rPr>
        <w:rFonts w:ascii="Wingdings" w:hAnsi="Wingdings" w:hint="default"/>
      </w:rPr>
    </w:lvl>
    <w:lvl w:ilvl="3" w:tplc="841C88B6">
      <w:start w:val="1"/>
      <w:numFmt w:val="bullet"/>
      <w:lvlText w:val=""/>
      <w:lvlJc w:val="left"/>
      <w:pPr>
        <w:ind w:left="2880" w:hanging="360"/>
      </w:pPr>
      <w:rPr>
        <w:rFonts w:ascii="Symbol" w:hAnsi="Symbol" w:hint="default"/>
      </w:rPr>
    </w:lvl>
    <w:lvl w:ilvl="4" w:tplc="26DE546C">
      <w:start w:val="1"/>
      <w:numFmt w:val="bullet"/>
      <w:lvlText w:val="o"/>
      <w:lvlJc w:val="left"/>
      <w:pPr>
        <w:ind w:left="3600" w:hanging="360"/>
      </w:pPr>
      <w:rPr>
        <w:rFonts w:ascii="Courier New" w:hAnsi="Courier New" w:hint="default"/>
      </w:rPr>
    </w:lvl>
    <w:lvl w:ilvl="5" w:tplc="36C20BB8">
      <w:start w:val="1"/>
      <w:numFmt w:val="bullet"/>
      <w:lvlText w:val=""/>
      <w:lvlJc w:val="left"/>
      <w:pPr>
        <w:ind w:left="4320" w:hanging="360"/>
      </w:pPr>
      <w:rPr>
        <w:rFonts w:ascii="Wingdings" w:hAnsi="Wingdings" w:hint="default"/>
      </w:rPr>
    </w:lvl>
    <w:lvl w:ilvl="6" w:tplc="17A2F996">
      <w:start w:val="1"/>
      <w:numFmt w:val="bullet"/>
      <w:lvlText w:val=""/>
      <w:lvlJc w:val="left"/>
      <w:pPr>
        <w:ind w:left="5040" w:hanging="360"/>
      </w:pPr>
      <w:rPr>
        <w:rFonts w:ascii="Symbol" w:hAnsi="Symbol" w:hint="default"/>
      </w:rPr>
    </w:lvl>
    <w:lvl w:ilvl="7" w:tplc="8B8CE28C">
      <w:start w:val="1"/>
      <w:numFmt w:val="bullet"/>
      <w:lvlText w:val="o"/>
      <w:lvlJc w:val="left"/>
      <w:pPr>
        <w:ind w:left="5760" w:hanging="360"/>
      </w:pPr>
      <w:rPr>
        <w:rFonts w:ascii="Courier New" w:hAnsi="Courier New" w:hint="default"/>
      </w:rPr>
    </w:lvl>
    <w:lvl w:ilvl="8" w:tplc="C68A4652">
      <w:start w:val="1"/>
      <w:numFmt w:val="bullet"/>
      <w:lvlText w:val=""/>
      <w:lvlJc w:val="left"/>
      <w:pPr>
        <w:ind w:left="6480" w:hanging="360"/>
      </w:pPr>
      <w:rPr>
        <w:rFonts w:ascii="Wingdings" w:hAnsi="Wingdings" w:hint="default"/>
      </w:rPr>
    </w:lvl>
  </w:abstractNum>
  <w:abstractNum w:abstractNumId="10" w15:restartNumberingAfterBreak="0">
    <w:nsid w:val="2B3D08D0"/>
    <w:multiLevelType w:val="multilevel"/>
    <w:tmpl w:val="A63CB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486233"/>
    <w:multiLevelType w:val="multilevel"/>
    <w:tmpl w:val="3984C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C034D9"/>
    <w:multiLevelType w:val="multilevel"/>
    <w:tmpl w:val="40800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9B7EF6"/>
    <w:multiLevelType w:val="multilevel"/>
    <w:tmpl w:val="E340C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20740D"/>
    <w:multiLevelType w:val="multilevel"/>
    <w:tmpl w:val="B44C3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BF2421"/>
    <w:multiLevelType w:val="multilevel"/>
    <w:tmpl w:val="9190B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1901CA"/>
    <w:multiLevelType w:val="multilevel"/>
    <w:tmpl w:val="87207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605E98"/>
    <w:multiLevelType w:val="multilevel"/>
    <w:tmpl w:val="92B24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6E71E9"/>
    <w:multiLevelType w:val="multilevel"/>
    <w:tmpl w:val="99F4A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0A88C0"/>
    <w:multiLevelType w:val="hybridMultilevel"/>
    <w:tmpl w:val="68286384"/>
    <w:lvl w:ilvl="0" w:tplc="42622222">
      <w:start w:val="1"/>
      <w:numFmt w:val="bullet"/>
      <w:lvlText w:val=""/>
      <w:lvlJc w:val="left"/>
      <w:pPr>
        <w:ind w:left="720" w:hanging="360"/>
      </w:pPr>
      <w:rPr>
        <w:rFonts w:ascii="Symbol" w:hAnsi="Symbol" w:hint="default"/>
      </w:rPr>
    </w:lvl>
    <w:lvl w:ilvl="1" w:tplc="F29E2820">
      <w:start w:val="1"/>
      <w:numFmt w:val="bullet"/>
      <w:lvlText w:val="o"/>
      <w:lvlJc w:val="left"/>
      <w:pPr>
        <w:ind w:left="1440" w:hanging="360"/>
      </w:pPr>
      <w:rPr>
        <w:rFonts w:ascii="Courier New" w:hAnsi="Courier New" w:hint="default"/>
      </w:rPr>
    </w:lvl>
    <w:lvl w:ilvl="2" w:tplc="991E8AF0">
      <w:start w:val="1"/>
      <w:numFmt w:val="bullet"/>
      <w:lvlText w:val=""/>
      <w:lvlJc w:val="left"/>
      <w:pPr>
        <w:ind w:left="2160" w:hanging="360"/>
      </w:pPr>
      <w:rPr>
        <w:rFonts w:ascii="Wingdings" w:hAnsi="Wingdings" w:hint="default"/>
      </w:rPr>
    </w:lvl>
    <w:lvl w:ilvl="3" w:tplc="977E4A5E">
      <w:start w:val="1"/>
      <w:numFmt w:val="bullet"/>
      <w:lvlText w:val=""/>
      <w:lvlJc w:val="left"/>
      <w:pPr>
        <w:ind w:left="2880" w:hanging="360"/>
      </w:pPr>
      <w:rPr>
        <w:rFonts w:ascii="Symbol" w:hAnsi="Symbol" w:hint="default"/>
      </w:rPr>
    </w:lvl>
    <w:lvl w:ilvl="4" w:tplc="6778FED0">
      <w:start w:val="1"/>
      <w:numFmt w:val="bullet"/>
      <w:lvlText w:val="o"/>
      <w:lvlJc w:val="left"/>
      <w:pPr>
        <w:ind w:left="3600" w:hanging="360"/>
      </w:pPr>
      <w:rPr>
        <w:rFonts w:ascii="Courier New" w:hAnsi="Courier New" w:hint="default"/>
      </w:rPr>
    </w:lvl>
    <w:lvl w:ilvl="5" w:tplc="2B4C858A">
      <w:start w:val="1"/>
      <w:numFmt w:val="bullet"/>
      <w:lvlText w:val=""/>
      <w:lvlJc w:val="left"/>
      <w:pPr>
        <w:ind w:left="4320" w:hanging="360"/>
      </w:pPr>
      <w:rPr>
        <w:rFonts w:ascii="Wingdings" w:hAnsi="Wingdings" w:hint="default"/>
      </w:rPr>
    </w:lvl>
    <w:lvl w:ilvl="6" w:tplc="75A808A0">
      <w:start w:val="1"/>
      <w:numFmt w:val="bullet"/>
      <w:lvlText w:val=""/>
      <w:lvlJc w:val="left"/>
      <w:pPr>
        <w:ind w:left="5040" w:hanging="360"/>
      </w:pPr>
      <w:rPr>
        <w:rFonts w:ascii="Symbol" w:hAnsi="Symbol" w:hint="default"/>
      </w:rPr>
    </w:lvl>
    <w:lvl w:ilvl="7" w:tplc="46FCAF84">
      <w:start w:val="1"/>
      <w:numFmt w:val="bullet"/>
      <w:lvlText w:val="o"/>
      <w:lvlJc w:val="left"/>
      <w:pPr>
        <w:ind w:left="5760" w:hanging="360"/>
      </w:pPr>
      <w:rPr>
        <w:rFonts w:ascii="Courier New" w:hAnsi="Courier New" w:hint="default"/>
      </w:rPr>
    </w:lvl>
    <w:lvl w:ilvl="8" w:tplc="E0C47304">
      <w:start w:val="1"/>
      <w:numFmt w:val="bullet"/>
      <w:lvlText w:val=""/>
      <w:lvlJc w:val="left"/>
      <w:pPr>
        <w:ind w:left="6480" w:hanging="360"/>
      </w:pPr>
      <w:rPr>
        <w:rFonts w:ascii="Wingdings" w:hAnsi="Wingdings" w:hint="default"/>
      </w:rPr>
    </w:lvl>
  </w:abstractNum>
  <w:abstractNum w:abstractNumId="20" w15:restartNumberingAfterBreak="0">
    <w:nsid w:val="4A403C5A"/>
    <w:multiLevelType w:val="multilevel"/>
    <w:tmpl w:val="F8883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3B53B2"/>
    <w:multiLevelType w:val="multilevel"/>
    <w:tmpl w:val="12384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672996"/>
    <w:multiLevelType w:val="multilevel"/>
    <w:tmpl w:val="35B48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E87AB5"/>
    <w:multiLevelType w:val="multilevel"/>
    <w:tmpl w:val="750A7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0A00EA"/>
    <w:multiLevelType w:val="multilevel"/>
    <w:tmpl w:val="8EB42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64E1ED"/>
    <w:multiLevelType w:val="hybridMultilevel"/>
    <w:tmpl w:val="9B7ECA26"/>
    <w:lvl w:ilvl="0" w:tplc="8C0E96C2">
      <w:start w:val="1"/>
      <w:numFmt w:val="bullet"/>
      <w:lvlText w:val=""/>
      <w:lvlJc w:val="left"/>
      <w:pPr>
        <w:ind w:left="720" w:hanging="360"/>
      </w:pPr>
      <w:rPr>
        <w:rFonts w:ascii="Symbol" w:hAnsi="Symbol" w:hint="default"/>
      </w:rPr>
    </w:lvl>
    <w:lvl w:ilvl="1" w:tplc="2B826C2A">
      <w:start w:val="1"/>
      <w:numFmt w:val="bullet"/>
      <w:lvlText w:val="o"/>
      <w:lvlJc w:val="left"/>
      <w:pPr>
        <w:ind w:left="1440" w:hanging="360"/>
      </w:pPr>
      <w:rPr>
        <w:rFonts w:ascii="Courier New" w:hAnsi="Courier New" w:hint="default"/>
      </w:rPr>
    </w:lvl>
    <w:lvl w:ilvl="2" w:tplc="F536CC26">
      <w:start w:val="1"/>
      <w:numFmt w:val="bullet"/>
      <w:lvlText w:val=""/>
      <w:lvlJc w:val="left"/>
      <w:pPr>
        <w:ind w:left="2160" w:hanging="360"/>
      </w:pPr>
      <w:rPr>
        <w:rFonts w:ascii="Wingdings" w:hAnsi="Wingdings" w:hint="default"/>
      </w:rPr>
    </w:lvl>
    <w:lvl w:ilvl="3" w:tplc="65C4AA90">
      <w:start w:val="1"/>
      <w:numFmt w:val="bullet"/>
      <w:lvlText w:val=""/>
      <w:lvlJc w:val="left"/>
      <w:pPr>
        <w:ind w:left="2880" w:hanging="360"/>
      </w:pPr>
      <w:rPr>
        <w:rFonts w:ascii="Symbol" w:hAnsi="Symbol" w:hint="default"/>
      </w:rPr>
    </w:lvl>
    <w:lvl w:ilvl="4" w:tplc="C9068EB6">
      <w:start w:val="1"/>
      <w:numFmt w:val="bullet"/>
      <w:lvlText w:val="o"/>
      <w:lvlJc w:val="left"/>
      <w:pPr>
        <w:ind w:left="3600" w:hanging="360"/>
      </w:pPr>
      <w:rPr>
        <w:rFonts w:ascii="Courier New" w:hAnsi="Courier New" w:hint="default"/>
      </w:rPr>
    </w:lvl>
    <w:lvl w:ilvl="5" w:tplc="55B0AD04">
      <w:start w:val="1"/>
      <w:numFmt w:val="bullet"/>
      <w:lvlText w:val=""/>
      <w:lvlJc w:val="left"/>
      <w:pPr>
        <w:ind w:left="4320" w:hanging="360"/>
      </w:pPr>
      <w:rPr>
        <w:rFonts w:ascii="Wingdings" w:hAnsi="Wingdings" w:hint="default"/>
      </w:rPr>
    </w:lvl>
    <w:lvl w:ilvl="6" w:tplc="180600AC">
      <w:start w:val="1"/>
      <w:numFmt w:val="bullet"/>
      <w:lvlText w:val=""/>
      <w:lvlJc w:val="left"/>
      <w:pPr>
        <w:ind w:left="5040" w:hanging="360"/>
      </w:pPr>
      <w:rPr>
        <w:rFonts w:ascii="Symbol" w:hAnsi="Symbol" w:hint="default"/>
      </w:rPr>
    </w:lvl>
    <w:lvl w:ilvl="7" w:tplc="2B9EAE90">
      <w:start w:val="1"/>
      <w:numFmt w:val="bullet"/>
      <w:lvlText w:val="o"/>
      <w:lvlJc w:val="left"/>
      <w:pPr>
        <w:ind w:left="5760" w:hanging="360"/>
      </w:pPr>
      <w:rPr>
        <w:rFonts w:ascii="Courier New" w:hAnsi="Courier New" w:hint="default"/>
      </w:rPr>
    </w:lvl>
    <w:lvl w:ilvl="8" w:tplc="6A4412F0">
      <w:start w:val="1"/>
      <w:numFmt w:val="bullet"/>
      <w:lvlText w:val=""/>
      <w:lvlJc w:val="left"/>
      <w:pPr>
        <w:ind w:left="6480" w:hanging="360"/>
      </w:pPr>
      <w:rPr>
        <w:rFonts w:ascii="Wingdings" w:hAnsi="Wingdings" w:hint="default"/>
      </w:rPr>
    </w:lvl>
  </w:abstractNum>
  <w:abstractNum w:abstractNumId="26" w15:restartNumberingAfterBreak="0">
    <w:nsid w:val="68F27574"/>
    <w:multiLevelType w:val="hybridMultilevel"/>
    <w:tmpl w:val="39DE7C9C"/>
    <w:lvl w:ilvl="0" w:tplc="E69EC764">
      <w:start w:val="1"/>
      <w:numFmt w:val="bullet"/>
      <w:lvlText w:val=""/>
      <w:lvlJc w:val="left"/>
      <w:pPr>
        <w:ind w:left="720" w:hanging="360"/>
      </w:pPr>
      <w:rPr>
        <w:rFonts w:ascii="Symbol" w:hAnsi="Symbol" w:hint="default"/>
      </w:rPr>
    </w:lvl>
    <w:lvl w:ilvl="1" w:tplc="FB08FD4C">
      <w:start w:val="1"/>
      <w:numFmt w:val="bullet"/>
      <w:lvlText w:val="o"/>
      <w:lvlJc w:val="left"/>
      <w:pPr>
        <w:ind w:left="1440" w:hanging="360"/>
      </w:pPr>
      <w:rPr>
        <w:rFonts w:ascii="Courier New" w:hAnsi="Courier New" w:hint="default"/>
      </w:rPr>
    </w:lvl>
    <w:lvl w:ilvl="2" w:tplc="F65CB27C">
      <w:start w:val="1"/>
      <w:numFmt w:val="bullet"/>
      <w:lvlText w:val=""/>
      <w:lvlJc w:val="left"/>
      <w:pPr>
        <w:ind w:left="2160" w:hanging="360"/>
      </w:pPr>
      <w:rPr>
        <w:rFonts w:ascii="Wingdings" w:hAnsi="Wingdings" w:hint="default"/>
      </w:rPr>
    </w:lvl>
    <w:lvl w:ilvl="3" w:tplc="D85A8580">
      <w:start w:val="1"/>
      <w:numFmt w:val="bullet"/>
      <w:lvlText w:val=""/>
      <w:lvlJc w:val="left"/>
      <w:pPr>
        <w:ind w:left="2880" w:hanging="360"/>
      </w:pPr>
      <w:rPr>
        <w:rFonts w:ascii="Symbol" w:hAnsi="Symbol" w:hint="default"/>
      </w:rPr>
    </w:lvl>
    <w:lvl w:ilvl="4" w:tplc="1FC40216">
      <w:start w:val="1"/>
      <w:numFmt w:val="bullet"/>
      <w:lvlText w:val="o"/>
      <w:lvlJc w:val="left"/>
      <w:pPr>
        <w:ind w:left="3600" w:hanging="360"/>
      </w:pPr>
      <w:rPr>
        <w:rFonts w:ascii="Courier New" w:hAnsi="Courier New" w:hint="default"/>
      </w:rPr>
    </w:lvl>
    <w:lvl w:ilvl="5" w:tplc="45809488">
      <w:start w:val="1"/>
      <w:numFmt w:val="bullet"/>
      <w:lvlText w:val=""/>
      <w:lvlJc w:val="left"/>
      <w:pPr>
        <w:ind w:left="4320" w:hanging="360"/>
      </w:pPr>
      <w:rPr>
        <w:rFonts w:ascii="Wingdings" w:hAnsi="Wingdings" w:hint="default"/>
      </w:rPr>
    </w:lvl>
    <w:lvl w:ilvl="6" w:tplc="D3D890BE">
      <w:start w:val="1"/>
      <w:numFmt w:val="bullet"/>
      <w:lvlText w:val=""/>
      <w:lvlJc w:val="left"/>
      <w:pPr>
        <w:ind w:left="5040" w:hanging="360"/>
      </w:pPr>
      <w:rPr>
        <w:rFonts w:ascii="Symbol" w:hAnsi="Symbol" w:hint="default"/>
      </w:rPr>
    </w:lvl>
    <w:lvl w:ilvl="7" w:tplc="4C1E8712">
      <w:start w:val="1"/>
      <w:numFmt w:val="bullet"/>
      <w:lvlText w:val="o"/>
      <w:lvlJc w:val="left"/>
      <w:pPr>
        <w:ind w:left="5760" w:hanging="360"/>
      </w:pPr>
      <w:rPr>
        <w:rFonts w:ascii="Courier New" w:hAnsi="Courier New" w:hint="default"/>
      </w:rPr>
    </w:lvl>
    <w:lvl w:ilvl="8" w:tplc="63D8CCCA">
      <w:start w:val="1"/>
      <w:numFmt w:val="bullet"/>
      <w:lvlText w:val=""/>
      <w:lvlJc w:val="left"/>
      <w:pPr>
        <w:ind w:left="6480" w:hanging="360"/>
      </w:pPr>
      <w:rPr>
        <w:rFonts w:ascii="Wingdings" w:hAnsi="Wingdings" w:hint="default"/>
      </w:rPr>
    </w:lvl>
  </w:abstractNum>
  <w:abstractNum w:abstractNumId="27" w15:restartNumberingAfterBreak="0">
    <w:nsid w:val="73815C11"/>
    <w:multiLevelType w:val="multilevel"/>
    <w:tmpl w:val="69F8C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09ED7C"/>
    <w:multiLevelType w:val="hybridMultilevel"/>
    <w:tmpl w:val="2A0C712E"/>
    <w:lvl w:ilvl="0" w:tplc="81C60B20">
      <w:start w:val="1"/>
      <w:numFmt w:val="decimal"/>
      <w:lvlText w:val="%1."/>
      <w:lvlJc w:val="left"/>
      <w:pPr>
        <w:ind w:left="720" w:hanging="360"/>
      </w:pPr>
    </w:lvl>
    <w:lvl w:ilvl="1" w:tplc="35A8EF22">
      <w:start w:val="1"/>
      <w:numFmt w:val="lowerLetter"/>
      <w:lvlText w:val="%2."/>
      <w:lvlJc w:val="left"/>
      <w:pPr>
        <w:ind w:left="1440" w:hanging="360"/>
      </w:pPr>
    </w:lvl>
    <w:lvl w:ilvl="2" w:tplc="A2840A44">
      <w:start w:val="1"/>
      <w:numFmt w:val="lowerRoman"/>
      <w:lvlText w:val="%3."/>
      <w:lvlJc w:val="right"/>
      <w:pPr>
        <w:ind w:left="2160" w:hanging="180"/>
      </w:pPr>
    </w:lvl>
    <w:lvl w:ilvl="3" w:tplc="15908690">
      <w:start w:val="1"/>
      <w:numFmt w:val="decimal"/>
      <w:lvlText w:val="%4."/>
      <w:lvlJc w:val="left"/>
      <w:pPr>
        <w:ind w:left="2880" w:hanging="360"/>
      </w:pPr>
    </w:lvl>
    <w:lvl w:ilvl="4" w:tplc="CB02C206">
      <w:start w:val="1"/>
      <w:numFmt w:val="lowerLetter"/>
      <w:lvlText w:val="%5."/>
      <w:lvlJc w:val="left"/>
      <w:pPr>
        <w:ind w:left="3600" w:hanging="360"/>
      </w:pPr>
    </w:lvl>
    <w:lvl w:ilvl="5" w:tplc="D9E607BA">
      <w:start w:val="1"/>
      <w:numFmt w:val="lowerRoman"/>
      <w:lvlText w:val="%6."/>
      <w:lvlJc w:val="right"/>
      <w:pPr>
        <w:ind w:left="4320" w:hanging="180"/>
      </w:pPr>
    </w:lvl>
    <w:lvl w:ilvl="6" w:tplc="B43874FA">
      <w:start w:val="1"/>
      <w:numFmt w:val="decimal"/>
      <w:lvlText w:val="%7."/>
      <w:lvlJc w:val="left"/>
      <w:pPr>
        <w:ind w:left="5040" w:hanging="360"/>
      </w:pPr>
    </w:lvl>
    <w:lvl w:ilvl="7" w:tplc="31481B72">
      <w:start w:val="1"/>
      <w:numFmt w:val="lowerLetter"/>
      <w:lvlText w:val="%8."/>
      <w:lvlJc w:val="left"/>
      <w:pPr>
        <w:ind w:left="5760" w:hanging="360"/>
      </w:pPr>
    </w:lvl>
    <w:lvl w:ilvl="8" w:tplc="61AEEFDA">
      <w:start w:val="1"/>
      <w:numFmt w:val="lowerRoman"/>
      <w:lvlText w:val="%9."/>
      <w:lvlJc w:val="right"/>
      <w:pPr>
        <w:ind w:left="6480" w:hanging="180"/>
      </w:pPr>
    </w:lvl>
  </w:abstractNum>
  <w:abstractNum w:abstractNumId="29" w15:restartNumberingAfterBreak="0">
    <w:nsid w:val="74F63BA3"/>
    <w:multiLevelType w:val="hybridMultilevel"/>
    <w:tmpl w:val="D81C5AD6"/>
    <w:lvl w:ilvl="0" w:tplc="5F0A6C4C">
      <w:start w:val="1"/>
      <w:numFmt w:val="bullet"/>
      <w:lvlText w:val=""/>
      <w:lvlJc w:val="left"/>
      <w:pPr>
        <w:ind w:left="720" w:hanging="360"/>
      </w:pPr>
      <w:rPr>
        <w:rFonts w:ascii="Symbol" w:hAnsi="Symbol" w:hint="default"/>
      </w:rPr>
    </w:lvl>
    <w:lvl w:ilvl="1" w:tplc="19A6495C">
      <w:start w:val="1"/>
      <w:numFmt w:val="bullet"/>
      <w:lvlText w:val="o"/>
      <w:lvlJc w:val="left"/>
      <w:pPr>
        <w:ind w:left="1440" w:hanging="360"/>
      </w:pPr>
      <w:rPr>
        <w:rFonts w:ascii="Courier New" w:hAnsi="Courier New" w:hint="default"/>
      </w:rPr>
    </w:lvl>
    <w:lvl w:ilvl="2" w:tplc="B8F8B252">
      <w:start w:val="1"/>
      <w:numFmt w:val="bullet"/>
      <w:lvlText w:val=""/>
      <w:lvlJc w:val="left"/>
      <w:pPr>
        <w:ind w:left="2160" w:hanging="360"/>
      </w:pPr>
      <w:rPr>
        <w:rFonts w:ascii="Wingdings" w:hAnsi="Wingdings" w:hint="default"/>
      </w:rPr>
    </w:lvl>
    <w:lvl w:ilvl="3" w:tplc="774CFA20">
      <w:start w:val="1"/>
      <w:numFmt w:val="bullet"/>
      <w:lvlText w:val=""/>
      <w:lvlJc w:val="left"/>
      <w:pPr>
        <w:ind w:left="2880" w:hanging="360"/>
      </w:pPr>
      <w:rPr>
        <w:rFonts w:ascii="Symbol" w:hAnsi="Symbol" w:hint="default"/>
      </w:rPr>
    </w:lvl>
    <w:lvl w:ilvl="4" w:tplc="28D86BB2">
      <w:start w:val="1"/>
      <w:numFmt w:val="bullet"/>
      <w:lvlText w:val="o"/>
      <w:lvlJc w:val="left"/>
      <w:pPr>
        <w:ind w:left="3600" w:hanging="360"/>
      </w:pPr>
      <w:rPr>
        <w:rFonts w:ascii="Courier New" w:hAnsi="Courier New" w:hint="default"/>
      </w:rPr>
    </w:lvl>
    <w:lvl w:ilvl="5" w:tplc="2A6AB126">
      <w:start w:val="1"/>
      <w:numFmt w:val="bullet"/>
      <w:lvlText w:val=""/>
      <w:lvlJc w:val="left"/>
      <w:pPr>
        <w:ind w:left="4320" w:hanging="360"/>
      </w:pPr>
      <w:rPr>
        <w:rFonts w:ascii="Wingdings" w:hAnsi="Wingdings" w:hint="default"/>
      </w:rPr>
    </w:lvl>
    <w:lvl w:ilvl="6" w:tplc="9B3A7FE4">
      <w:start w:val="1"/>
      <w:numFmt w:val="bullet"/>
      <w:lvlText w:val=""/>
      <w:lvlJc w:val="left"/>
      <w:pPr>
        <w:ind w:left="5040" w:hanging="360"/>
      </w:pPr>
      <w:rPr>
        <w:rFonts w:ascii="Symbol" w:hAnsi="Symbol" w:hint="default"/>
      </w:rPr>
    </w:lvl>
    <w:lvl w:ilvl="7" w:tplc="BB122E60">
      <w:start w:val="1"/>
      <w:numFmt w:val="bullet"/>
      <w:lvlText w:val="o"/>
      <w:lvlJc w:val="left"/>
      <w:pPr>
        <w:ind w:left="5760" w:hanging="360"/>
      </w:pPr>
      <w:rPr>
        <w:rFonts w:ascii="Courier New" w:hAnsi="Courier New" w:hint="default"/>
      </w:rPr>
    </w:lvl>
    <w:lvl w:ilvl="8" w:tplc="726627C2">
      <w:start w:val="1"/>
      <w:numFmt w:val="bullet"/>
      <w:lvlText w:val=""/>
      <w:lvlJc w:val="left"/>
      <w:pPr>
        <w:ind w:left="6480" w:hanging="360"/>
      </w:pPr>
      <w:rPr>
        <w:rFonts w:ascii="Wingdings" w:hAnsi="Wingdings" w:hint="default"/>
      </w:rPr>
    </w:lvl>
  </w:abstractNum>
  <w:abstractNum w:abstractNumId="30" w15:restartNumberingAfterBreak="0">
    <w:nsid w:val="78AD508F"/>
    <w:multiLevelType w:val="multilevel"/>
    <w:tmpl w:val="73AE7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B3020F"/>
    <w:multiLevelType w:val="hybridMultilevel"/>
    <w:tmpl w:val="395846EC"/>
    <w:lvl w:ilvl="0" w:tplc="1D4C349E">
      <w:start w:val="6"/>
      <w:numFmt w:val="decimal"/>
      <w:lvlText w:val="%1."/>
      <w:lvlJc w:val="left"/>
      <w:pPr>
        <w:ind w:left="720" w:hanging="360"/>
      </w:pPr>
    </w:lvl>
    <w:lvl w:ilvl="1" w:tplc="D7B8451E">
      <w:start w:val="1"/>
      <w:numFmt w:val="lowerLetter"/>
      <w:lvlText w:val="%2."/>
      <w:lvlJc w:val="left"/>
      <w:pPr>
        <w:ind w:left="1440" w:hanging="360"/>
      </w:pPr>
    </w:lvl>
    <w:lvl w:ilvl="2" w:tplc="09F0B7B8">
      <w:start w:val="1"/>
      <w:numFmt w:val="lowerRoman"/>
      <w:lvlText w:val="%3."/>
      <w:lvlJc w:val="right"/>
      <w:pPr>
        <w:ind w:left="2160" w:hanging="180"/>
      </w:pPr>
    </w:lvl>
    <w:lvl w:ilvl="3" w:tplc="942A7FE2">
      <w:start w:val="1"/>
      <w:numFmt w:val="decimal"/>
      <w:lvlText w:val="%4."/>
      <w:lvlJc w:val="left"/>
      <w:pPr>
        <w:ind w:left="2880" w:hanging="360"/>
      </w:pPr>
    </w:lvl>
    <w:lvl w:ilvl="4" w:tplc="72C42322">
      <w:start w:val="1"/>
      <w:numFmt w:val="lowerLetter"/>
      <w:lvlText w:val="%5."/>
      <w:lvlJc w:val="left"/>
      <w:pPr>
        <w:ind w:left="3600" w:hanging="360"/>
      </w:pPr>
    </w:lvl>
    <w:lvl w:ilvl="5" w:tplc="3112E30E">
      <w:start w:val="1"/>
      <w:numFmt w:val="lowerRoman"/>
      <w:lvlText w:val="%6."/>
      <w:lvlJc w:val="right"/>
      <w:pPr>
        <w:ind w:left="4320" w:hanging="180"/>
      </w:pPr>
    </w:lvl>
    <w:lvl w:ilvl="6" w:tplc="54D29788">
      <w:start w:val="1"/>
      <w:numFmt w:val="decimal"/>
      <w:lvlText w:val="%7."/>
      <w:lvlJc w:val="left"/>
      <w:pPr>
        <w:ind w:left="5040" w:hanging="360"/>
      </w:pPr>
    </w:lvl>
    <w:lvl w:ilvl="7" w:tplc="C63A5AF8">
      <w:start w:val="1"/>
      <w:numFmt w:val="lowerLetter"/>
      <w:lvlText w:val="%8."/>
      <w:lvlJc w:val="left"/>
      <w:pPr>
        <w:ind w:left="5760" w:hanging="360"/>
      </w:pPr>
    </w:lvl>
    <w:lvl w:ilvl="8" w:tplc="6F30EA7E">
      <w:start w:val="1"/>
      <w:numFmt w:val="lowerRoman"/>
      <w:lvlText w:val="%9."/>
      <w:lvlJc w:val="right"/>
      <w:pPr>
        <w:ind w:left="6480" w:hanging="180"/>
      </w:pPr>
    </w:lvl>
  </w:abstractNum>
  <w:num w:numId="1" w16cid:durableId="392897742">
    <w:abstractNumId w:val="28"/>
  </w:num>
  <w:num w:numId="2" w16cid:durableId="244194632">
    <w:abstractNumId w:val="31"/>
  </w:num>
  <w:num w:numId="3" w16cid:durableId="812022241">
    <w:abstractNumId w:val="29"/>
  </w:num>
  <w:num w:numId="4" w16cid:durableId="428041792">
    <w:abstractNumId w:val="0"/>
  </w:num>
  <w:num w:numId="5" w16cid:durableId="440078670">
    <w:abstractNumId w:val="9"/>
  </w:num>
  <w:num w:numId="6" w16cid:durableId="627854824">
    <w:abstractNumId w:val="25"/>
  </w:num>
  <w:num w:numId="7" w16cid:durableId="1610623432">
    <w:abstractNumId w:val="26"/>
  </w:num>
  <w:num w:numId="8" w16cid:durableId="339545227">
    <w:abstractNumId w:val="19"/>
  </w:num>
  <w:num w:numId="9" w16cid:durableId="1092511578">
    <w:abstractNumId w:val="17"/>
  </w:num>
  <w:num w:numId="10" w16cid:durableId="1841041208">
    <w:abstractNumId w:val="16"/>
  </w:num>
  <w:num w:numId="11" w16cid:durableId="592592571">
    <w:abstractNumId w:val="6"/>
  </w:num>
  <w:num w:numId="12" w16cid:durableId="628170831">
    <w:abstractNumId w:val="21"/>
  </w:num>
  <w:num w:numId="13" w16cid:durableId="1679498070">
    <w:abstractNumId w:val="10"/>
  </w:num>
  <w:num w:numId="14" w16cid:durableId="758251688">
    <w:abstractNumId w:val="27"/>
  </w:num>
  <w:num w:numId="15" w16cid:durableId="233130913">
    <w:abstractNumId w:val="22"/>
  </w:num>
  <w:num w:numId="16" w16cid:durableId="61023160">
    <w:abstractNumId w:val="5"/>
  </w:num>
  <w:num w:numId="17" w16cid:durableId="432552407">
    <w:abstractNumId w:val="4"/>
  </w:num>
  <w:num w:numId="18" w16cid:durableId="802818560">
    <w:abstractNumId w:val="15"/>
  </w:num>
  <w:num w:numId="19" w16cid:durableId="765350334">
    <w:abstractNumId w:val="2"/>
  </w:num>
  <w:num w:numId="20" w16cid:durableId="2027826329">
    <w:abstractNumId w:val="14"/>
  </w:num>
  <w:num w:numId="21" w16cid:durableId="1874150017">
    <w:abstractNumId w:val="30"/>
  </w:num>
  <w:num w:numId="22" w16cid:durableId="87577799">
    <w:abstractNumId w:val="7"/>
  </w:num>
  <w:num w:numId="23" w16cid:durableId="1410156058">
    <w:abstractNumId w:val="12"/>
  </w:num>
  <w:num w:numId="24" w16cid:durableId="722607294">
    <w:abstractNumId w:val="8"/>
  </w:num>
  <w:num w:numId="25" w16cid:durableId="1325626750">
    <w:abstractNumId w:val="23"/>
  </w:num>
  <w:num w:numId="26" w16cid:durableId="1522207601">
    <w:abstractNumId w:val="11"/>
  </w:num>
  <w:num w:numId="27" w16cid:durableId="1669749714">
    <w:abstractNumId w:val="3"/>
  </w:num>
  <w:num w:numId="28" w16cid:durableId="2020154079">
    <w:abstractNumId w:val="24"/>
  </w:num>
  <w:num w:numId="29" w16cid:durableId="1238706866">
    <w:abstractNumId w:val="1"/>
  </w:num>
  <w:num w:numId="30" w16cid:durableId="1025794292">
    <w:abstractNumId w:val="20"/>
  </w:num>
  <w:num w:numId="31" w16cid:durableId="927079459">
    <w:abstractNumId w:val="18"/>
  </w:num>
  <w:num w:numId="32" w16cid:durableId="18943411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7DE"/>
    <w:rsid w:val="00031C1B"/>
    <w:rsid w:val="001141AB"/>
    <w:rsid w:val="002275A3"/>
    <w:rsid w:val="0045638C"/>
    <w:rsid w:val="004B6C98"/>
    <w:rsid w:val="004CF870"/>
    <w:rsid w:val="005007DE"/>
    <w:rsid w:val="005F7A17"/>
    <w:rsid w:val="006B01C2"/>
    <w:rsid w:val="006E7942"/>
    <w:rsid w:val="007604E3"/>
    <w:rsid w:val="007B335F"/>
    <w:rsid w:val="008349DB"/>
    <w:rsid w:val="00887F22"/>
    <w:rsid w:val="008D1E99"/>
    <w:rsid w:val="00A955EC"/>
    <w:rsid w:val="00B21578"/>
    <w:rsid w:val="00C83CEA"/>
    <w:rsid w:val="00D38097"/>
    <w:rsid w:val="00D91C68"/>
    <w:rsid w:val="00E16342"/>
    <w:rsid w:val="00E27655"/>
    <w:rsid w:val="00FB00B6"/>
    <w:rsid w:val="01A19939"/>
    <w:rsid w:val="0236754E"/>
    <w:rsid w:val="06FAE705"/>
    <w:rsid w:val="07D451D5"/>
    <w:rsid w:val="08D6833B"/>
    <w:rsid w:val="09134A60"/>
    <w:rsid w:val="091FB7E0"/>
    <w:rsid w:val="093AF9A5"/>
    <w:rsid w:val="0A7F4919"/>
    <w:rsid w:val="0B8E76F1"/>
    <w:rsid w:val="0C75D1C5"/>
    <w:rsid w:val="0CBBC651"/>
    <w:rsid w:val="0CE0BB16"/>
    <w:rsid w:val="0F1CF590"/>
    <w:rsid w:val="0F37D55B"/>
    <w:rsid w:val="0FA92E81"/>
    <w:rsid w:val="10A88511"/>
    <w:rsid w:val="10A98CB4"/>
    <w:rsid w:val="110B1D96"/>
    <w:rsid w:val="12E7DA01"/>
    <w:rsid w:val="1460205B"/>
    <w:rsid w:val="14AA1BF5"/>
    <w:rsid w:val="14BEDD4A"/>
    <w:rsid w:val="1632C2F9"/>
    <w:rsid w:val="19F1C493"/>
    <w:rsid w:val="1A53F9A7"/>
    <w:rsid w:val="1A9D1172"/>
    <w:rsid w:val="1ACC21CC"/>
    <w:rsid w:val="1BE8513F"/>
    <w:rsid w:val="21065C86"/>
    <w:rsid w:val="21A31072"/>
    <w:rsid w:val="229024FE"/>
    <w:rsid w:val="233E73EC"/>
    <w:rsid w:val="2556973F"/>
    <w:rsid w:val="26052C0D"/>
    <w:rsid w:val="26FBC662"/>
    <w:rsid w:val="271A9774"/>
    <w:rsid w:val="27E958B4"/>
    <w:rsid w:val="27F44333"/>
    <w:rsid w:val="282756C1"/>
    <w:rsid w:val="29FB3654"/>
    <w:rsid w:val="2A1268CF"/>
    <w:rsid w:val="2B393496"/>
    <w:rsid w:val="2C78C1D1"/>
    <w:rsid w:val="2C7A713B"/>
    <w:rsid w:val="2CB2B867"/>
    <w:rsid w:val="30B6E02E"/>
    <w:rsid w:val="31891FB3"/>
    <w:rsid w:val="34785CD4"/>
    <w:rsid w:val="3498C841"/>
    <w:rsid w:val="34B56C7A"/>
    <w:rsid w:val="35032946"/>
    <w:rsid w:val="35397187"/>
    <w:rsid w:val="354A40B3"/>
    <w:rsid w:val="36A3A711"/>
    <w:rsid w:val="36E02A0B"/>
    <w:rsid w:val="3801377B"/>
    <w:rsid w:val="38871EE0"/>
    <w:rsid w:val="3C43CC9B"/>
    <w:rsid w:val="3D59A1DB"/>
    <w:rsid w:val="3E347BEF"/>
    <w:rsid w:val="3F11BAB3"/>
    <w:rsid w:val="3F476479"/>
    <w:rsid w:val="3F5EE71B"/>
    <w:rsid w:val="434FA0C4"/>
    <w:rsid w:val="44578A29"/>
    <w:rsid w:val="455FB52D"/>
    <w:rsid w:val="46434416"/>
    <w:rsid w:val="47241A07"/>
    <w:rsid w:val="4847530E"/>
    <w:rsid w:val="4889A238"/>
    <w:rsid w:val="488FF43B"/>
    <w:rsid w:val="4B3E9217"/>
    <w:rsid w:val="4C88E8C2"/>
    <w:rsid w:val="4DF40435"/>
    <w:rsid w:val="4E31EA99"/>
    <w:rsid w:val="4E85F556"/>
    <w:rsid w:val="4EFB3977"/>
    <w:rsid w:val="524377CE"/>
    <w:rsid w:val="525C41A5"/>
    <w:rsid w:val="5310AC78"/>
    <w:rsid w:val="5565C4CE"/>
    <w:rsid w:val="558390A6"/>
    <w:rsid w:val="55E35E1E"/>
    <w:rsid w:val="56422C62"/>
    <w:rsid w:val="56559CEE"/>
    <w:rsid w:val="57126536"/>
    <w:rsid w:val="58C4AF16"/>
    <w:rsid w:val="59A27DE9"/>
    <w:rsid w:val="5A80ABC0"/>
    <w:rsid w:val="5A9C5117"/>
    <w:rsid w:val="5BC91A55"/>
    <w:rsid w:val="5CAAD95B"/>
    <w:rsid w:val="5D18F9BA"/>
    <w:rsid w:val="5DDB42F7"/>
    <w:rsid w:val="5EB80369"/>
    <w:rsid w:val="5FD796B4"/>
    <w:rsid w:val="601BCA8F"/>
    <w:rsid w:val="60747FD3"/>
    <w:rsid w:val="60D0669D"/>
    <w:rsid w:val="6275D5FF"/>
    <w:rsid w:val="643F583C"/>
    <w:rsid w:val="64423825"/>
    <w:rsid w:val="64C2A726"/>
    <w:rsid w:val="65774D4F"/>
    <w:rsid w:val="65E0E01F"/>
    <w:rsid w:val="660A2C06"/>
    <w:rsid w:val="68C82CA4"/>
    <w:rsid w:val="6A6A60BE"/>
    <w:rsid w:val="6BCF7148"/>
    <w:rsid w:val="6E55C495"/>
    <w:rsid w:val="6FBE6718"/>
    <w:rsid w:val="71F19ADF"/>
    <w:rsid w:val="7253908C"/>
    <w:rsid w:val="726C4023"/>
    <w:rsid w:val="72B849E5"/>
    <w:rsid w:val="7345FF68"/>
    <w:rsid w:val="73B26FBE"/>
    <w:rsid w:val="74C41CF4"/>
    <w:rsid w:val="74F61779"/>
    <w:rsid w:val="754E654B"/>
    <w:rsid w:val="76DAFA02"/>
    <w:rsid w:val="78A15735"/>
    <w:rsid w:val="7A5692AF"/>
    <w:rsid w:val="7A580734"/>
    <w:rsid w:val="7B6569AA"/>
    <w:rsid w:val="7BAA717A"/>
    <w:rsid w:val="7BB53456"/>
    <w:rsid w:val="7BCC1A2D"/>
    <w:rsid w:val="7DD131C2"/>
    <w:rsid w:val="7E38E8C2"/>
    <w:rsid w:val="7E561F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06F134"/>
  <w15:chartTrackingRefBased/>
  <w15:docId w15:val="{6416DC75-1935-43A0-BD6B-58684EB0D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5007DE"/>
    <w:pPr>
      <w:keepNext/>
      <w:keepLines/>
      <w:spacing w:before="360" w:after="80"/>
      <w:outlineLvl w:val="0"/>
    </w:pPr>
    <w:rPr>
      <w:rFonts w:ascii="Arial" w:eastAsiaTheme="majorEastAsia" w:hAnsi="Arial" w:cstheme="majorBidi"/>
      <w:b/>
      <w:color w:val="000000" w:themeColor="text1"/>
      <w:sz w:val="36"/>
      <w:szCs w:val="40"/>
    </w:rPr>
  </w:style>
  <w:style w:type="paragraph" w:styleId="Heading2">
    <w:name w:val="heading 2"/>
    <w:basedOn w:val="Normal"/>
    <w:next w:val="Normal"/>
    <w:link w:val="Heading2Char"/>
    <w:uiPriority w:val="9"/>
    <w:semiHidden/>
    <w:unhideWhenUsed/>
    <w:qFormat/>
    <w:rsid w:val="007B335F"/>
    <w:pPr>
      <w:keepNext/>
      <w:keepLines/>
      <w:spacing w:before="160" w:after="80"/>
      <w:outlineLvl w:val="1"/>
    </w:pPr>
    <w:rPr>
      <w:rFonts w:ascii="Arial" w:eastAsiaTheme="majorEastAsia" w:hAnsi="Arial" w:cstheme="majorBidi"/>
      <w:b/>
      <w:color w:val="000000" w:themeColor="text1"/>
      <w:sz w:val="32"/>
      <w:szCs w:val="32"/>
    </w:rPr>
  </w:style>
  <w:style w:type="paragraph" w:styleId="Heading3">
    <w:name w:val="heading 3"/>
    <w:basedOn w:val="Normal"/>
    <w:next w:val="Normal"/>
    <w:link w:val="Heading3Char"/>
    <w:uiPriority w:val="9"/>
    <w:semiHidden/>
    <w:unhideWhenUsed/>
    <w:qFormat/>
    <w:rsid w:val="005007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007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007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007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07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07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07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7DE"/>
    <w:rPr>
      <w:rFonts w:ascii="Arial" w:eastAsiaTheme="majorEastAsia" w:hAnsi="Arial" w:cstheme="majorBidi"/>
      <w:b/>
      <w:noProof/>
      <w:color w:val="000000" w:themeColor="text1"/>
      <w:sz w:val="36"/>
      <w:szCs w:val="40"/>
    </w:rPr>
  </w:style>
  <w:style w:type="character" w:customStyle="1" w:styleId="Heading2Char">
    <w:name w:val="Heading 2 Char"/>
    <w:basedOn w:val="DefaultParagraphFont"/>
    <w:link w:val="Heading2"/>
    <w:uiPriority w:val="9"/>
    <w:semiHidden/>
    <w:rsid w:val="007B335F"/>
    <w:rPr>
      <w:rFonts w:ascii="Arial" w:eastAsiaTheme="majorEastAsia" w:hAnsi="Arial" w:cstheme="majorBidi"/>
      <w:b/>
      <w:noProof/>
      <w:color w:val="000000" w:themeColor="text1"/>
      <w:sz w:val="32"/>
      <w:szCs w:val="32"/>
    </w:rPr>
  </w:style>
  <w:style w:type="character" w:customStyle="1" w:styleId="Heading3Char">
    <w:name w:val="Heading 3 Char"/>
    <w:basedOn w:val="DefaultParagraphFont"/>
    <w:link w:val="Heading3"/>
    <w:uiPriority w:val="9"/>
    <w:semiHidden/>
    <w:rsid w:val="005007DE"/>
    <w:rPr>
      <w:rFonts w:eastAsiaTheme="majorEastAsia"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5007DE"/>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5007DE"/>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5007DE"/>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5007DE"/>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5007DE"/>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5007DE"/>
    <w:rPr>
      <w:rFonts w:eastAsiaTheme="majorEastAsia" w:cstheme="majorBidi"/>
      <w:noProof/>
      <w:color w:val="272727" w:themeColor="text1" w:themeTint="D8"/>
    </w:rPr>
  </w:style>
  <w:style w:type="paragraph" w:styleId="Title">
    <w:name w:val="Title"/>
    <w:basedOn w:val="Normal"/>
    <w:next w:val="Normal"/>
    <w:link w:val="TitleChar"/>
    <w:uiPriority w:val="10"/>
    <w:qFormat/>
    <w:rsid w:val="005007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07DE"/>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5007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07DE"/>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5007DE"/>
    <w:pPr>
      <w:spacing w:before="160"/>
      <w:jc w:val="center"/>
    </w:pPr>
    <w:rPr>
      <w:i/>
      <w:iCs/>
      <w:color w:val="404040" w:themeColor="text1" w:themeTint="BF"/>
    </w:rPr>
  </w:style>
  <w:style w:type="character" w:customStyle="1" w:styleId="QuoteChar">
    <w:name w:val="Quote Char"/>
    <w:basedOn w:val="DefaultParagraphFont"/>
    <w:link w:val="Quote"/>
    <w:uiPriority w:val="29"/>
    <w:rsid w:val="005007DE"/>
    <w:rPr>
      <w:i/>
      <w:iCs/>
      <w:noProof/>
      <w:color w:val="404040" w:themeColor="text1" w:themeTint="BF"/>
    </w:rPr>
  </w:style>
  <w:style w:type="paragraph" w:styleId="ListParagraph">
    <w:name w:val="List Paragraph"/>
    <w:basedOn w:val="Normal"/>
    <w:uiPriority w:val="34"/>
    <w:qFormat/>
    <w:rsid w:val="005007DE"/>
    <w:pPr>
      <w:ind w:left="720"/>
      <w:contextualSpacing/>
    </w:pPr>
  </w:style>
  <w:style w:type="character" w:styleId="IntenseEmphasis">
    <w:name w:val="Intense Emphasis"/>
    <w:basedOn w:val="DefaultParagraphFont"/>
    <w:uiPriority w:val="21"/>
    <w:qFormat/>
    <w:rsid w:val="005007DE"/>
    <w:rPr>
      <w:i/>
      <w:iCs/>
      <w:color w:val="2F5496" w:themeColor="accent1" w:themeShade="BF"/>
    </w:rPr>
  </w:style>
  <w:style w:type="paragraph" w:styleId="IntenseQuote">
    <w:name w:val="Intense Quote"/>
    <w:basedOn w:val="Normal"/>
    <w:next w:val="Normal"/>
    <w:link w:val="IntenseQuoteChar"/>
    <w:uiPriority w:val="30"/>
    <w:qFormat/>
    <w:rsid w:val="005007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07DE"/>
    <w:rPr>
      <w:i/>
      <w:iCs/>
      <w:noProof/>
      <w:color w:val="2F5496" w:themeColor="accent1" w:themeShade="BF"/>
    </w:rPr>
  </w:style>
  <w:style w:type="character" w:styleId="IntenseReference">
    <w:name w:val="Intense Reference"/>
    <w:basedOn w:val="DefaultParagraphFont"/>
    <w:uiPriority w:val="32"/>
    <w:qFormat/>
    <w:rsid w:val="005007DE"/>
    <w:rPr>
      <w:b/>
      <w:bCs/>
      <w:smallCaps/>
      <w:color w:val="2F5496"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5CAAD95B"/>
    <w:rPr>
      <w:color w:val="0563C1"/>
      <w:u w:val="single"/>
    </w:rPr>
  </w:style>
  <w:style w:type="paragraph" w:styleId="TOC1">
    <w:name w:val="toc 1"/>
    <w:basedOn w:val="Normal"/>
    <w:next w:val="Normal"/>
    <w:uiPriority w:val="39"/>
    <w:unhideWhenUsed/>
    <w:rsid w:val="5CAAD95B"/>
    <w:pPr>
      <w:spacing w:after="100"/>
    </w:pPr>
  </w:style>
  <w:style w:type="paragraph" w:styleId="TOC2">
    <w:name w:val="toc 2"/>
    <w:basedOn w:val="Normal"/>
    <w:next w:val="Normal"/>
    <w:uiPriority w:val="39"/>
    <w:unhideWhenUsed/>
    <w:rsid w:val="5CAAD95B"/>
    <w:pPr>
      <w:spacing w:after="100"/>
      <w:ind w:left="220"/>
    </w:pPr>
  </w:style>
  <w:style w:type="paragraph" w:styleId="Header">
    <w:name w:val="header"/>
    <w:basedOn w:val="Normal"/>
    <w:uiPriority w:val="99"/>
    <w:unhideWhenUsed/>
    <w:rsid w:val="5CAAD95B"/>
    <w:pPr>
      <w:tabs>
        <w:tab w:val="center" w:pos="4680"/>
        <w:tab w:val="right" w:pos="9360"/>
      </w:tabs>
      <w:spacing w:after="0" w:line="240" w:lineRule="auto"/>
    </w:pPr>
  </w:style>
  <w:style w:type="paragraph" w:styleId="Footer">
    <w:name w:val="footer"/>
    <w:basedOn w:val="Normal"/>
    <w:link w:val="FooterChar"/>
    <w:uiPriority w:val="99"/>
    <w:unhideWhenUsed/>
    <w:rsid w:val="5CAAD9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3CEA"/>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counterpointresearch.com/" TargetMode="External"/><Relationship Id="rId18" Type="http://schemas.openxmlformats.org/officeDocument/2006/relationships/hyperlink" Target="https://www.statista.com/" TargetMode="Externa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gs.statcounter.com/" TargetMode="External"/><Relationship Id="rId2" Type="http://schemas.openxmlformats.org/officeDocument/2006/relationships/styles" Target="styles.xml"/><Relationship Id="rId16" Type="http://schemas.openxmlformats.org/officeDocument/2006/relationships/hyperlink" Target="https://www.mordorintelligence.com/" TargetMode="External"/><Relationship Id="rId20" Type="http://schemas.openxmlformats.org/officeDocument/2006/relationships/hyperlink" Target="https://www.samsung.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idc.com/"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apple.com/"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www.grandviewresearch.com/" TargetMode="External"/><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FFFFFF"/>
      </a:dk1>
      <a:lt1>
        <a:sysClr val="window" lastClr="2D3236"/>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3348</Words>
  <Characters>19084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Avani Kasundra</dc:creator>
  <cp:keywords/>
  <dc:description/>
  <cp:lastModifiedBy>pavan purohit</cp:lastModifiedBy>
  <cp:revision>2</cp:revision>
  <dcterms:created xsi:type="dcterms:W3CDTF">2026-03-27T01:42:00Z</dcterms:created>
  <dcterms:modified xsi:type="dcterms:W3CDTF">2026-03-27T01:42:00Z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ca88f194-9e96-44f0-8550-0cb7ae4b27d4</vt:lpwstr>
  </property>
</Properties>
</file>