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04800"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201F1E"/>
          <w:u w:val="single"/>
        </w:rPr>
        <w:t>Eligibility:</w:t>
      </w:r>
    </w:p>
    <w:p w14:paraId="29970330"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201F1E"/>
        </w:rPr>
        <w:t xml:space="preserve">As the authority to grant licenses has been given to the ‘Plastic Regulatory Authority’ (PRA) by parliament through delegated legislation from the Environmental Protection Act they are considered a public body. The PRA are authorising licenses for the operation plastic recycling plants that will affect more than an individual, so it is considered public law. As it is considered Public Law, in line with O'Reilly v </w:t>
      </w:r>
      <w:proofErr w:type="spellStart"/>
      <w:r>
        <w:rPr>
          <w:rFonts w:ascii="Calibri" w:hAnsi="Calibri"/>
          <w:color w:val="201F1E"/>
        </w:rPr>
        <w:t>Mackman</w:t>
      </w:r>
      <w:proofErr w:type="spellEnd"/>
      <w:r>
        <w:rPr>
          <w:rFonts w:ascii="Calibri" w:hAnsi="Calibri"/>
          <w:color w:val="201F1E"/>
        </w:rPr>
        <w:t xml:space="preserve"> (1983) the PRAs rulings are open to judicial review. </w:t>
      </w:r>
      <w:r>
        <w:rPr>
          <w:rFonts w:ascii="Calibri" w:hAnsi="Calibri"/>
          <w:color w:val="C82613"/>
        </w:rPr>
        <w:t>​</w:t>
      </w:r>
    </w:p>
    <w:p w14:paraId="21622474"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1D2228"/>
        </w:rPr>
        <w:t>Norton Solutions PLC (NS) has been directly affected by the refusal of a license under the Environmental Protection Act so they would be considered by the Supreme court act (1981 s31 (3)) to have ‘sufficient interest’ to bring the case to judicial review.</w:t>
      </w:r>
    </w:p>
    <w:p w14:paraId="4D1D2BB7"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1D2228"/>
        </w:rPr>
        <w:t>The Nature Reserve Trust (NRT) is a pressure group and must have their position considered under factors to establish if they are best placed to bring the claim. These factors are set out in cases such as R v Foreign Secretary, ex p. World Development Movement Ltd (1995). As the NRT campaign Nationwide on environmental issues and are located opposite the proposed site they would be seen as more than just a ‘busy body’. It also states that other members of the community were unaware of the plant and hadn’t been able to express their concerns so they would likely be other parties interested in appealing the issue of the license. This would show NRT has sufficient interest to be the best placed body to bring the issue to judicial review. </w:t>
      </w:r>
    </w:p>
    <w:p w14:paraId="7322E072"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1D2228"/>
          <w:u w:val="single"/>
        </w:rPr>
        <w:t>Timing:</w:t>
      </w:r>
    </w:p>
    <w:p w14:paraId="7A320F75" w14:textId="75FCF5C4" w:rsidR="004A7FB2" w:rsidRDefault="00561162" w:rsidP="004A7FB2">
      <w:r>
        <w:rPr>
          <w:rFonts w:ascii="Calibri" w:hAnsi="Calibri"/>
          <w:color w:val="1D2228"/>
        </w:rPr>
        <w:t>Both parties should take their application for judicial review in a prompt manner no more than three months (S31 Supreme Court Act 1981). </w:t>
      </w:r>
      <w:r w:rsidR="00477E92" w:rsidRPr="004A7FB2">
        <w:rPr>
          <w:rFonts w:ascii="Calibri" w:hAnsi="Calibri"/>
          <w:color w:val="000000" w:themeColor="text1"/>
        </w:rPr>
        <w:t xml:space="preserve">NRT will need to petition the court to have the time period extended as the license for </w:t>
      </w:r>
      <w:proofErr w:type="spellStart"/>
      <w:r w:rsidR="00477E92" w:rsidRPr="004A7FB2">
        <w:rPr>
          <w:rFonts w:ascii="Calibri" w:hAnsi="Calibri"/>
          <w:color w:val="000000" w:themeColor="text1"/>
        </w:rPr>
        <w:t>LakeRec</w:t>
      </w:r>
      <w:proofErr w:type="spellEnd"/>
      <w:r w:rsidR="00477E92" w:rsidRPr="004A7FB2">
        <w:rPr>
          <w:rFonts w:ascii="Calibri" w:hAnsi="Calibri"/>
          <w:color w:val="000000" w:themeColor="text1"/>
        </w:rPr>
        <w:t xml:space="preserve"> LTD was issued 3 months ago. They need to argue that they were not aware of the issuing of the license as </w:t>
      </w:r>
      <w:proofErr w:type="spellStart"/>
      <w:r w:rsidR="00477E92" w:rsidRPr="004A7FB2">
        <w:rPr>
          <w:rFonts w:ascii="Calibri" w:hAnsi="Calibri"/>
          <w:color w:val="000000" w:themeColor="text1"/>
        </w:rPr>
        <w:t>LakeRec</w:t>
      </w:r>
      <w:proofErr w:type="spellEnd"/>
      <w:r w:rsidR="00477E92" w:rsidRPr="004A7FB2">
        <w:rPr>
          <w:rFonts w:ascii="Calibri" w:hAnsi="Calibri"/>
          <w:color w:val="000000" w:themeColor="text1"/>
        </w:rPr>
        <w:t xml:space="preserve"> LTD had not advertised their license in all </w:t>
      </w:r>
      <w:r w:rsidR="000C1D98" w:rsidRPr="004A7FB2">
        <w:rPr>
          <w:rFonts w:ascii="Calibri" w:hAnsi="Calibri"/>
          <w:color w:val="000000" w:themeColor="text1"/>
        </w:rPr>
        <w:t>required</w:t>
      </w:r>
      <w:r w:rsidR="00477E92" w:rsidRPr="004A7FB2">
        <w:rPr>
          <w:rFonts w:ascii="Calibri" w:hAnsi="Calibri"/>
          <w:color w:val="000000" w:themeColor="text1"/>
        </w:rPr>
        <w:t xml:space="preserve"> places making it impossible for them to bring the decision to judicial review</w:t>
      </w:r>
      <w:r w:rsidR="000C1D98" w:rsidRPr="004A7FB2">
        <w:rPr>
          <w:rFonts w:ascii="Calibri" w:hAnsi="Calibri"/>
          <w:color w:val="000000" w:themeColor="text1"/>
        </w:rPr>
        <w:t>.</w:t>
      </w:r>
      <w:r w:rsidR="004A7FB2" w:rsidRPr="004A7FB2">
        <w:rPr>
          <w:rFonts w:ascii="Calibri" w:hAnsi="Calibri"/>
          <w:color w:val="000000" w:themeColor="text1"/>
        </w:rPr>
        <w:t xml:space="preserve"> This extension should be approved as seen in </w:t>
      </w:r>
      <w:proofErr w:type="spellStart"/>
      <w:r w:rsidR="004A7FB2" w:rsidRPr="004A7FB2">
        <w:rPr>
          <w:rStyle w:val="Strong"/>
          <w:rFonts w:asciiTheme="minorHAnsi" w:hAnsiTheme="minorHAnsi"/>
          <w:b w:val="0"/>
          <w:bCs w:val="0"/>
          <w:color w:val="000000" w:themeColor="text1"/>
        </w:rPr>
        <w:t>Adeyimi</w:t>
      </w:r>
      <w:proofErr w:type="spellEnd"/>
      <w:r w:rsidR="004A7FB2" w:rsidRPr="004A7FB2">
        <w:rPr>
          <w:rStyle w:val="Strong"/>
          <w:rFonts w:asciiTheme="minorHAnsi" w:hAnsiTheme="minorHAnsi"/>
          <w:b w:val="0"/>
          <w:bCs w:val="0"/>
          <w:color w:val="000000" w:themeColor="text1"/>
        </w:rPr>
        <w:t xml:space="preserve"> </w:t>
      </w:r>
      <w:proofErr w:type="spellStart"/>
      <w:r w:rsidR="004A7FB2" w:rsidRPr="004A7FB2">
        <w:rPr>
          <w:rStyle w:val="Strong"/>
          <w:rFonts w:asciiTheme="minorHAnsi" w:hAnsiTheme="minorHAnsi"/>
          <w:b w:val="0"/>
          <w:bCs w:val="0"/>
          <w:color w:val="000000" w:themeColor="text1"/>
        </w:rPr>
        <w:t>Odubajo</w:t>
      </w:r>
      <w:proofErr w:type="spellEnd"/>
      <w:r w:rsidR="004A7FB2" w:rsidRPr="004A7FB2">
        <w:rPr>
          <w:rStyle w:val="Strong"/>
          <w:rFonts w:asciiTheme="minorHAnsi" w:hAnsiTheme="minorHAnsi"/>
          <w:b w:val="0"/>
          <w:bCs w:val="0"/>
          <w:color w:val="000000" w:themeColor="text1"/>
        </w:rPr>
        <w:t xml:space="preserve"> v Home Secretary (2020).</w:t>
      </w:r>
    </w:p>
    <w:p w14:paraId="31D54171" w14:textId="188AE7E5" w:rsidR="00561162" w:rsidRDefault="004A7FB2" w:rsidP="00561162">
      <w:pPr>
        <w:pStyle w:val="yiv4187538625ydpf9cd5994msonormal"/>
        <w:spacing w:before="0" w:beforeAutospacing="0" w:after="0" w:afterAutospacing="0" w:line="300" w:lineRule="atLeast"/>
        <w:rPr>
          <w:rFonts w:ascii="New serif" w:hAnsi="New serif"/>
          <w:color w:val="1D2228"/>
          <w:sz w:val="20"/>
          <w:szCs w:val="20"/>
        </w:rPr>
      </w:pPr>
      <w:r>
        <w:rPr>
          <w:rFonts w:ascii="New serif" w:hAnsi="New serif"/>
          <w:color w:val="1D2228"/>
          <w:sz w:val="20"/>
          <w:szCs w:val="20"/>
        </w:rPr>
        <w:t>I</w:t>
      </w:r>
      <w:r w:rsidR="00561162">
        <w:rPr>
          <w:rFonts w:ascii="Calibri" w:hAnsi="Calibri"/>
          <w:color w:val="1D2228"/>
        </w:rPr>
        <w:t>llegality, irrationality and procedural impropriety are considered the grounds for Judicial review (CCSU v Minister for the Civil Service (1985)). The claimants should apply these as follows</w:t>
      </w:r>
    </w:p>
    <w:p w14:paraId="5D3C48E4"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201F1E"/>
          <w:u w:val="single"/>
        </w:rPr>
        <w:t>Norton Solutions</w:t>
      </w:r>
    </w:p>
    <w:p w14:paraId="6CC53F8C" w14:textId="23F2C43D"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1D2228"/>
        </w:rPr>
        <w:t xml:space="preserve">Irrationality; The aim of the Environmental Protection Act’ is to promote the recycling of plastics. Limiting the number of sites to one contradicts that role and is unreasonable. The ‘Plastic Regulatory Authority’ (PRA) can also be seen </w:t>
      </w:r>
      <w:r w:rsidR="00DF65A3">
        <w:rPr>
          <w:rFonts w:ascii="Calibri" w:hAnsi="Calibri"/>
          <w:color w:val="1D2228"/>
        </w:rPr>
        <w:t>as illegally</w:t>
      </w:r>
      <w:r>
        <w:rPr>
          <w:rFonts w:ascii="Calibri" w:hAnsi="Calibri"/>
          <w:color w:val="1D2228"/>
        </w:rPr>
        <w:t xml:space="preserve"> fettering its discretion</w:t>
      </w:r>
      <w:r w:rsidR="00DF65A3">
        <w:rPr>
          <w:rFonts w:ascii="Calibri" w:hAnsi="Calibri"/>
          <w:color w:val="1D2228"/>
        </w:rPr>
        <w:t>,</w:t>
      </w:r>
      <w:r>
        <w:rPr>
          <w:rFonts w:ascii="Calibri" w:hAnsi="Calibri"/>
          <w:color w:val="1D2228"/>
        </w:rPr>
        <w:t xml:space="preserve"> it is not taking into consideration that NS has proof </w:t>
      </w:r>
      <w:proofErr w:type="spellStart"/>
      <w:r>
        <w:rPr>
          <w:rFonts w:ascii="Calibri" w:hAnsi="Calibri"/>
          <w:color w:val="1D2228"/>
        </w:rPr>
        <w:t>Westcross</w:t>
      </w:r>
      <w:proofErr w:type="spellEnd"/>
      <w:r>
        <w:rPr>
          <w:rFonts w:ascii="Calibri" w:hAnsi="Calibri"/>
          <w:color w:val="1D2228"/>
        </w:rPr>
        <w:t xml:space="preserve"> PLC cannot meet the demand and they can </w:t>
      </w:r>
      <w:r w:rsidR="00DF65A3">
        <w:rPr>
          <w:rFonts w:ascii="Calibri" w:hAnsi="Calibri"/>
          <w:color w:val="1D2228"/>
        </w:rPr>
        <w:t>(</w:t>
      </w:r>
      <w:r>
        <w:rPr>
          <w:rFonts w:ascii="Calibri" w:hAnsi="Calibri"/>
          <w:color w:val="1D2228"/>
        </w:rPr>
        <w:t>Oxygen of Minister of Technology 1970). NS should ask for a quashing order in the denial of its license. This should succeed in the decision being seen as invalid. </w:t>
      </w:r>
    </w:p>
    <w:p w14:paraId="6623CD33"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1D2228"/>
          <w:u w:val="single"/>
        </w:rPr>
        <w:t>Nature Reserve Trust (‘NRT’)</w:t>
      </w:r>
    </w:p>
    <w:p w14:paraId="06841ABD"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201F1E"/>
        </w:rPr>
        <w:t xml:space="preserve">Procedural Impropriety: NRT should express that the PRA have acted 'procedural Ultra Vires’ by not following the mandatory requirements set out in the Environmental Protection Act. The act sets rules that the licenses must be published online, in the newspaper and at the site. </w:t>
      </w:r>
      <w:proofErr w:type="spellStart"/>
      <w:r>
        <w:rPr>
          <w:rFonts w:ascii="Calibri" w:hAnsi="Calibri"/>
          <w:color w:val="201F1E"/>
        </w:rPr>
        <w:t>LakeRec</w:t>
      </w:r>
      <w:proofErr w:type="spellEnd"/>
      <w:r>
        <w:rPr>
          <w:rFonts w:ascii="Calibri" w:hAnsi="Calibri"/>
          <w:color w:val="201F1E"/>
        </w:rPr>
        <w:t xml:space="preserve"> LTD did not publish at all of these sources. As they did not follow the mandatory requirements in the Act the decision to grant them a license to operate a recycling plant should be deemed invalid (</w:t>
      </w:r>
      <w:r>
        <w:rPr>
          <w:rFonts w:ascii="Calibri" w:hAnsi="Calibri"/>
          <w:color w:val="1D2228"/>
        </w:rPr>
        <w:t>R v Secretary of State for Education and Employment (2000))</w:t>
      </w:r>
      <w:r>
        <w:rPr>
          <w:rFonts w:ascii="Calibri" w:hAnsi="Calibri"/>
          <w:color w:val="201F1E"/>
        </w:rPr>
        <w:t>.</w:t>
      </w:r>
    </w:p>
    <w:p w14:paraId="150265C8" w14:textId="77777777" w:rsidR="00561162" w:rsidRDefault="00561162" w:rsidP="00561162">
      <w:pPr>
        <w:pStyle w:val="yiv4187538625ydpf9cd5994msonormal"/>
        <w:spacing w:before="0" w:beforeAutospacing="0" w:after="0" w:afterAutospacing="0" w:line="300" w:lineRule="atLeast"/>
        <w:rPr>
          <w:rFonts w:ascii="New serif" w:hAnsi="New serif"/>
          <w:color w:val="1D2228"/>
          <w:sz w:val="20"/>
          <w:szCs w:val="20"/>
        </w:rPr>
      </w:pPr>
      <w:r>
        <w:rPr>
          <w:rFonts w:ascii="Calibri" w:hAnsi="Calibri"/>
          <w:color w:val="201F1E"/>
        </w:rPr>
        <w:lastRenderedPageBreak/>
        <w:t xml:space="preserve">Illegality: The PRA have also acted ‘Wide Ultra Vires’. The aim of the PRA is to promote recycling in </w:t>
      </w:r>
      <w:proofErr w:type="gramStart"/>
      <w:r>
        <w:rPr>
          <w:rFonts w:ascii="Calibri" w:hAnsi="Calibri"/>
          <w:color w:val="201F1E"/>
        </w:rPr>
        <w:t>Swansea</w:t>
      </w:r>
      <w:proofErr w:type="gramEnd"/>
      <w:r>
        <w:rPr>
          <w:rFonts w:ascii="Calibri" w:hAnsi="Calibri"/>
          <w:color w:val="201F1E"/>
        </w:rPr>
        <w:t xml:space="preserve"> but it is apparent they have an ulterior motive for granting the license to </w:t>
      </w:r>
      <w:proofErr w:type="spellStart"/>
      <w:r>
        <w:rPr>
          <w:rFonts w:ascii="Calibri" w:hAnsi="Calibri"/>
          <w:color w:val="201F1E"/>
        </w:rPr>
        <w:t>WestCross</w:t>
      </w:r>
      <w:proofErr w:type="spellEnd"/>
      <w:r>
        <w:rPr>
          <w:rFonts w:ascii="Calibri" w:hAnsi="Calibri"/>
          <w:color w:val="201F1E"/>
        </w:rPr>
        <w:t xml:space="preserve"> LTD due to them claiming they will promote economic growth for the Swansea area (</w:t>
      </w:r>
      <w:r>
        <w:rPr>
          <w:rFonts w:ascii="Calibri" w:hAnsi="Calibri"/>
          <w:color w:val="211E1E"/>
        </w:rPr>
        <w:t xml:space="preserve">R v Secretary of State for the Environment ex </w:t>
      </w:r>
      <w:proofErr w:type="spellStart"/>
      <w:r>
        <w:rPr>
          <w:rFonts w:ascii="Calibri" w:hAnsi="Calibri"/>
          <w:color w:val="211E1E"/>
        </w:rPr>
        <w:t>parte</w:t>
      </w:r>
      <w:proofErr w:type="spellEnd"/>
      <w:r>
        <w:rPr>
          <w:rFonts w:ascii="Calibri" w:hAnsi="Calibri"/>
          <w:color w:val="211E1E"/>
        </w:rPr>
        <w:t xml:space="preserve"> </w:t>
      </w:r>
      <w:proofErr w:type="spellStart"/>
      <w:r>
        <w:rPr>
          <w:rFonts w:ascii="Calibri" w:hAnsi="Calibri"/>
          <w:color w:val="211E1E"/>
        </w:rPr>
        <w:t>Spath</w:t>
      </w:r>
      <w:proofErr w:type="spellEnd"/>
      <w:r>
        <w:rPr>
          <w:rFonts w:ascii="Calibri" w:hAnsi="Calibri"/>
          <w:color w:val="211E1E"/>
        </w:rPr>
        <w:t xml:space="preserve"> Holme Ltd 2001)</w:t>
      </w:r>
      <w:r>
        <w:rPr>
          <w:rFonts w:ascii="Calibri" w:hAnsi="Calibri"/>
          <w:color w:val="201F1E"/>
        </w:rPr>
        <w:t xml:space="preserve">. The NRT can also present that the PRA has made an error in the law as the Act states that only one plant should be open per area and there is already another plant, </w:t>
      </w:r>
      <w:proofErr w:type="spellStart"/>
      <w:r>
        <w:rPr>
          <w:rFonts w:ascii="Calibri" w:hAnsi="Calibri"/>
          <w:color w:val="201F1E"/>
        </w:rPr>
        <w:t>Westcross</w:t>
      </w:r>
      <w:proofErr w:type="spellEnd"/>
      <w:r>
        <w:rPr>
          <w:rFonts w:ascii="Calibri" w:hAnsi="Calibri"/>
          <w:color w:val="201F1E"/>
        </w:rPr>
        <w:t xml:space="preserve"> PLC. During the judicial review </w:t>
      </w:r>
      <w:proofErr w:type="gramStart"/>
      <w:r>
        <w:rPr>
          <w:rFonts w:ascii="Calibri" w:hAnsi="Calibri"/>
          <w:color w:val="201F1E"/>
        </w:rPr>
        <w:t>procedure</w:t>
      </w:r>
      <w:proofErr w:type="gramEnd"/>
      <w:r>
        <w:rPr>
          <w:rFonts w:ascii="Calibri" w:hAnsi="Calibri"/>
          <w:color w:val="201F1E"/>
        </w:rPr>
        <w:t xml:space="preserve"> they will look at the three questions presented by Lord Woolf MR in R v IAT ex p </w:t>
      </w:r>
      <w:proofErr w:type="spellStart"/>
      <w:r>
        <w:rPr>
          <w:rFonts w:ascii="Calibri" w:hAnsi="Calibri"/>
          <w:color w:val="201F1E"/>
        </w:rPr>
        <w:t>Jeyeanthan</w:t>
      </w:r>
      <w:proofErr w:type="spellEnd"/>
      <w:r>
        <w:rPr>
          <w:rFonts w:ascii="Calibri" w:hAnsi="Calibri"/>
          <w:color w:val="201F1E"/>
        </w:rPr>
        <w:t xml:space="preserve">. It should be assessed that substantial compliance was not completed as only one of the three required publications of the license were made. The Act states the publishing of the application of the license is mandatory, so PRAs does not have the ability to waive the issues of non-compliance. The NRT should apply for judicial review on these grounds and the approval of the license for </w:t>
      </w:r>
      <w:proofErr w:type="spellStart"/>
      <w:r>
        <w:rPr>
          <w:rFonts w:ascii="Calibri" w:hAnsi="Calibri"/>
          <w:color w:val="201F1E"/>
        </w:rPr>
        <w:t>LakeRec</w:t>
      </w:r>
      <w:proofErr w:type="spellEnd"/>
      <w:r>
        <w:rPr>
          <w:rFonts w:ascii="Calibri" w:hAnsi="Calibri"/>
          <w:color w:val="201F1E"/>
        </w:rPr>
        <w:t xml:space="preserve"> ltd should be quashed. On the facts presented its likely this would be granted.</w:t>
      </w:r>
    </w:p>
    <w:p w14:paraId="0DB6AE67" w14:textId="19EF6A08" w:rsidR="00CF378E" w:rsidRDefault="00D14ED1"/>
    <w:p w14:paraId="10C36F47" w14:textId="3490BD60" w:rsidR="00F97D00" w:rsidRDefault="00F97D00"/>
    <w:p w14:paraId="2FBDE9C3" w14:textId="23BDA82C" w:rsidR="00F97D00" w:rsidRDefault="00F97D00"/>
    <w:p w14:paraId="3DE95AA7" w14:textId="3C479B20" w:rsidR="00F97D00" w:rsidRDefault="00F97D00"/>
    <w:p w14:paraId="2216E807" w14:textId="63D0205E" w:rsidR="00F97D00" w:rsidRDefault="00F97D00"/>
    <w:p w14:paraId="4276AF75" w14:textId="5E35F843" w:rsidR="00F97D00" w:rsidRDefault="00F97D00"/>
    <w:p w14:paraId="57821D99" w14:textId="35B648B4" w:rsidR="00F97D00" w:rsidRDefault="00F97D00"/>
    <w:p w14:paraId="2D0FFE3A" w14:textId="5998D2EE" w:rsidR="00F97D00" w:rsidRDefault="00F97D00"/>
    <w:p w14:paraId="56E0E8D3" w14:textId="0D50C3DE" w:rsidR="00F97D00" w:rsidRDefault="00F97D00"/>
    <w:p w14:paraId="6E76CDA0" w14:textId="5EBB52E2" w:rsidR="00F97D00" w:rsidRDefault="00F97D00"/>
    <w:p w14:paraId="53678756" w14:textId="45BFC2E9" w:rsidR="00F97D00" w:rsidRDefault="00F97D00"/>
    <w:p w14:paraId="68A54839" w14:textId="27D09BE8" w:rsidR="00F97D00" w:rsidRDefault="00F97D00"/>
    <w:p w14:paraId="08F9EE06" w14:textId="772D0E61" w:rsidR="00F97D00" w:rsidRDefault="00F97D00"/>
    <w:p w14:paraId="168D93E8" w14:textId="506FD7B7" w:rsidR="00F97D00" w:rsidRDefault="00F97D00"/>
    <w:p w14:paraId="6DB3564D" w14:textId="1402CB7A" w:rsidR="00F97D00" w:rsidRDefault="00F97D00"/>
    <w:p w14:paraId="4A44B267" w14:textId="487D0444" w:rsidR="00F97D00" w:rsidRDefault="00F97D00"/>
    <w:p w14:paraId="7F197F4A" w14:textId="10352AE1" w:rsidR="00F97D00" w:rsidRDefault="00F97D00"/>
    <w:p w14:paraId="62BAA9EA" w14:textId="2E156E58" w:rsidR="00F97D00" w:rsidRDefault="00F97D00"/>
    <w:p w14:paraId="0736F4DF" w14:textId="625CCCC0" w:rsidR="00F97D00" w:rsidRDefault="00F97D00"/>
    <w:p w14:paraId="1D27D55E" w14:textId="1C31350B" w:rsidR="00F97D00" w:rsidRDefault="00F97D00"/>
    <w:p w14:paraId="26CC9BD3" w14:textId="1282A34E" w:rsidR="00F97D00" w:rsidRDefault="00F97D00"/>
    <w:p w14:paraId="38BF9CE9" w14:textId="29F36B9D" w:rsidR="00F97D00" w:rsidRDefault="00F97D00"/>
    <w:p w14:paraId="7A743F1F" w14:textId="58A68757" w:rsidR="00F97D00" w:rsidRDefault="00F97D00"/>
    <w:p w14:paraId="07A2F0D9" w14:textId="10FE58F3" w:rsidR="00F97D00" w:rsidRDefault="00F97D00"/>
    <w:p w14:paraId="08A72AE3" w14:textId="1024FA52" w:rsidR="00F97D00" w:rsidRDefault="00F97D00"/>
    <w:p w14:paraId="75A3C393" w14:textId="2692C98D" w:rsidR="00F97D00" w:rsidRDefault="00F97D00"/>
    <w:p w14:paraId="684AF678" w14:textId="1EDE480A" w:rsidR="00F97D00" w:rsidRDefault="00F97D00"/>
    <w:p w14:paraId="507E776E" w14:textId="1EB8A1F6" w:rsidR="00F97D00" w:rsidRDefault="00F97D00"/>
    <w:p w14:paraId="2C2A1C88" w14:textId="66954FCA" w:rsidR="00F97D00" w:rsidRDefault="00F97D00"/>
    <w:p w14:paraId="0922F60B" w14:textId="1D45A890" w:rsidR="00F97D00" w:rsidRDefault="00F97D00"/>
    <w:p w14:paraId="1460685E" w14:textId="51909FA3" w:rsidR="00F97D00" w:rsidRDefault="00F97D00"/>
    <w:p w14:paraId="3449009D" w14:textId="6FA95D0D" w:rsidR="00F97D00" w:rsidRDefault="00F97D00"/>
    <w:p w14:paraId="4F63A9A4" w14:textId="3D6FE467" w:rsidR="00F97D00" w:rsidRDefault="00F97D00"/>
    <w:p w14:paraId="089A0582" w14:textId="17D207A6" w:rsidR="00F97D00" w:rsidRDefault="00F97D00"/>
    <w:p w14:paraId="6F7C205A" w14:textId="07F20D9E" w:rsidR="00F97D00" w:rsidRDefault="00F97D00"/>
    <w:p w14:paraId="427809C2" w14:textId="178360DA"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lastRenderedPageBreak/>
        <w:t>Defamation is described by Lord Atkin as the use of words which will cause ‘right thinking’ people to think negatively of someone (Sim v Stretch 2936). There are two types of Defamation: Slander, as seen in Sir Kevin Barron MP &amp; Others v Jane Collins MEP &amp; UKIP (2018), which is a temporary form of defaming usually in oral form and Libel, as seen in </w:t>
      </w:r>
      <w:r w:rsidRPr="00980F57">
        <w:rPr>
          <w:rFonts w:asciiTheme="minorHAnsi" w:hAnsiTheme="minorHAnsi"/>
          <w:color w:val="1D2228"/>
          <w:bdr w:val="none" w:sz="0" w:space="0" w:color="auto" w:frame="1"/>
        </w:rPr>
        <w:t>Turley v UNITE the Union &amp; Anor</w:t>
      </w:r>
      <w:r w:rsidRPr="00980F57">
        <w:rPr>
          <w:rFonts w:asciiTheme="minorHAnsi" w:hAnsiTheme="minorHAnsi"/>
          <w:color w:val="1D2228"/>
        </w:rPr>
        <w:t xml:space="preserve">, which is when the information is published in a ‘permanent form’. Taylor (2019) describes freedom of expression as ‘one of the most important civil </w:t>
      </w:r>
      <w:proofErr w:type="gramStart"/>
      <w:r w:rsidRPr="00980F57">
        <w:rPr>
          <w:rFonts w:asciiTheme="minorHAnsi" w:hAnsiTheme="minorHAnsi"/>
          <w:color w:val="1D2228"/>
        </w:rPr>
        <w:t>liberties’</w:t>
      </w:r>
      <w:proofErr w:type="gramEnd"/>
      <w:r w:rsidRPr="00980F57">
        <w:rPr>
          <w:rFonts w:asciiTheme="minorHAnsi" w:hAnsiTheme="minorHAnsi"/>
          <w:color w:val="1D2228"/>
        </w:rPr>
        <w:t xml:space="preserve">. </w:t>
      </w:r>
      <w:r w:rsidR="00EB3353" w:rsidRPr="00980F57">
        <w:rPr>
          <w:rFonts w:asciiTheme="minorHAnsi" w:hAnsiTheme="minorHAnsi"/>
          <w:color w:val="1D2228"/>
        </w:rPr>
        <w:t>I</w:t>
      </w:r>
      <w:r w:rsidRPr="00980F57">
        <w:rPr>
          <w:rFonts w:asciiTheme="minorHAnsi" w:hAnsiTheme="minorHAnsi"/>
          <w:color w:val="1D2228"/>
        </w:rPr>
        <w:t xml:space="preserve">t is </w:t>
      </w:r>
      <w:r w:rsidR="00EB3353" w:rsidRPr="00980F57">
        <w:rPr>
          <w:rFonts w:asciiTheme="minorHAnsi" w:hAnsiTheme="minorHAnsi"/>
          <w:color w:val="1D2228"/>
        </w:rPr>
        <w:t>seen as a fundamental</w:t>
      </w:r>
      <w:r w:rsidRPr="00980F57">
        <w:rPr>
          <w:rFonts w:asciiTheme="minorHAnsi" w:hAnsiTheme="minorHAnsi"/>
          <w:color w:val="1D2228"/>
        </w:rPr>
        <w:t xml:space="preserve"> right </w:t>
      </w:r>
      <w:r w:rsidR="00EB3353" w:rsidRPr="00980F57">
        <w:rPr>
          <w:rFonts w:asciiTheme="minorHAnsi" w:hAnsiTheme="minorHAnsi"/>
          <w:color w:val="1D2228"/>
        </w:rPr>
        <w:t>for</w:t>
      </w:r>
      <w:r w:rsidRPr="00980F57">
        <w:rPr>
          <w:rFonts w:asciiTheme="minorHAnsi" w:hAnsiTheme="minorHAnsi"/>
          <w:color w:val="1D2228"/>
        </w:rPr>
        <w:t xml:space="preserve"> a person to have their own opinions and to be able to ‘express’ them without ‘interference’</w:t>
      </w:r>
      <w:r w:rsidR="00EB3353" w:rsidRPr="00980F57">
        <w:rPr>
          <w:rFonts w:asciiTheme="minorHAnsi" w:hAnsiTheme="minorHAnsi"/>
          <w:color w:val="1D2228"/>
        </w:rPr>
        <w:t xml:space="preserve"> (The Human Rights Commission 2020)</w:t>
      </w:r>
      <w:r w:rsidRPr="00980F57">
        <w:rPr>
          <w:rFonts w:asciiTheme="minorHAnsi" w:hAnsiTheme="minorHAnsi"/>
          <w:color w:val="1D2228"/>
        </w:rPr>
        <w:t>. </w:t>
      </w:r>
    </w:p>
    <w:p w14:paraId="121B3E3E" w14:textId="34CA990A"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Freedom of Expression is needed to maintain a free press (</w:t>
      </w:r>
      <w:proofErr w:type="spellStart"/>
      <w:r w:rsidRPr="00980F57">
        <w:rPr>
          <w:rFonts w:asciiTheme="minorHAnsi" w:hAnsiTheme="minorHAnsi"/>
          <w:color w:val="1D2228"/>
        </w:rPr>
        <w:t>Rusbridger</w:t>
      </w:r>
      <w:proofErr w:type="spellEnd"/>
      <w:r w:rsidRPr="00980F57">
        <w:rPr>
          <w:rFonts w:asciiTheme="minorHAnsi" w:hAnsiTheme="minorHAnsi"/>
          <w:color w:val="1D2228"/>
        </w:rPr>
        <w:t xml:space="preserve">, 2011). A free press environment is vital to allow the media to carry out their roles as ‘public watchdogs’ (Charles Koch institute, 2020) bringing scrutiny to public bodies or information to light that is in the public’s interest (News Media UK, </w:t>
      </w:r>
      <w:r w:rsidR="00AE323C" w:rsidRPr="00980F57">
        <w:rPr>
          <w:rFonts w:asciiTheme="minorHAnsi" w:hAnsiTheme="minorHAnsi"/>
          <w:color w:val="1D2228"/>
        </w:rPr>
        <w:t>2020</w:t>
      </w:r>
      <w:r w:rsidRPr="00980F57">
        <w:rPr>
          <w:rFonts w:asciiTheme="minorHAnsi" w:hAnsiTheme="minorHAnsi"/>
          <w:color w:val="1D2228"/>
        </w:rPr>
        <w:t xml:space="preserve">). Green (2020) states a ‘free press’ is a key principle of societies that are ‘governed by the rule of law’. This role of the press is evident in the case law Derbyshire County Council v Times Newspapers Ltd (1993) which developed safeguards </w:t>
      </w:r>
      <w:r w:rsidR="00106028" w:rsidRPr="00980F57">
        <w:rPr>
          <w:rFonts w:asciiTheme="minorHAnsi" w:hAnsiTheme="minorHAnsi"/>
          <w:color w:val="1D2228"/>
        </w:rPr>
        <w:t>‘</w:t>
      </w:r>
      <w:r w:rsidRPr="00980F57">
        <w:rPr>
          <w:rFonts w:asciiTheme="minorHAnsi" w:hAnsiTheme="minorHAnsi"/>
          <w:color w:val="1D2228"/>
        </w:rPr>
        <w:t>to protect freedom of expression</w:t>
      </w:r>
      <w:r w:rsidR="00106028" w:rsidRPr="00980F57">
        <w:rPr>
          <w:rFonts w:asciiTheme="minorHAnsi" w:hAnsiTheme="minorHAnsi"/>
          <w:color w:val="1D2228"/>
        </w:rPr>
        <w:t>’</w:t>
      </w:r>
      <w:r w:rsidRPr="00980F57">
        <w:rPr>
          <w:rFonts w:asciiTheme="minorHAnsi" w:hAnsiTheme="minorHAnsi"/>
          <w:color w:val="1D2228"/>
        </w:rPr>
        <w:t xml:space="preserve"> in the media by making it illegal for ‘local authorities and political’ bodies to sue for defamation. Thus, strengthening the balance.</w:t>
      </w:r>
    </w:p>
    <w:p w14:paraId="3A2F9BC1" w14:textId="446DEB96"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To be able to sue for defamation the claimant must be able to prove that the statements caused serious harm (Defamation Act 2013, s.1). In </w:t>
      </w:r>
      <w:r w:rsidRPr="00980F57">
        <w:rPr>
          <w:rFonts w:asciiTheme="minorHAnsi" w:hAnsiTheme="minorHAnsi"/>
          <w:i/>
          <w:iCs/>
          <w:color w:val="1D2228"/>
        </w:rPr>
        <w:t>Jameel (Yousef) v Dow Jones &amp; Co Inc </w:t>
      </w:r>
      <w:r w:rsidRPr="00980F57">
        <w:rPr>
          <w:rFonts w:asciiTheme="minorHAnsi" w:hAnsiTheme="minorHAnsi"/>
          <w:color w:val="1D2228"/>
        </w:rPr>
        <w:t xml:space="preserve">[2005] this requirement was not met as it was found only 10 people in Wales and England had knowledge of the information in question. This allowed the freedom of expression for the defendant as the serious harm mark had not been hit. There is also the requirement previously mentioned from Lord Atkin </w:t>
      </w:r>
      <w:r w:rsidR="00980F57">
        <w:rPr>
          <w:rFonts w:asciiTheme="minorHAnsi" w:hAnsiTheme="minorHAnsi"/>
          <w:color w:val="1D2228"/>
        </w:rPr>
        <w:t>(</w:t>
      </w:r>
      <w:r w:rsidRPr="00980F57">
        <w:rPr>
          <w:rFonts w:asciiTheme="minorHAnsi" w:hAnsiTheme="minorHAnsi"/>
          <w:color w:val="1D2228"/>
        </w:rPr>
        <w:t>1936</w:t>
      </w:r>
      <w:r w:rsidR="00980F57">
        <w:rPr>
          <w:rFonts w:asciiTheme="minorHAnsi" w:hAnsiTheme="minorHAnsi"/>
          <w:color w:val="1D2228"/>
        </w:rPr>
        <w:t xml:space="preserve">) </w:t>
      </w:r>
      <w:r w:rsidRPr="00980F57">
        <w:rPr>
          <w:rFonts w:asciiTheme="minorHAnsi" w:hAnsiTheme="minorHAnsi"/>
          <w:color w:val="1D2228"/>
        </w:rPr>
        <w:t xml:space="preserve">that the information must cause ‘right minded individuals’ to think negatively about someone. This requirement provided protection </w:t>
      </w:r>
      <w:r w:rsidR="00980F57">
        <w:rPr>
          <w:rFonts w:asciiTheme="minorHAnsi" w:hAnsiTheme="minorHAnsi"/>
          <w:color w:val="1D2228"/>
        </w:rPr>
        <w:t xml:space="preserve">under freedom of expression </w:t>
      </w:r>
      <w:r w:rsidRPr="00980F57">
        <w:rPr>
          <w:rFonts w:asciiTheme="minorHAnsi" w:hAnsiTheme="minorHAnsi"/>
          <w:color w:val="1D2228"/>
        </w:rPr>
        <w:t xml:space="preserve">for The Guardian in John v Guardian News Media Ltd </w:t>
      </w:r>
      <w:r w:rsidR="00980F57">
        <w:rPr>
          <w:rFonts w:asciiTheme="minorHAnsi" w:hAnsiTheme="minorHAnsi"/>
          <w:color w:val="1D2228"/>
        </w:rPr>
        <w:t>(</w:t>
      </w:r>
      <w:r w:rsidRPr="00980F57">
        <w:rPr>
          <w:rFonts w:asciiTheme="minorHAnsi" w:hAnsiTheme="minorHAnsi"/>
          <w:color w:val="1D2228"/>
        </w:rPr>
        <w:t>2008</w:t>
      </w:r>
      <w:r w:rsidR="00980F57">
        <w:rPr>
          <w:rFonts w:asciiTheme="minorHAnsi" w:hAnsiTheme="minorHAnsi"/>
          <w:color w:val="1D2228"/>
        </w:rPr>
        <w:t>)</w:t>
      </w:r>
      <w:r w:rsidRPr="00980F57">
        <w:rPr>
          <w:rFonts w:asciiTheme="minorHAnsi" w:hAnsiTheme="minorHAnsi"/>
          <w:color w:val="1D2228"/>
        </w:rPr>
        <w:t xml:space="preserve">. Here Johns claim was seen that the statements made were in Jest and ‘right minded person </w:t>
      </w:r>
      <w:r w:rsidR="00EB3353" w:rsidRPr="00980F57">
        <w:rPr>
          <w:rFonts w:asciiTheme="minorHAnsi" w:hAnsiTheme="minorHAnsi"/>
          <w:color w:val="1D2228"/>
        </w:rPr>
        <w:t xml:space="preserve">wouldn’t </w:t>
      </w:r>
      <w:r w:rsidRPr="00980F57">
        <w:rPr>
          <w:rFonts w:asciiTheme="minorHAnsi" w:hAnsiTheme="minorHAnsi"/>
          <w:color w:val="1D2228"/>
        </w:rPr>
        <w:t xml:space="preserve">believe them’ to be true. Shaw (2008) praised this case as protecting writer’s freedom of expression and giving a balance in relation to writing ‘spoof’. This was also seen in Berkoff v Burchill </w:t>
      </w:r>
      <w:r w:rsidR="00980F57">
        <w:rPr>
          <w:rFonts w:asciiTheme="minorHAnsi" w:hAnsiTheme="minorHAnsi"/>
          <w:color w:val="1D2228"/>
        </w:rPr>
        <w:t>(</w:t>
      </w:r>
      <w:r w:rsidRPr="00980F57">
        <w:rPr>
          <w:rFonts w:asciiTheme="minorHAnsi" w:hAnsiTheme="minorHAnsi"/>
          <w:color w:val="1D2228"/>
        </w:rPr>
        <w:t>1996</w:t>
      </w:r>
      <w:r w:rsidR="00980F57">
        <w:rPr>
          <w:rFonts w:asciiTheme="minorHAnsi" w:hAnsiTheme="minorHAnsi"/>
          <w:color w:val="1D2228"/>
        </w:rPr>
        <w:t>)</w:t>
      </w:r>
      <w:r w:rsidRPr="00980F57">
        <w:rPr>
          <w:rFonts w:asciiTheme="minorHAnsi" w:hAnsiTheme="minorHAnsi"/>
          <w:color w:val="1D2228"/>
        </w:rPr>
        <w:t>. </w:t>
      </w:r>
    </w:p>
    <w:p w14:paraId="4F76FCAD" w14:textId="07C9153C"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lastRenderedPageBreak/>
        <w:t>There are many safeguards which support the balance between freedom of expression and the press. Firstly, the criteria that it must be clear that the information is specifically referring to the claimant. In </w:t>
      </w:r>
      <w:proofErr w:type="spellStart"/>
      <w:r w:rsidRPr="00980F57">
        <w:rPr>
          <w:rFonts w:asciiTheme="minorHAnsi" w:hAnsiTheme="minorHAnsi"/>
          <w:color w:val="1D2228"/>
          <w:bdr w:val="none" w:sz="0" w:space="0" w:color="auto" w:frame="1"/>
        </w:rPr>
        <w:t>Knuppfer</w:t>
      </w:r>
      <w:proofErr w:type="spellEnd"/>
      <w:r w:rsidRPr="00980F57">
        <w:rPr>
          <w:rFonts w:asciiTheme="minorHAnsi" w:hAnsiTheme="minorHAnsi"/>
          <w:color w:val="1D2228"/>
          <w:bdr w:val="none" w:sz="0" w:space="0" w:color="auto" w:frame="1"/>
        </w:rPr>
        <w:t xml:space="preserve"> v London Express Newspaper Ltd (1994) the claimant did not win their defamation case as it was not clear. The defence of truthful information is also outlined in The Defamation Act (2013, s.2) that if the defendant can show the information is </w:t>
      </w:r>
      <w:proofErr w:type="gramStart"/>
      <w:r w:rsidRPr="00980F57">
        <w:rPr>
          <w:rFonts w:asciiTheme="minorHAnsi" w:hAnsiTheme="minorHAnsi"/>
          <w:color w:val="1D2228"/>
          <w:bdr w:val="none" w:sz="0" w:space="0" w:color="auto" w:frame="1"/>
        </w:rPr>
        <w:t>truthful</w:t>
      </w:r>
      <w:proofErr w:type="gramEnd"/>
      <w:r w:rsidRPr="00980F57">
        <w:rPr>
          <w:rFonts w:asciiTheme="minorHAnsi" w:hAnsiTheme="minorHAnsi"/>
          <w:color w:val="1D2228"/>
          <w:bdr w:val="none" w:sz="0" w:space="0" w:color="auto" w:frame="1"/>
        </w:rPr>
        <w:t xml:space="preserve"> they will not be guilty o</w:t>
      </w:r>
      <w:r w:rsidR="00214FD6" w:rsidRPr="00980F57">
        <w:rPr>
          <w:rFonts w:asciiTheme="minorHAnsi" w:hAnsiTheme="minorHAnsi"/>
          <w:color w:val="1D2228"/>
          <w:bdr w:val="none" w:sz="0" w:space="0" w:color="auto" w:frame="1"/>
        </w:rPr>
        <w:t>f</w:t>
      </w:r>
      <w:r w:rsidRPr="00980F57">
        <w:rPr>
          <w:rFonts w:asciiTheme="minorHAnsi" w:hAnsiTheme="minorHAnsi"/>
          <w:color w:val="1D2228"/>
          <w:bdr w:val="none" w:sz="0" w:space="0" w:color="auto" w:frame="1"/>
        </w:rPr>
        <w:t xml:space="preserve"> defamation. Freedom of expression is also protected if it was an honest opinion; the criteria for which is set out in The Defamation Act (2013, s.3).</w:t>
      </w:r>
    </w:p>
    <w:p w14:paraId="79BA1FE0" w14:textId="528F82B0"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 xml:space="preserve">Another defence against defamation codified in by the Defamation Act (2013, s.4) is the Public Interest test. It is based off the case law Reynolds v Times Newspapers (2001) Which was abolished when the act came into power.  This defence requires the information to be of interest to the public or that the defendant believed it to be of fair level that it was in the interest of the public. This defence is seen successfully in Economou v de Freitas (2017) which had some of the principles of the Reynolds defence; these were including but not limited to that the defendant had knowledge of ‘unique’ </w:t>
      </w:r>
      <w:r w:rsidR="00214FD6" w:rsidRPr="00980F57">
        <w:rPr>
          <w:rFonts w:asciiTheme="minorHAnsi" w:hAnsiTheme="minorHAnsi"/>
          <w:color w:val="1D2228"/>
        </w:rPr>
        <w:t>facts</w:t>
      </w:r>
      <w:r w:rsidRPr="00980F57">
        <w:rPr>
          <w:rFonts w:asciiTheme="minorHAnsi" w:hAnsiTheme="minorHAnsi"/>
          <w:color w:val="1D2228"/>
        </w:rPr>
        <w:t xml:space="preserve"> of the case as he was the father, there was a degree in urgency and the defendant went to great efforts to not name the claimant. The public interest defence can be seen unsuccessfully in Doyle v Smith (2018). Here it was deemed it was not of public interest as the information related to a private sports club so the information was only of interest to those private members and not the public as a whole, along with this the claimant could not prove he believed that the information would have been of interest to the public as a whole. However, Flood v Times Newspapers Ltd (2012) shows there are other criteria that must be met within the public interest test. This case shows the importance of reporting accurately, it was found here that The Times, although reporting on news of public interest, had used exaggerated wordings and was causing ‘trial by press’ resulting in Times not being protected by the public interest test. </w:t>
      </w:r>
    </w:p>
    <w:p w14:paraId="7465C2AB" w14:textId="32A81583"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 xml:space="preserve">The codifying of case law in The Deformation Act </w:t>
      </w:r>
      <w:r w:rsidR="00D14ED1">
        <w:rPr>
          <w:rFonts w:asciiTheme="minorHAnsi" w:hAnsiTheme="minorHAnsi"/>
          <w:color w:val="1D2228"/>
        </w:rPr>
        <w:t>(</w:t>
      </w:r>
      <w:r w:rsidRPr="00980F57">
        <w:rPr>
          <w:rFonts w:asciiTheme="minorHAnsi" w:hAnsiTheme="minorHAnsi"/>
          <w:color w:val="1D2228"/>
        </w:rPr>
        <w:t>2013</w:t>
      </w:r>
      <w:r w:rsidR="00D14ED1">
        <w:rPr>
          <w:rFonts w:asciiTheme="minorHAnsi" w:hAnsiTheme="minorHAnsi"/>
          <w:color w:val="1D2228"/>
        </w:rPr>
        <w:t>)</w:t>
      </w:r>
      <w:r w:rsidRPr="00980F57">
        <w:rPr>
          <w:rFonts w:asciiTheme="minorHAnsi" w:hAnsiTheme="minorHAnsi"/>
          <w:color w:val="1D2228"/>
        </w:rPr>
        <w:t xml:space="preserve"> has helped to give a balance between freedom of expression and the law on defamation. Lord Sumption in </w:t>
      </w:r>
      <w:proofErr w:type="spellStart"/>
      <w:r w:rsidRPr="00980F57">
        <w:rPr>
          <w:rFonts w:asciiTheme="minorHAnsi" w:hAnsiTheme="minorHAnsi"/>
          <w:color w:val="1D2228"/>
        </w:rPr>
        <w:t>Lachaux</w:t>
      </w:r>
      <w:proofErr w:type="spellEnd"/>
      <w:r w:rsidRPr="00980F57">
        <w:rPr>
          <w:rFonts w:asciiTheme="minorHAnsi" w:hAnsiTheme="minorHAnsi"/>
          <w:color w:val="1D2228"/>
        </w:rPr>
        <w:t xml:space="preserve"> v Independent Print Ltd &amp; Anor</w:t>
      </w:r>
      <w:r w:rsidR="00980F57">
        <w:rPr>
          <w:rFonts w:asciiTheme="minorHAnsi" w:hAnsiTheme="minorHAnsi"/>
          <w:color w:val="1D2228"/>
        </w:rPr>
        <w:t xml:space="preserve"> (2019)</w:t>
      </w:r>
      <w:r w:rsidRPr="00980F57">
        <w:rPr>
          <w:rFonts w:asciiTheme="minorHAnsi" w:hAnsiTheme="minorHAnsi"/>
          <w:color w:val="1D2228"/>
        </w:rPr>
        <w:t> states the act has helped to move away from the favour of protecting reputation to give more balanced outcomes. </w:t>
      </w:r>
    </w:p>
    <w:p w14:paraId="7EEA0258" w14:textId="77777777" w:rsidR="00F97D00" w:rsidRPr="00980F57" w:rsidRDefault="00F97D00" w:rsidP="00980F57">
      <w:pPr>
        <w:spacing w:before="100" w:beforeAutospacing="1" w:after="100" w:afterAutospacing="1" w:line="360" w:lineRule="auto"/>
        <w:rPr>
          <w:rFonts w:asciiTheme="minorHAnsi" w:hAnsiTheme="minorHAnsi"/>
          <w:color w:val="1D2228"/>
        </w:rPr>
      </w:pPr>
    </w:p>
    <w:p w14:paraId="7268DD48" w14:textId="77777777"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t>Reference List</w:t>
      </w:r>
    </w:p>
    <w:p w14:paraId="71E7A5A7" w14:textId="77777777" w:rsidR="00AE323C" w:rsidRPr="00980F57" w:rsidRDefault="00AE323C"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Charles Koch institute (2020) </w:t>
      </w:r>
      <w:r w:rsidRPr="00980F57">
        <w:rPr>
          <w:rFonts w:asciiTheme="minorHAnsi" w:hAnsiTheme="minorHAnsi"/>
          <w:i/>
          <w:iCs/>
          <w:color w:val="1D2228"/>
        </w:rPr>
        <w:t>The Importance of a free press </w:t>
      </w:r>
      <w:r w:rsidRPr="00980F57">
        <w:rPr>
          <w:rFonts w:asciiTheme="minorHAnsi" w:hAnsiTheme="minorHAnsi"/>
          <w:color w:val="1D2228"/>
        </w:rPr>
        <w:t>Available at: </w:t>
      </w:r>
      <w:hyperlink r:id="rId5" w:history="1">
        <w:r w:rsidRPr="00980F57">
          <w:rPr>
            <w:rStyle w:val="Hyperlink"/>
            <w:rFonts w:asciiTheme="minorHAnsi" w:hAnsiTheme="minorHAnsi"/>
            <w:u w:val="none"/>
          </w:rPr>
          <w:t>https://www.charleskochinstitute.org/issue-areas/free-speech-and-toleration/importance-of-a-free-press/</w:t>
        </w:r>
      </w:hyperlink>
      <w:r w:rsidRPr="00980F57">
        <w:rPr>
          <w:rFonts w:asciiTheme="minorHAnsi" w:hAnsiTheme="minorHAnsi"/>
          <w:color w:val="000000"/>
        </w:rPr>
        <w:t xml:space="preserve"> </w:t>
      </w:r>
      <w:r w:rsidRPr="00980F57">
        <w:rPr>
          <w:rFonts w:asciiTheme="minorHAnsi" w:hAnsiTheme="minorHAnsi"/>
          <w:color w:val="1D2228"/>
        </w:rPr>
        <w:t>(Accessed 10 December 2020)</w:t>
      </w:r>
    </w:p>
    <w:p w14:paraId="5ECAFC97" w14:textId="77777777" w:rsidR="00AE323C" w:rsidRPr="00980F57" w:rsidRDefault="00AE323C"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bdr w:val="none" w:sz="0" w:space="0" w:color="auto" w:frame="1"/>
        </w:rPr>
        <w:t>Green R (2020) </w:t>
      </w:r>
      <w:r w:rsidRPr="00980F57">
        <w:rPr>
          <w:rFonts w:asciiTheme="minorHAnsi" w:hAnsiTheme="minorHAnsi"/>
          <w:i/>
          <w:iCs/>
          <w:color w:val="1D2228"/>
          <w:bdr w:val="none" w:sz="0" w:space="0" w:color="auto" w:frame="1"/>
        </w:rPr>
        <w:t>The Fight for Media Freedom </w:t>
      </w:r>
      <w:r w:rsidRPr="00980F57">
        <w:rPr>
          <w:rFonts w:asciiTheme="minorHAnsi" w:hAnsiTheme="minorHAnsi"/>
          <w:color w:val="1D2228"/>
          <w:bdr w:val="none" w:sz="0" w:space="0" w:color="auto" w:frame="1"/>
        </w:rPr>
        <w:t>Available at: </w:t>
      </w:r>
      <w:hyperlink r:id="rId6" w:tgtFrame="_blank" w:history="1">
        <w:r w:rsidRPr="00980F57">
          <w:rPr>
            <w:rFonts w:asciiTheme="minorHAnsi" w:hAnsiTheme="minorHAnsi"/>
            <w:color w:val="000000"/>
            <w:bdr w:val="none" w:sz="0" w:space="0" w:color="auto" w:frame="1"/>
          </w:rPr>
          <w:t>https://www.ibanet.org/Article/NewDetail.aspx?ArticleUid=4DCBAB07-2FEE-4958-B6E9-3187A7D68A1D</w:t>
        </w:r>
      </w:hyperlink>
      <w:r w:rsidRPr="00980F57">
        <w:rPr>
          <w:rFonts w:asciiTheme="minorHAnsi" w:hAnsiTheme="minorHAnsi"/>
          <w:color w:val="1D2228"/>
          <w:bdr w:val="none" w:sz="0" w:space="0" w:color="auto" w:frame="1"/>
        </w:rPr>
        <w:t> (Accessed on: 10</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 December 2020)</w:t>
      </w:r>
    </w:p>
    <w:p w14:paraId="2C490FB0" w14:textId="77777777" w:rsidR="00AE323C" w:rsidRPr="00980F57" w:rsidRDefault="00AE323C" w:rsidP="00980F57">
      <w:pPr>
        <w:spacing w:before="100" w:beforeAutospacing="1" w:after="100" w:afterAutospacing="1" w:line="360" w:lineRule="auto"/>
        <w:textAlignment w:val="baseline"/>
        <w:rPr>
          <w:rFonts w:asciiTheme="minorHAnsi" w:hAnsiTheme="minorHAnsi"/>
          <w:color w:val="1D2228"/>
        </w:rPr>
      </w:pPr>
      <w:r w:rsidRPr="00980F57">
        <w:rPr>
          <w:rFonts w:asciiTheme="minorHAnsi" w:hAnsiTheme="minorHAnsi"/>
          <w:color w:val="1D2228"/>
        </w:rPr>
        <w:t xml:space="preserve">News Media UK (2020) </w:t>
      </w:r>
      <w:r w:rsidRPr="00980F57">
        <w:rPr>
          <w:rFonts w:asciiTheme="minorHAnsi" w:hAnsiTheme="minorHAnsi"/>
          <w:i/>
          <w:iCs/>
          <w:color w:val="1D2228"/>
        </w:rPr>
        <w:t xml:space="preserve">Why is it important? </w:t>
      </w:r>
      <w:r w:rsidRPr="00980F57">
        <w:rPr>
          <w:rFonts w:asciiTheme="minorHAnsi" w:hAnsiTheme="minorHAnsi"/>
          <w:color w:val="1D2228"/>
        </w:rPr>
        <w:t xml:space="preserve">Available at </w:t>
      </w:r>
      <w:hyperlink r:id="rId7" w:history="1">
        <w:r w:rsidRPr="00980F57">
          <w:rPr>
            <w:rStyle w:val="Hyperlink"/>
            <w:rFonts w:asciiTheme="minorHAnsi" w:hAnsiTheme="minorHAnsi"/>
            <w:u w:val="none"/>
          </w:rPr>
          <w:t>http://www.newsmediauk.org/current-topics/press-freedom</w:t>
        </w:r>
      </w:hyperlink>
      <w:r w:rsidRPr="00980F57">
        <w:rPr>
          <w:rFonts w:asciiTheme="minorHAnsi" w:hAnsiTheme="minorHAnsi"/>
          <w:color w:val="1D2228"/>
        </w:rPr>
        <w:t xml:space="preserve"> (Accessed on: 10 Dec 2020)</w:t>
      </w:r>
    </w:p>
    <w:p w14:paraId="09EB9CD2" w14:textId="77777777" w:rsidR="00AE323C" w:rsidRPr="00980F57" w:rsidRDefault="00AE323C" w:rsidP="00980F57">
      <w:pPr>
        <w:spacing w:before="100" w:beforeAutospacing="1" w:after="100" w:afterAutospacing="1" w:line="360" w:lineRule="auto"/>
        <w:rPr>
          <w:rFonts w:asciiTheme="minorHAnsi" w:hAnsiTheme="minorHAnsi"/>
          <w:color w:val="1D2228"/>
        </w:rPr>
      </w:pPr>
      <w:proofErr w:type="spellStart"/>
      <w:r w:rsidRPr="00980F57">
        <w:rPr>
          <w:rFonts w:asciiTheme="minorHAnsi" w:hAnsiTheme="minorHAnsi"/>
          <w:color w:val="1D2228"/>
          <w:bdr w:val="none" w:sz="0" w:space="0" w:color="auto" w:frame="1"/>
        </w:rPr>
        <w:t>Rusbridger</w:t>
      </w:r>
      <w:proofErr w:type="spellEnd"/>
      <w:r w:rsidRPr="00980F57">
        <w:rPr>
          <w:rFonts w:asciiTheme="minorHAnsi" w:hAnsiTheme="minorHAnsi"/>
          <w:color w:val="1D2228"/>
          <w:bdr w:val="none" w:sz="0" w:space="0" w:color="auto" w:frame="1"/>
        </w:rPr>
        <w:t xml:space="preserve">, A (2011) ‘The Importance of a Free Press’ </w:t>
      </w:r>
      <w:r w:rsidRPr="00980F57">
        <w:rPr>
          <w:rFonts w:asciiTheme="minorHAnsi" w:hAnsiTheme="minorHAnsi"/>
          <w:i/>
          <w:iCs/>
          <w:color w:val="1D2228"/>
          <w:bdr w:val="none" w:sz="0" w:space="0" w:color="auto" w:frame="1"/>
        </w:rPr>
        <w:t>The Guardian,</w:t>
      </w:r>
      <w:r w:rsidRPr="00980F57">
        <w:rPr>
          <w:rFonts w:asciiTheme="minorHAnsi" w:hAnsiTheme="minorHAnsi"/>
          <w:color w:val="1D2228"/>
          <w:bdr w:val="none" w:sz="0" w:space="0" w:color="auto" w:frame="1"/>
        </w:rPr>
        <w:t xml:space="preserve"> 6</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 October Available at </w:t>
      </w:r>
      <w:hyperlink r:id="rId8" w:tgtFrame="_blank" w:history="1">
        <w:r w:rsidRPr="00980F57">
          <w:rPr>
            <w:rFonts w:asciiTheme="minorHAnsi" w:hAnsiTheme="minorHAnsi"/>
            <w:color w:val="000000"/>
            <w:bdr w:val="none" w:sz="0" w:space="0" w:color="auto" w:frame="1"/>
          </w:rPr>
          <w:t>https://www.theguardian.com/media/2011/oct/06/importance-free-press-alan-rusbridger</w:t>
        </w:r>
      </w:hyperlink>
      <w:r w:rsidRPr="00980F57">
        <w:rPr>
          <w:rFonts w:asciiTheme="minorHAnsi" w:hAnsiTheme="minorHAnsi"/>
          <w:color w:val="1D2228"/>
          <w:bdr w:val="none" w:sz="0" w:space="0" w:color="auto" w:frame="1"/>
        </w:rPr>
        <w:t> (Accessed on: 15</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 December 2020)</w:t>
      </w:r>
    </w:p>
    <w:p w14:paraId="2EEBDB83" w14:textId="10E0C3EC" w:rsidR="00AE323C" w:rsidRPr="00980F57" w:rsidRDefault="00AE323C" w:rsidP="00980F57">
      <w:pPr>
        <w:spacing w:before="100" w:beforeAutospacing="1" w:after="100" w:afterAutospacing="1" w:line="360" w:lineRule="auto"/>
        <w:rPr>
          <w:rFonts w:asciiTheme="minorHAnsi" w:hAnsiTheme="minorHAnsi"/>
          <w:color w:val="1D2228"/>
        </w:rPr>
      </w:pPr>
      <w:r w:rsidRPr="00980F57">
        <w:rPr>
          <w:rFonts w:asciiTheme="minorHAnsi" w:hAnsiTheme="minorHAnsi"/>
          <w:color w:val="1D2228"/>
          <w:bdr w:val="none" w:sz="0" w:space="0" w:color="auto" w:frame="1"/>
        </w:rPr>
        <w:t>Taylor C (2019) </w:t>
      </w:r>
      <w:r w:rsidRPr="00980F57">
        <w:rPr>
          <w:rFonts w:asciiTheme="minorHAnsi" w:hAnsiTheme="minorHAnsi"/>
          <w:i/>
          <w:iCs/>
          <w:color w:val="1D2228"/>
          <w:bdr w:val="none" w:sz="0" w:space="0" w:color="auto" w:frame="1"/>
        </w:rPr>
        <w:t>Constitutional and Administrative Law, </w:t>
      </w:r>
      <w:r w:rsidRPr="00980F57">
        <w:rPr>
          <w:rFonts w:asciiTheme="minorHAnsi" w:hAnsiTheme="minorHAnsi"/>
          <w:color w:val="1D2228"/>
          <w:bdr w:val="none" w:sz="0" w:space="0" w:color="auto" w:frame="1"/>
        </w:rPr>
        <w:t>Harlow: Pearson, 6</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 Edition</w:t>
      </w:r>
    </w:p>
    <w:p w14:paraId="29510569" w14:textId="77777777" w:rsidR="00AE323C" w:rsidRPr="00980F57" w:rsidRDefault="00AE323C" w:rsidP="00980F57">
      <w:pPr>
        <w:spacing w:before="100" w:beforeAutospacing="1" w:after="100" w:afterAutospacing="1" w:line="360" w:lineRule="auto"/>
        <w:textAlignment w:val="baseline"/>
        <w:rPr>
          <w:rFonts w:asciiTheme="minorHAnsi" w:hAnsiTheme="minorHAnsi"/>
          <w:color w:val="1D2228"/>
        </w:rPr>
      </w:pPr>
      <w:r w:rsidRPr="00980F57">
        <w:rPr>
          <w:rFonts w:asciiTheme="minorHAnsi" w:hAnsiTheme="minorHAnsi"/>
          <w:i/>
          <w:iCs/>
          <w:color w:val="1D2228"/>
        </w:rPr>
        <w:t>The Guardian</w:t>
      </w:r>
      <w:r w:rsidRPr="00980F57">
        <w:rPr>
          <w:rFonts w:asciiTheme="minorHAnsi" w:hAnsiTheme="minorHAnsi"/>
          <w:color w:val="1D2228"/>
        </w:rPr>
        <w:t xml:space="preserve"> (2008) ‘A victory for irony as Elton John loses Guardian libel case’ 13 June Available at: </w:t>
      </w:r>
      <w:hyperlink r:id="rId9" w:tgtFrame="_blank" w:history="1">
        <w:r w:rsidRPr="00980F57">
          <w:rPr>
            <w:rFonts w:asciiTheme="minorHAnsi" w:hAnsiTheme="minorHAnsi"/>
            <w:color w:val="000000"/>
          </w:rPr>
          <w:t>https://www.theguardian.com/uk/2008/dec/13/law-press-and-publishing-elton-john-libel-guardian</w:t>
        </w:r>
      </w:hyperlink>
      <w:r w:rsidRPr="00980F57">
        <w:rPr>
          <w:rFonts w:asciiTheme="minorHAnsi" w:hAnsiTheme="minorHAnsi"/>
          <w:color w:val="1D2228"/>
        </w:rPr>
        <w:t>(Accessed on: 09 Dec 2020)</w:t>
      </w:r>
    </w:p>
    <w:p w14:paraId="6C47A640" w14:textId="77777777"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t> </w:t>
      </w:r>
    </w:p>
    <w:p w14:paraId="13C1CB4E" w14:textId="77777777" w:rsidR="00F97D00" w:rsidRPr="00980F57" w:rsidRDefault="00F97D00" w:rsidP="00980F57">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t>Case List</w:t>
      </w:r>
    </w:p>
    <w:p w14:paraId="1B9F1B3D" w14:textId="5F1D9DBC" w:rsidR="00DF65A3" w:rsidRPr="00287A8D" w:rsidRDefault="00DF65A3" w:rsidP="002A16B5">
      <w:pPr>
        <w:spacing w:before="100" w:beforeAutospacing="1" w:after="100" w:afterAutospacing="1" w:line="360" w:lineRule="auto"/>
        <w:rPr>
          <w:rFonts w:asciiTheme="minorHAnsi" w:hAnsiTheme="minorHAnsi"/>
          <w:color w:val="1D2228"/>
        </w:rPr>
      </w:pPr>
      <w:r w:rsidRPr="00287A8D">
        <w:rPr>
          <w:rFonts w:asciiTheme="minorHAnsi" w:hAnsiTheme="minorHAnsi"/>
          <w:color w:val="1D2228"/>
          <w:bdr w:val="none" w:sz="0" w:space="0" w:color="auto" w:frame="1"/>
        </w:rPr>
        <w:t xml:space="preserve">Article 10: </w:t>
      </w:r>
      <w:r w:rsidR="00287A8D" w:rsidRPr="00287A8D">
        <w:rPr>
          <w:rFonts w:asciiTheme="minorHAnsi" w:hAnsiTheme="minorHAnsi"/>
          <w:color w:val="1D2228"/>
          <w:bdr w:val="none" w:sz="0" w:space="0" w:color="auto" w:frame="1"/>
        </w:rPr>
        <w:t>Human Rights Act 1998</w:t>
      </w:r>
      <w:r w:rsidRPr="00287A8D">
        <w:rPr>
          <w:rFonts w:asciiTheme="minorHAnsi" w:hAnsiTheme="minorHAnsi"/>
          <w:color w:val="1D2228"/>
          <w:bdr w:val="none" w:sz="0" w:space="0" w:color="auto" w:frame="1"/>
        </w:rPr>
        <w:t> </w:t>
      </w:r>
    </w:p>
    <w:p w14:paraId="41E4BA58"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Berkoff v Burchill [1996] 4 All ER 1008[LK1] [</w:t>
      </w:r>
      <w:proofErr w:type="gramStart"/>
      <w:r w:rsidRPr="00980F57">
        <w:rPr>
          <w:rFonts w:asciiTheme="minorHAnsi" w:hAnsiTheme="minorHAnsi"/>
          <w:color w:val="1D2228"/>
        </w:rPr>
        <w:t>MM(</w:t>
      </w:r>
      <w:proofErr w:type="gramEnd"/>
      <w:r w:rsidRPr="00980F57">
        <w:rPr>
          <w:rFonts w:asciiTheme="minorHAnsi" w:hAnsiTheme="minorHAnsi"/>
          <w:color w:val="1D2228"/>
        </w:rPr>
        <w:t>2] [MM(3] [MM(4] [MM(5] </w:t>
      </w:r>
    </w:p>
    <w:p w14:paraId="7ECD8ADF"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t>Defamation Act 2013 c. 1 </w:t>
      </w:r>
      <w:r w:rsidRPr="00980F57">
        <w:rPr>
          <w:rFonts w:asciiTheme="minorHAnsi" w:hAnsiTheme="minorHAnsi"/>
          <w:color w:val="1D2228"/>
          <w:bdr w:val="none" w:sz="0" w:space="0" w:color="auto" w:frame="1"/>
        </w:rPr>
        <w:t>Available at: </w:t>
      </w:r>
      <w:hyperlink r:id="rId10" w:tgtFrame="_blank" w:history="1">
        <w:r w:rsidRPr="00980F57">
          <w:rPr>
            <w:rFonts w:asciiTheme="minorHAnsi" w:hAnsiTheme="minorHAnsi"/>
            <w:color w:val="000000"/>
            <w:bdr w:val="none" w:sz="0" w:space="0" w:color="auto" w:frame="1"/>
          </w:rPr>
          <w:t>https://www.legislation.gov.uk/ukpga/2013/26/section/1/enacted</w:t>
        </w:r>
      </w:hyperlink>
      <w:r w:rsidRPr="00980F57">
        <w:rPr>
          <w:rFonts w:asciiTheme="minorHAnsi" w:hAnsiTheme="minorHAnsi"/>
          <w:color w:val="1D2228"/>
          <w:bdr w:val="none" w:sz="0" w:space="0" w:color="auto" w:frame="1"/>
        </w:rPr>
        <w:t>(Accessed on: 10 December 2020)</w:t>
      </w:r>
    </w:p>
    <w:p w14:paraId="2E55831A" w14:textId="42C5794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lastRenderedPageBreak/>
        <w:t xml:space="preserve">Defamation Act 2013 </w:t>
      </w:r>
      <w:r w:rsidR="00D14ED1">
        <w:rPr>
          <w:rFonts w:asciiTheme="minorHAnsi" w:hAnsiTheme="minorHAnsi"/>
          <w:i/>
          <w:iCs/>
          <w:color w:val="1D2228"/>
          <w:bdr w:val="none" w:sz="0" w:space="0" w:color="auto" w:frame="1"/>
        </w:rPr>
        <w:t>s</w:t>
      </w:r>
      <w:r w:rsidRPr="00980F57">
        <w:rPr>
          <w:rFonts w:asciiTheme="minorHAnsi" w:hAnsiTheme="minorHAnsi"/>
          <w:i/>
          <w:iCs/>
          <w:color w:val="1D2228"/>
          <w:bdr w:val="none" w:sz="0" w:space="0" w:color="auto" w:frame="1"/>
        </w:rPr>
        <w:t>. 1 </w:t>
      </w:r>
      <w:r w:rsidRPr="00980F57">
        <w:rPr>
          <w:rFonts w:asciiTheme="minorHAnsi" w:hAnsiTheme="minorHAnsi"/>
          <w:color w:val="1D2228"/>
          <w:bdr w:val="none" w:sz="0" w:space="0" w:color="auto" w:frame="1"/>
        </w:rPr>
        <w:t>Available at:</w:t>
      </w:r>
      <w:hyperlink r:id="rId11" w:tgtFrame="_blank" w:history="1">
        <w:r w:rsidRPr="00980F57">
          <w:rPr>
            <w:rFonts w:asciiTheme="minorHAnsi" w:hAnsiTheme="minorHAnsi"/>
            <w:color w:val="000000"/>
            <w:bdr w:val="none" w:sz="0" w:space="0" w:color="auto" w:frame="1"/>
          </w:rPr>
          <w:t>https://www.legislation.gov.uk/ukpga/2013/26/crossheading/defences/enacted</w:t>
        </w:r>
      </w:hyperlink>
      <w:r w:rsidRPr="00980F57">
        <w:rPr>
          <w:rFonts w:asciiTheme="minorHAnsi" w:hAnsiTheme="minorHAnsi"/>
          <w:color w:val="1D2228"/>
          <w:bdr w:val="none" w:sz="0" w:space="0" w:color="auto" w:frame="1"/>
        </w:rPr>
        <w:t> (Accessed on: 10</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December 2020)</w:t>
      </w:r>
    </w:p>
    <w:p w14:paraId="21933A1D" w14:textId="6C912E8C"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i/>
          <w:iCs/>
          <w:color w:val="1D2228"/>
          <w:bdr w:val="none" w:sz="0" w:space="0" w:color="auto" w:frame="1"/>
        </w:rPr>
        <w:t xml:space="preserve">Defamation Act 2013 </w:t>
      </w:r>
      <w:r w:rsidR="00D14ED1">
        <w:rPr>
          <w:rFonts w:asciiTheme="minorHAnsi" w:hAnsiTheme="minorHAnsi"/>
          <w:i/>
          <w:iCs/>
          <w:color w:val="1D2228"/>
          <w:bdr w:val="none" w:sz="0" w:space="0" w:color="auto" w:frame="1"/>
        </w:rPr>
        <w:t>s</w:t>
      </w:r>
      <w:r w:rsidRPr="00980F57">
        <w:rPr>
          <w:rFonts w:asciiTheme="minorHAnsi" w:hAnsiTheme="minorHAnsi"/>
          <w:i/>
          <w:iCs/>
          <w:color w:val="1D2228"/>
          <w:bdr w:val="none" w:sz="0" w:space="0" w:color="auto" w:frame="1"/>
        </w:rPr>
        <w:t>. 4 </w:t>
      </w:r>
      <w:r w:rsidRPr="00980F57">
        <w:rPr>
          <w:rFonts w:asciiTheme="minorHAnsi" w:hAnsiTheme="minorHAnsi"/>
          <w:color w:val="1D2228"/>
          <w:bdr w:val="none" w:sz="0" w:space="0" w:color="auto" w:frame="1"/>
        </w:rPr>
        <w:t>Available at:</w:t>
      </w:r>
      <w:hyperlink r:id="rId12" w:tgtFrame="_blank" w:history="1">
        <w:r w:rsidRPr="00980F57">
          <w:rPr>
            <w:rFonts w:asciiTheme="minorHAnsi" w:hAnsiTheme="minorHAnsi"/>
            <w:color w:val="000000"/>
            <w:bdr w:val="none" w:sz="0" w:space="0" w:color="auto" w:frame="1"/>
          </w:rPr>
          <w:t>https://www.legislation.gov.uk/ukpga/2013/26/crossheading/defences/enacted</w:t>
        </w:r>
      </w:hyperlink>
      <w:r w:rsidRPr="00980F57">
        <w:rPr>
          <w:rFonts w:asciiTheme="minorHAnsi" w:hAnsiTheme="minorHAnsi"/>
          <w:color w:val="1D2228"/>
          <w:bdr w:val="none" w:sz="0" w:space="0" w:color="auto" w:frame="1"/>
        </w:rPr>
        <w:t> (Accessed on 10th December 2020) </w:t>
      </w:r>
    </w:p>
    <w:p w14:paraId="282930D2" w14:textId="7E39C0D8"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 xml:space="preserve">Defamation Act 2013, </w:t>
      </w:r>
      <w:r w:rsidR="00D14ED1">
        <w:rPr>
          <w:rFonts w:asciiTheme="minorHAnsi" w:hAnsiTheme="minorHAnsi"/>
          <w:color w:val="1D2228"/>
        </w:rPr>
        <w:t>s.</w:t>
      </w:r>
      <w:r w:rsidRPr="00980F57">
        <w:rPr>
          <w:rFonts w:asciiTheme="minorHAnsi" w:hAnsiTheme="minorHAnsi"/>
          <w:color w:val="1D2228"/>
        </w:rPr>
        <w:t xml:space="preserve"> 6</w:t>
      </w:r>
      <w:r w:rsidRPr="00980F57">
        <w:rPr>
          <w:rFonts w:asciiTheme="minorHAnsi" w:hAnsiTheme="minorHAnsi"/>
          <w:color w:val="1D2228"/>
          <w:bdr w:val="none" w:sz="0" w:space="0" w:color="auto" w:frame="1"/>
        </w:rPr>
        <w:t>, Available at:</w:t>
      </w:r>
      <w:r w:rsidRPr="00980F57">
        <w:rPr>
          <w:rFonts w:asciiTheme="minorHAnsi" w:hAnsiTheme="minorHAnsi"/>
          <w:color w:val="1D2228"/>
        </w:rPr>
        <w:t> </w:t>
      </w:r>
      <w:hyperlink r:id="rId13" w:tgtFrame="_blank" w:history="1">
        <w:r w:rsidRPr="00980F57">
          <w:rPr>
            <w:rFonts w:asciiTheme="minorHAnsi" w:hAnsiTheme="minorHAnsi"/>
            <w:color w:val="000000"/>
            <w:bdr w:val="none" w:sz="0" w:space="0" w:color="auto" w:frame="1"/>
          </w:rPr>
          <w:t>https://www.legislation.gov.uk/ukpga/2013/26/section/4/enacted</w:t>
        </w:r>
      </w:hyperlink>
      <w:r w:rsidRPr="00980F57">
        <w:rPr>
          <w:rFonts w:asciiTheme="minorHAnsi" w:hAnsiTheme="minorHAnsi"/>
          <w:color w:val="1D2228"/>
          <w:bdr w:val="none" w:sz="0" w:space="0" w:color="auto" w:frame="1"/>
        </w:rPr>
        <w:t>(Accessed on: 8</w:t>
      </w:r>
      <w:r w:rsidRPr="00980F57">
        <w:rPr>
          <w:rFonts w:asciiTheme="minorHAnsi" w:hAnsiTheme="minorHAnsi"/>
          <w:color w:val="1D2228"/>
          <w:bdr w:val="none" w:sz="0" w:space="0" w:color="auto" w:frame="1"/>
          <w:vertAlign w:val="superscript"/>
        </w:rPr>
        <w:t>th</w:t>
      </w:r>
      <w:r w:rsidRPr="00980F57">
        <w:rPr>
          <w:rFonts w:asciiTheme="minorHAnsi" w:hAnsiTheme="minorHAnsi"/>
          <w:color w:val="1D2228"/>
          <w:bdr w:val="none" w:sz="0" w:space="0" w:color="auto" w:frame="1"/>
        </w:rPr>
        <w:t> December 2020)</w:t>
      </w:r>
    </w:p>
    <w:p w14:paraId="4F42AA4D"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Derbyshire County Council v Times Newspapers Ltd (1993) [1993] AC 534 </w:t>
      </w:r>
    </w:p>
    <w:p w14:paraId="4B8C26C9"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Doyle v Smith (2018) EWHC 2935</w:t>
      </w:r>
    </w:p>
    <w:p w14:paraId="5AB8CC8D"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 xml:space="preserve">Flood v Times Newspapers Ltd (2012) [2010] EWCA </w:t>
      </w:r>
      <w:proofErr w:type="spellStart"/>
      <w:r w:rsidRPr="00980F57">
        <w:rPr>
          <w:rFonts w:asciiTheme="minorHAnsi" w:hAnsiTheme="minorHAnsi"/>
          <w:color w:val="1D2228"/>
        </w:rPr>
        <w:t>Civ</w:t>
      </w:r>
      <w:proofErr w:type="spellEnd"/>
      <w:r w:rsidRPr="00980F57">
        <w:rPr>
          <w:rFonts w:asciiTheme="minorHAnsi" w:hAnsiTheme="minorHAnsi"/>
          <w:color w:val="1D2228"/>
        </w:rPr>
        <w:t xml:space="preserve"> 804</w:t>
      </w:r>
    </w:p>
    <w:p w14:paraId="7E8C2DC3" w14:textId="77777777" w:rsidR="00DF65A3" w:rsidRPr="00980F57" w:rsidRDefault="00DF65A3" w:rsidP="002A16B5">
      <w:pPr>
        <w:spacing w:before="100" w:beforeAutospacing="1" w:after="100" w:afterAutospacing="1" w:line="360" w:lineRule="auto"/>
        <w:rPr>
          <w:rFonts w:asciiTheme="minorHAnsi" w:hAnsiTheme="minorHAnsi"/>
          <w:color w:val="1D2228"/>
        </w:rPr>
      </w:pPr>
      <w:proofErr w:type="spellStart"/>
      <w:r w:rsidRPr="00980F57">
        <w:rPr>
          <w:rFonts w:asciiTheme="minorHAnsi" w:hAnsiTheme="minorHAnsi"/>
          <w:color w:val="1D2228"/>
        </w:rPr>
        <w:t>Interbrew</w:t>
      </w:r>
      <w:proofErr w:type="spellEnd"/>
      <w:r w:rsidRPr="00980F57">
        <w:rPr>
          <w:rFonts w:asciiTheme="minorHAnsi" w:hAnsiTheme="minorHAnsi"/>
          <w:color w:val="1D2228"/>
        </w:rPr>
        <w:t xml:space="preserve"> SA v Financial Times Ltd (2002) </w:t>
      </w:r>
      <w:proofErr w:type="spellStart"/>
      <w:r w:rsidRPr="00980F57">
        <w:rPr>
          <w:rFonts w:asciiTheme="minorHAnsi" w:hAnsiTheme="minorHAnsi"/>
          <w:color w:val="1D2228"/>
        </w:rPr>
        <w:t>Civ</w:t>
      </w:r>
      <w:proofErr w:type="spellEnd"/>
      <w:r w:rsidRPr="00980F57">
        <w:rPr>
          <w:rFonts w:asciiTheme="minorHAnsi" w:hAnsiTheme="minorHAnsi"/>
          <w:color w:val="1D2228"/>
        </w:rPr>
        <w:t xml:space="preserve"> 274</w:t>
      </w:r>
    </w:p>
    <w:p w14:paraId="62C48B4C"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John v Guardian News Media Ltd [2008]: [2008] EWHC 3066 (QB)</w:t>
      </w:r>
    </w:p>
    <w:p w14:paraId="2920CD62" w14:textId="77777777" w:rsidR="00DF65A3" w:rsidRPr="00980F57" w:rsidRDefault="00DF65A3" w:rsidP="002A16B5">
      <w:pPr>
        <w:spacing w:before="100" w:beforeAutospacing="1" w:after="100" w:afterAutospacing="1" w:line="360" w:lineRule="auto"/>
        <w:rPr>
          <w:rFonts w:asciiTheme="minorHAnsi" w:hAnsiTheme="minorHAnsi"/>
          <w:color w:val="1D2228"/>
        </w:rPr>
      </w:pPr>
      <w:proofErr w:type="spellStart"/>
      <w:r w:rsidRPr="00980F57">
        <w:rPr>
          <w:rFonts w:asciiTheme="minorHAnsi" w:hAnsiTheme="minorHAnsi"/>
          <w:color w:val="1D2228"/>
          <w:bdr w:val="none" w:sz="0" w:space="0" w:color="auto" w:frame="1"/>
        </w:rPr>
        <w:t>Knuppfer</w:t>
      </w:r>
      <w:proofErr w:type="spellEnd"/>
      <w:r w:rsidRPr="00980F57">
        <w:rPr>
          <w:rFonts w:asciiTheme="minorHAnsi" w:hAnsiTheme="minorHAnsi"/>
          <w:color w:val="1D2228"/>
          <w:bdr w:val="none" w:sz="0" w:space="0" w:color="auto" w:frame="1"/>
        </w:rPr>
        <w:t xml:space="preserve"> v London Express Newspaper Ltd [1944] AC 116</w:t>
      </w:r>
    </w:p>
    <w:p w14:paraId="6A73FC38" w14:textId="77777777" w:rsidR="00DF65A3" w:rsidRPr="00980F57" w:rsidRDefault="00D14ED1" w:rsidP="002A16B5">
      <w:pPr>
        <w:spacing w:before="100" w:beforeAutospacing="1" w:after="100" w:afterAutospacing="1" w:line="360" w:lineRule="auto"/>
        <w:rPr>
          <w:rFonts w:asciiTheme="minorHAnsi" w:hAnsiTheme="minorHAnsi"/>
          <w:color w:val="1D2228"/>
        </w:rPr>
      </w:pPr>
      <w:hyperlink r:id="rId14" w:tgtFrame="_blank" w:history="1">
        <w:proofErr w:type="spellStart"/>
        <w:r w:rsidR="00DF65A3" w:rsidRPr="00980F57">
          <w:rPr>
            <w:rFonts w:asciiTheme="minorHAnsi" w:hAnsiTheme="minorHAnsi"/>
            <w:color w:val="000000"/>
          </w:rPr>
          <w:t>Lachaux</w:t>
        </w:r>
        <w:proofErr w:type="spellEnd"/>
        <w:r w:rsidR="00DF65A3" w:rsidRPr="00980F57">
          <w:rPr>
            <w:rFonts w:asciiTheme="minorHAnsi" w:hAnsiTheme="minorHAnsi"/>
            <w:color w:val="000000"/>
          </w:rPr>
          <w:t xml:space="preserve"> v Independent Print Ltd &amp; Anor [2019] UKSC 27</w:t>
        </w:r>
      </w:hyperlink>
      <w:r w:rsidR="00DF65A3" w:rsidRPr="00980F57">
        <w:rPr>
          <w:rFonts w:asciiTheme="minorHAnsi" w:hAnsiTheme="minorHAnsi"/>
          <w:color w:val="1D2228"/>
        </w:rPr>
        <w:t>,</w:t>
      </w:r>
    </w:p>
    <w:p w14:paraId="7E9FE574"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Reynolds v Times Newspapers Ltd [2001] 2 AC 127</w:t>
      </w:r>
    </w:p>
    <w:p w14:paraId="57328FAC" w14:textId="77777777"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Sim v Stretch [1936] 2 All ER 1237, 1240 </w:t>
      </w:r>
    </w:p>
    <w:p w14:paraId="03FC31AA" w14:textId="77777777" w:rsidR="002A16B5"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rPr>
        <w:t>Sir Kevin Barron MP &amp; Others v Jane Collins MEP &amp; UKIP [2018] EWHC 253 (QB)</w:t>
      </w:r>
    </w:p>
    <w:p w14:paraId="2E85B011" w14:textId="012BAF99" w:rsidR="00DF65A3" w:rsidRPr="00980F57" w:rsidRDefault="00DF65A3" w:rsidP="002A16B5">
      <w:pPr>
        <w:spacing w:before="100" w:beforeAutospacing="1" w:after="100" w:afterAutospacing="1" w:line="360" w:lineRule="auto"/>
        <w:rPr>
          <w:rFonts w:asciiTheme="minorHAnsi" w:hAnsiTheme="minorHAnsi"/>
          <w:color w:val="1D2228"/>
        </w:rPr>
      </w:pPr>
      <w:r w:rsidRPr="00980F57">
        <w:rPr>
          <w:rFonts w:asciiTheme="minorHAnsi" w:hAnsiTheme="minorHAnsi"/>
          <w:color w:val="1D2228"/>
          <w:bdr w:val="none" w:sz="0" w:space="0" w:color="auto" w:frame="1"/>
        </w:rPr>
        <w:t>Turley v UNITE the Union &amp; Anor</w:t>
      </w:r>
      <w:r w:rsidRPr="00980F57">
        <w:rPr>
          <w:rFonts w:asciiTheme="minorHAnsi" w:hAnsiTheme="minorHAnsi"/>
          <w:color w:val="1D2228"/>
        </w:rPr>
        <w:t> </w:t>
      </w:r>
      <w:hyperlink r:id="rId15" w:tgtFrame="_blank" w:history="1">
        <w:r w:rsidRPr="00980F57">
          <w:rPr>
            <w:rFonts w:asciiTheme="minorHAnsi" w:hAnsiTheme="minorHAnsi"/>
            <w:color w:val="000000"/>
          </w:rPr>
          <w:t>[2019] EWHC 3547 (QB)</w:t>
        </w:r>
      </w:hyperlink>
    </w:p>
    <w:sectPr w:rsidR="00DF65A3" w:rsidRPr="00980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ew serif">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97CAD"/>
    <w:multiLevelType w:val="hybridMultilevel"/>
    <w:tmpl w:val="08002A86"/>
    <w:lvl w:ilvl="0" w:tplc="847612F0">
      <w:numFmt w:val="bullet"/>
      <w:lvlText w:val="·"/>
      <w:lvlJc w:val="left"/>
      <w:pPr>
        <w:ind w:left="740" w:hanging="38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3F0B3F"/>
    <w:multiLevelType w:val="hybridMultilevel"/>
    <w:tmpl w:val="24A65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62"/>
    <w:rsid w:val="000C1D98"/>
    <w:rsid w:val="00106028"/>
    <w:rsid w:val="00214FD6"/>
    <w:rsid w:val="00287A8D"/>
    <w:rsid w:val="002A16B5"/>
    <w:rsid w:val="00477E92"/>
    <w:rsid w:val="004A7FB2"/>
    <w:rsid w:val="005539B2"/>
    <w:rsid w:val="00561162"/>
    <w:rsid w:val="00980F57"/>
    <w:rsid w:val="00AE323C"/>
    <w:rsid w:val="00CC353B"/>
    <w:rsid w:val="00D14ED1"/>
    <w:rsid w:val="00DF65A3"/>
    <w:rsid w:val="00EB3353"/>
    <w:rsid w:val="00F9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3D0188"/>
  <w15:chartTrackingRefBased/>
  <w15:docId w15:val="{126747D6-A78D-CC45-9671-B5A23A9B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FB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187538625ydpf9cd5994msonormal">
    <w:name w:val="yiv4187538625ydpf9cd5994msonormal"/>
    <w:basedOn w:val="Normal"/>
    <w:rsid w:val="00561162"/>
    <w:pPr>
      <w:spacing w:before="100" w:beforeAutospacing="1" w:after="100" w:afterAutospacing="1"/>
    </w:pPr>
  </w:style>
  <w:style w:type="paragraph" w:styleId="ListParagraph">
    <w:name w:val="List Paragraph"/>
    <w:basedOn w:val="Normal"/>
    <w:uiPriority w:val="34"/>
    <w:qFormat/>
    <w:rsid w:val="00214FD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C353B"/>
    <w:rPr>
      <w:color w:val="0563C1" w:themeColor="hyperlink"/>
      <w:u w:val="single"/>
    </w:rPr>
  </w:style>
  <w:style w:type="character" w:styleId="UnresolvedMention">
    <w:name w:val="Unresolved Mention"/>
    <w:basedOn w:val="DefaultParagraphFont"/>
    <w:uiPriority w:val="99"/>
    <w:semiHidden/>
    <w:unhideWhenUsed/>
    <w:rsid w:val="00CC353B"/>
    <w:rPr>
      <w:color w:val="605E5C"/>
      <w:shd w:val="clear" w:color="auto" w:fill="E1DFDD"/>
    </w:rPr>
  </w:style>
  <w:style w:type="character" w:styleId="Strong">
    <w:name w:val="Strong"/>
    <w:basedOn w:val="DefaultParagraphFont"/>
    <w:uiPriority w:val="22"/>
    <w:qFormat/>
    <w:rsid w:val="004A7FB2"/>
    <w:rPr>
      <w:b/>
      <w:bCs/>
    </w:rPr>
  </w:style>
  <w:style w:type="paragraph" w:styleId="BalloonText">
    <w:name w:val="Balloon Text"/>
    <w:basedOn w:val="Normal"/>
    <w:link w:val="BalloonTextChar"/>
    <w:uiPriority w:val="99"/>
    <w:semiHidden/>
    <w:unhideWhenUsed/>
    <w:rsid w:val="00287A8D"/>
    <w:rPr>
      <w:sz w:val="18"/>
      <w:szCs w:val="18"/>
    </w:rPr>
  </w:style>
  <w:style w:type="character" w:customStyle="1" w:styleId="BalloonTextChar">
    <w:name w:val="Balloon Text Char"/>
    <w:basedOn w:val="DefaultParagraphFont"/>
    <w:link w:val="BalloonText"/>
    <w:uiPriority w:val="99"/>
    <w:semiHidden/>
    <w:rsid w:val="00287A8D"/>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96494">
      <w:bodyDiv w:val="1"/>
      <w:marLeft w:val="0"/>
      <w:marRight w:val="0"/>
      <w:marTop w:val="0"/>
      <w:marBottom w:val="0"/>
      <w:divBdr>
        <w:top w:val="none" w:sz="0" w:space="0" w:color="auto"/>
        <w:left w:val="none" w:sz="0" w:space="0" w:color="auto"/>
        <w:bottom w:val="none" w:sz="0" w:space="0" w:color="auto"/>
        <w:right w:val="none" w:sz="0" w:space="0" w:color="auto"/>
      </w:divBdr>
    </w:div>
    <w:div w:id="199321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edia/2011/oct/06/importance-free-press-alan-rusbridger" TargetMode="External"/><Relationship Id="rId13" Type="http://schemas.openxmlformats.org/officeDocument/2006/relationships/hyperlink" Target="https://www.legislation.gov.uk/ukpga/2013/26/section/4/enacted" TargetMode="External"/><Relationship Id="rId3" Type="http://schemas.openxmlformats.org/officeDocument/2006/relationships/settings" Target="settings.xml"/><Relationship Id="rId7" Type="http://schemas.openxmlformats.org/officeDocument/2006/relationships/hyperlink" Target="http://www.newsmediauk.org/current-topics/press-freedom" TargetMode="External"/><Relationship Id="rId12" Type="http://schemas.openxmlformats.org/officeDocument/2006/relationships/hyperlink" Target="https://www.legislation.gov.uk/ukpga/2013/26/crossheading/defences/enact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banet.org/Article/NewDetail.aspx?ArticleUid=4DCBAB07-2FEE-4958-B6E9-3187A7D68A1D" TargetMode="External"/><Relationship Id="rId11" Type="http://schemas.openxmlformats.org/officeDocument/2006/relationships/hyperlink" Target="https://www.legislation.gov.uk/ukpga/2013/26/crossheading/defences/enacted" TargetMode="External"/><Relationship Id="rId5" Type="http://schemas.openxmlformats.org/officeDocument/2006/relationships/hyperlink" Target="https://www.charleskochinstitute.org/issue-areas/free-speech-and-toleration/importance-of-a-free-press/" TargetMode="External"/><Relationship Id="rId15" Type="http://schemas.openxmlformats.org/officeDocument/2006/relationships/hyperlink" Target="https://www.bailii.org/ew/cases/EWHC/QB/2019/3547.html" TargetMode="External"/><Relationship Id="rId10" Type="http://schemas.openxmlformats.org/officeDocument/2006/relationships/hyperlink" Target="https://www.legislation.gov.uk/ukpga/2013/26/section/1/enacted" TargetMode="External"/><Relationship Id="rId4" Type="http://schemas.openxmlformats.org/officeDocument/2006/relationships/webSettings" Target="webSettings.xml"/><Relationship Id="rId9" Type="http://schemas.openxmlformats.org/officeDocument/2006/relationships/hyperlink" Target="https://www.theguardian.com/uk/2008/dec/13/law-press-and-publishing-elton-john-libel-guardian" TargetMode="External"/><Relationship Id="rId14" Type="http://schemas.openxmlformats.org/officeDocument/2006/relationships/hyperlink" Target="https://www.bailii.org/cgi-bin/format.cgi?doc=/uk/cases/UKSC/2019/2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6</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10</cp:revision>
  <dcterms:created xsi:type="dcterms:W3CDTF">2020-12-29T20:05:00Z</dcterms:created>
  <dcterms:modified xsi:type="dcterms:W3CDTF">2021-01-07T20:20:00Z</dcterms:modified>
</cp:coreProperties>
</file>