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6E56E" w14:textId="15CC3D2E" w:rsidR="00434326" w:rsidRDefault="00434326" w:rsidP="00434326">
      <w:r>
        <w:t xml:space="preserve">Agreements are divided into three types: social/domestic </w:t>
      </w:r>
      <w:r w:rsidR="00027EDD">
        <w:t>agreements, commercial</w:t>
      </w:r>
      <w:r>
        <w:t xml:space="preserve"> agreements and agreements with public </w:t>
      </w:r>
      <w:proofErr w:type="gramStart"/>
      <w:r>
        <w:t>bodies ,</w:t>
      </w:r>
      <w:proofErr w:type="gramEnd"/>
      <w:r>
        <w:t xml:space="preserve"> each with its own presumption.</w:t>
      </w:r>
    </w:p>
    <w:p w14:paraId="117557E9" w14:textId="6258BDC9" w:rsidR="004E6ACB" w:rsidRDefault="00434326" w:rsidP="00434326">
      <w:r>
        <w:t xml:space="preserve">The presumption for social/domestic agreements is that there is no purpose to form legal relationships; for business contracts, the assumption is that such a shown from. But the term "presumption" is not employed in its precise evidential sense here. When we state that purpose is implied in business agreements, we imply that a reasonable person in this circumstance would have anticipated legal consequences from this arrangement. </w:t>
      </w:r>
      <w:r w:rsidRPr="00434326">
        <w:t>The application of distinct presumptions for domestic and commercial agreements has always been the starting point for assessing this intention.</w:t>
      </w:r>
      <w:r>
        <w:t xml:space="preserve"> If there is any doubt, the objective test for determining intention will be used. </w:t>
      </w:r>
      <w:r w:rsidRPr="00434326">
        <w:t xml:space="preserve">In the scenario of non-commercial agreements, the law relating to purpose to form legal relations is most challenging. The challenge derives in part from the difficulty in distinguishing between social and domestic arrangements, and in part from the need to be able to enforce particular contracts </w:t>
      </w:r>
      <w:proofErr w:type="gramStart"/>
      <w:r w:rsidRPr="00434326">
        <w:t>regardless</w:t>
      </w:r>
      <w:proofErr w:type="gramEnd"/>
      <w:r w:rsidRPr="00434326">
        <w:t xml:space="preserve"> if they are social or domestic in nature.</w:t>
      </w:r>
    </w:p>
    <w:p w14:paraId="0175B2CC" w14:textId="62657436" w:rsidR="00016DD2" w:rsidRDefault="00016DD2" w:rsidP="005A4028">
      <w:r w:rsidRPr="00016DD2">
        <w:t xml:space="preserve">Balfour v Balfour This is a critical case. It was determined that because the agreement is between both spouses, it was not a valid contract. The defendant, the husband, claims that he did not </w:t>
      </w:r>
      <w:proofErr w:type="gramStart"/>
      <w:r w:rsidRPr="00016DD2">
        <w:t>enter into</w:t>
      </w:r>
      <w:proofErr w:type="gramEnd"/>
      <w:r w:rsidRPr="00016DD2">
        <w:t xml:space="preserve"> a contract with his wife, and in order to determine this, it is important to recall that there are agreements among parties that do not result in agreements within the sense of that term in our law. The most common example is when two people agree to go on a walk together, or when there is an offer and acceptance of hospitality. Nobody would argue that under ordinary situations, those arrangements result in what we call a contract, and one of the most common types of agreement that does not constitute a contract, in my opinion, are the arrangements established between husband and wife. It is quite common, and it is the unavoidable and inevitable result of a husband and wife's relationship, for the two spouses to make arrangements between themselves—agreements for entitlements, by which the husband agrees to pay to his wife some certain sum of money, per week, per period, or per season, to cover whether her own expenditures or the necessary expenses of the family and</w:t>
      </w:r>
      <w:r>
        <w:t xml:space="preserve"> </w:t>
      </w:r>
      <w:r w:rsidRPr="00016DD2">
        <w:t>or the kids of the union, and in which the woman directly or implicitly commits to use the allowance for the reason for which it is granted.</w:t>
      </w:r>
      <w:r w:rsidR="005A4028">
        <w:t xml:space="preserve"> </w:t>
      </w:r>
      <w:proofErr w:type="gramStart"/>
      <w:r w:rsidR="005A4028">
        <w:t xml:space="preserve">In  </w:t>
      </w:r>
      <w:proofErr w:type="spellStart"/>
      <w:r w:rsidR="005A4028">
        <w:t>Merrit</w:t>
      </w:r>
      <w:proofErr w:type="spellEnd"/>
      <w:proofErr w:type="gramEnd"/>
      <w:r w:rsidR="005A4028">
        <w:t xml:space="preserve"> v </w:t>
      </w:r>
      <w:proofErr w:type="spellStart"/>
      <w:r w:rsidR="005A4028">
        <w:t>Merrit</w:t>
      </w:r>
      <w:proofErr w:type="spellEnd"/>
      <w:r w:rsidR="005A4028">
        <w:t xml:space="preserve"> it was determined that the intention of the written agreement was to establish legal relationships among the parties. The presumption against such a specific intent was not relevant when the husband and wife were separated or on the verge of separation and not living in </w:t>
      </w:r>
      <w:r w:rsidR="001B2753">
        <w:t>amity. LORD</w:t>
      </w:r>
      <w:r w:rsidR="005A4028">
        <w:t xml:space="preserve"> DENNING </w:t>
      </w:r>
      <w:proofErr w:type="gramStart"/>
      <w:r w:rsidR="005A4028">
        <w:t>MR  argues</w:t>
      </w:r>
      <w:proofErr w:type="gramEnd"/>
      <w:r w:rsidR="005A4028">
        <w:t xml:space="preserve"> on the husband’s behalf that the arrangement was not meant to establish legal relations. It was a family arrangement comparable to those considered by the court in Balfour v. Balfour and Jones v. </w:t>
      </w:r>
      <w:proofErr w:type="spellStart"/>
      <w:r w:rsidR="005A4028">
        <w:t>Padavatton</w:t>
      </w:r>
      <w:proofErr w:type="spellEnd"/>
      <w:r w:rsidR="005A4028">
        <w:t xml:space="preserve">, according to him. Therefore, the wife could not sue over </w:t>
      </w:r>
      <w:proofErr w:type="spellStart"/>
      <w:proofErr w:type="gramStart"/>
      <w:r w:rsidR="005A4028">
        <w:t>it.I</w:t>
      </w:r>
      <w:proofErr w:type="spellEnd"/>
      <w:proofErr w:type="gramEnd"/>
      <w:r w:rsidR="005A4028">
        <w:t xml:space="preserve"> do not believe that those cases apply here. The parties were living in harmony with one another. Typically, their domestic arrangements are not aimed at establishing legal relations in such situations. When the parties are not residing in amity but are kept separate or about to separate, the situation is entirely different. They then negotiate vigorously. They do not depend on honourable agreements. They want everything to be </w:t>
      </w:r>
      <w:r w:rsidR="00481D7D">
        <w:t>straightforward. It</w:t>
      </w:r>
      <w:r w:rsidR="005A4028">
        <w:t xml:space="preserve"> is reasonable to assume that they intend to establish legal relations.</w:t>
      </w:r>
      <w:r w:rsidR="00481D7D" w:rsidRPr="00481D7D">
        <w:t xml:space="preserve"> In the case of Gould v. Gould, after the sides had separated, the husband agreed to give his ex-wife £12 per week "as long as he could afford it." </w:t>
      </w:r>
      <w:proofErr w:type="gramStart"/>
      <w:r w:rsidR="00481D7D" w:rsidRPr="00481D7D">
        <w:t>The majority of</w:t>
      </w:r>
      <w:proofErr w:type="gramEnd"/>
      <w:r w:rsidR="00481D7D" w:rsidRPr="00481D7D">
        <w:t xml:space="preserve"> the court believed that the agreement was not meant to set up legal relations because these words introduced so much uncertainty. Without this element of doubt, I am certain that the large percentage would have viewed the agreement as binding.</w:t>
      </w:r>
      <w:r w:rsidR="00481D7D">
        <w:t xml:space="preserve"> </w:t>
      </w:r>
      <w:r w:rsidR="00481D7D" w:rsidRPr="00481D7D">
        <w:t xml:space="preserve">In Jones v. </w:t>
      </w:r>
      <w:proofErr w:type="spellStart"/>
      <w:r w:rsidR="00481D7D" w:rsidRPr="00481D7D">
        <w:t>Padavatton</w:t>
      </w:r>
      <w:proofErr w:type="spellEnd"/>
      <w:r w:rsidR="00481D7D" w:rsidRPr="00481D7D">
        <w:t xml:space="preserve">, </w:t>
      </w:r>
      <w:proofErr w:type="spellStart"/>
      <w:r w:rsidR="00481D7D" w:rsidRPr="00481D7D">
        <w:t>Danckwerts</w:t>
      </w:r>
      <w:proofErr w:type="spellEnd"/>
      <w:r w:rsidR="00481D7D" w:rsidRPr="00481D7D">
        <w:t xml:space="preserve"> and Fenton Atkinson LJJ ruled that the mother was obligated to possession since the agreement was a non-binding family arrangement. In addition, it was much too ambiguous and unsure to be lawful as a contract. In Simpkins v Pays The court ruled that, regardless of familial ties and informal subtext, there was mutuality in the contract between the parties, by which they consented to the weekly capitulation of </w:t>
      </w:r>
      <w:r w:rsidR="00481D7D" w:rsidRPr="00481D7D">
        <w:lastRenderedPageBreak/>
        <w:t xml:space="preserve">the forecast in Ms. Pay's name and, if successful, the prize money would be shared equally by all three parties. Notwithstanding </w:t>
      </w:r>
      <w:proofErr w:type="gramStart"/>
      <w:r w:rsidR="00481D7D" w:rsidRPr="00481D7D">
        <w:t>the  domestic</w:t>
      </w:r>
      <w:proofErr w:type="gramEnd"/>
      <w:r w:rsidR="00481D7D" w:rsidRPr="00481D7D">
        <w:t xml:space="preserve"> context, Ms. Simpkins's completion of the coupon for Ms. Pays was not a gratuitous act but rather the result of an agreement in which each party had a stake in the outcome, indicating an intent to establish legal relations. The court determined that the implied contract to distribute the shares into thirds constituted a legally binding agreement.</w:t>
      </w:r>
    </w:p>
    <w:p w14:paraId="3453AFBA" w14:textId="3E3B72A9" w:rsidR="00EF58B4" w:rsidRDefault="00EF58B4" w:rsidP="005A4028">
      <w:r w:rsidRPr="00EF58B4">
        <w:t>Again, for presumption against intention to create legal relations, it is unlikely that the courts will find the certain express statement of the parties to be conclusive, as the policy element of the doctrine is strongest here. In certain instances, however, the courts have been willing to find social/domestic contracts enforceable, but it's not always easy to identify the evidence that led to the rebuttal of the presumption. Objective truth of terms, severity, and dependence appear to be significant factors.</w:t>
      </w:r>
    </w:p>
    <w:p w14:paraId="09AA9896" w14:textId="6928354C" w:rsidR="00273DE5" w:rsidRDefault="00273DE5" w:rsidP="005A4028">
      <w:r w:rsidRPr="00273DE5">
        <w:t xml:space="preserve">The visualise that domestic and social pacts are actionable in cases that have a massive consequence on the parties is troublesome as it is not totally compatible with what the judges say they are still doing. Furthermore, the orthodox language of specific intent seems to be built on a legal fiction, as few (if any) parties consider the question of whether constitutional rights are created when forming such agreements. This is to be expected, as such agreements are entered into with the expectation of continued good relations. It would be unpleasant if the nobler feelings of parties to significant social or domestic agreements became an obstacle to legal recourse in situations where their good relations have deteriorated. For this justification, the court system must put themselves in the spot of the sides at the point in time and ask </w:t>
      </w:r>
      <w:proofErr w:type="gramStart"/>
      <w:r w:rsidRPr="00273DE5">
        <w:t>whether or not</w:t>
      </w:r>
      <w:proofErr w:type="gramEnd"/>
      <w:r w:rsidRPr="00273DE5">
        <w:t xml:space="preserve"> it was reasonable to anticipate legal relations to consequence from the contract in the unfavourable outcome of cordial relations ending. The greater the seriousness of the agreement's promises, the more accurately they are conveyed, and the higher the reliance on the agreement, the greater the courts' eagerness to find intent.</w:t>
      </w:r>
    </w:p>
    <w:p w14:paraId="7DFA1C96" w14:textId="77777777" w:rsidR="000F11AF" w:rsidRDefault="001B2753" w:rsidP="000F11AF">
      <w:r>
        <w:t xml:space="preserve">In commercial contracts, the intent to establish a legal relationship is </w:t>
      </w:r>
      <w:r w:rsidR="007175C5">
        <w:t>presumed. A</w:t>
      </w:r>
      <w:r>
        <w:t xml:space="preserve"> mere puff cannot be enforced because it is not meant to be taken simply and is not of a contractual nature. One of the principal economic functions of contracts is to encourage exchange. Due to this, the presumption of intent in such agreements is extremely challenging to disprove. </w:t>
      </w:r>
      <w:r w:rsidRPr="001B2753">
        <w:t>In Bowerman v. Association of British Travel Agents Ltd, the court determined that ABTA and the public who booked their vacations with ABTA members had a direct contractual relationship. The ATA notice posted on the venue of each member tour operator formed a contractual offer on terms obligating ABT to refund the cost of insurance, as it was intended to be read as a proposal that a client would accept by booking a vacation with an ABTA member and could be reasonably interpreted as such.</w:t>
      </w:r>
      <w:r w:rsidR="007175C5">
        <w:t xml:space="preserve"> In Esso Petroleum Ltd v. Commissioners of Customs, Lord Fraser ruled that the coins were not being sold because, if there was a contract (a contentious issue), the consideration for the handover of the coin was not money, but rather the customer's promise to join into a collateral agreement to buy four gallons of gasoline. The reasoning of the majority regarding the existence of a contract involving the coins varied. As Viscount </w:t>
      </w:r>
      <w:proofErr w:type="spellStart"/>
      <w:r w:rsidR="007175C5">
        <w:t>Dilhorne</w:t>
      </w:r>
      <w:proofErr w:type="spellEnd"/>
      <w:r w:rsidR="007175C5">
        <w:t xml:space="preserve"> and Lord Russell viewed the coins as a gift, and as the coins had almost no intrinsic value, there was no intention to establish legal relations. Lords Simon and Wilberforce came to opposing conclusions regarding the arrangement, given that it involved business relationships.</w:t>
      </w:r>
      <w:r w:rsidR="007175C5" w:rsidRPr="007175C5">
        <w:t xml:space="preserve"> In Kleinwort Benson Ltd v Malaysia Mining Corporation </w:t>
      </w:r>
      <w:proofErr w:type="spellStart"/>
      <w:r w:rsidR="007175C5" w:rsidRPr="007175C5">
        <w:t>Berhad</w:t>
      </w:r>
      <w:proofErr w:type="spellEnd"/>
      <w:r w:rsidR="007175C5" w:rsidRPr="007175C5">
        <w:t>, the courts took a different stance; they recommended that the appropriate test to determine the status of a comfort letter was whether a promise was being made, as opposed to the test applied by Hirst J at first instance |1988| 1 WLR 799-whether there was an intention to create legal relations. The words in this letter of comfort amounted to nothing more than a policy statement and were not considered a promise.</w:t>
      </w:r>
      <w:r w:rsidR="000F11AF">
        <w:t xml:space="preserve"> The presumption of intent to establish legal relations may also be rebutted by the use of </w:t>
      </w:r>
      <w:proofErr w:type="gramStart"/>
      <w:r w:rsidR="000F11AF">
        <w:t>a</w:t>
      </w:r>
      <w:proofErr w:type="gramEnd"/>
      <w:r w:rsidR="000F11AF">
        <w:t xml:space="preserve"> "honour clause," which disallows the court system and states that the arrangement is valid and enforceable </w:t>
      </w:r>
      <w:r w:rsidR="000F11AF">
        <w:lastRenderedPageBreak/>
        <w:t>only on the parties' honour. It is the Rose and Frank Co. v. J. R. Crompton and Brothers Ltd. case in this instance.</w:t>
      </w:r>
    </w:p>
    <w:p w14:paraId="13C3E5C2" w14:textId="77777777" w:rsidR="00BF0C90" w:rsidRDefault="000F11AF" w:rsidP="00BF0C90">
      <w:r>
        <w:t xml:space="preserve">The Court of Appeals determined there was no legally binding contract, so no action could be brought based on it. A majority (with Atkin </w:t>
      </w:r>
      <w:proofErr w:type="spellStart"/>
      <w:r>
        <w:t>lJ</w:t>
      </w:r>
      <w:proofErr w:type="spellEnd"/>
      <w:r>
        <w:t xml:space="preserve"> dissenting) also determined that commands and admissions of those orders did not constitute contractual commitments to deliver. The House of Lords acknowledged that there was no legally binding contract due to the honour clause, but agreed with Atkin LJ in the Court of Appeal that the instructions had been acknowledged and shipment was therefore legally required.</w:t>
      </w:r>
      <w:r w:rsidR="00DF5976" w:rsidRPr="00DF5976">
        <w:t xml:space="preserve"> For commercial contracts, the presumption of intent to create legal relations is not applicable when it is alleged that an agreement should be intended to imply from the parties' behaviour, as compared to a contract among both them resulting from express agreement. The party asserting the existence of such a contract bears the burden of establishing the necessity for inferring it, and this is contingent upon the capacity to prove the existence of an intent to be legally bound. This is connected to the clarity of the alleged terms. It may be challenging to categorise an agreement as social/domestic or commercial. In Edmonds v. </w:t>
      </w:r>
      <w:proofErr w:type="spellStart"/>
      <w:r w:rsidR="00DF5976" w:rsidRPr="00DF5976">
        <w:t>Lavson</w:t>
      </w:r>
      <w:proofErr w:type="spellEnd"/>
      <w:r w:rsidR="00DF5976" w:rsidRPr="00DF5976">
        <w:t>, the Court of Appeal did not make such a determination, but instead focused on the particular circumstances surrounding the offer of traineeship in chambers.</w:t>
      </w:r>
    </w:p>
    <w:p w14:paraId="7E120C84" w14:textId="2868EF3E" w:rsidR="00BF0C90" w:rsidRDefault="00BF0C90" w:rsidP="00BF0C90">
      <w:r>
        <w:t>The courts may determine there was not a purpose to establish legal effect with public entities. First, because a court (as a matter of public policy) may determine that even if a contract appears enforceable, there is no contractual relationship. This can occur in a variety of ways: Incur unjustified public expenses, dishearten the will of the legislature, and harm the operation of a public service.</w:t>
      </w:r>
    </w:p>
    <w:p w14:paraId="5CAED9C4" w14:textId="3DE04F7D" w:rsidR="00083345" w:rsidRDefault="00083345" w:rsidP="00BF0C90">
      <w:r w:rsidRPr="00083345">
        <w:t xml:space="preserve">To summarise everything based on previous cases and the judgement that was carried out by the judiciary, </w:t>
      </w:r>
      <w:proofErr w:type="gramStart"/>
      <w:r w:rsidRPr="00083345">
        <w:t>it would appear that courts</w:t>
      </w:r>
      <w:proofErr w:type="gramEnd"/>
      <w:r w:rsidRPr="00083345">
        <w:t xml:space="preserve"> do not recognise social and domestic agreements as being legally binding except in certain circumstances, depending on the nature of the situation, and where there is some exchange of value. The judiciary has a much better approach because of the commercial purpose that lies behind commercial contracts and the nature of the contracts, which typically involve the exchange of goods or services for one another. On the other hand, the agreement might not be recognised and therefore not be enforceable in some circumstances. In terms of the contracts with the various public bodies, there is no contract if the body merely does what it is already required to do. Some individuals assume that the intention to create legal intentions was more strongly established in the commercial contracts than in the social or domestic contracts, as well as in the agreements made with public bodies or arrangements made in the interest of the public.</w:t>
      </w:r>
    </w:p>
    <w:p w14:paraId="615646E6" w14:textId="1B9B2404" w:rsidR="00184109" w:rsidRDefault="00184109" w:rsidP="00BF0C90"/>
    <w:p w14:paraId="2CFA5CE1" w14:textId="77777777" w:rsidR="00184109" w:rsidRDefault="00184109" w:rsidP="00184109">
      <w:pPr>
        <w:pStyle w:val="NormalWeb"/>
        <w:spacing w:before="0" w:beforeAutospacing="0" w:after="240" w:afterAutospacing="0" w:line="360" w:lineRule="auto"/>
        <w:rPr>
          <w:sz w:val="36"/>
          <w:szCs w:val="36"/>
        </w:rPr>
      </w:pPr>
      <w:r>
        <w:rPr>
          <w:sz w:val="36"/>
          <w:szCs w:val="36"/>
        </w:rPr>
        <w:t>Reference list</w:t>
      </w:r>
    </w:p>
    <w:p w14:paraId="1BC9F7BC" w14:textId="77777777" w:rsidR="00184109" w:rsidRDefault="00184109" w:rsidP="00184109">
      <w:pPr>
        <w:pStyle w:val="NormalWeb"/>
        <w:numPr>
          <w:ilvl w:val="0"/>
          <w:numId w:val="1"/>
        </w:numPr>
        <w:spacing w:before="0" w:beforeAutospacing="0" w:after="240" w:afterAutospacing="0" w:line="360" w:lineRule="auto"/>
      </w:pPr>
      <w:r>
        <w:rPr>
          <w:i/>
          <w:iCs/>
        </w:rPr>
        <w:t xml:space="preserve">Balfour v Balfour </w:t>
      </w:r>
      <w:proofErr w:type="spellStart"/>
      <w:r>
        <w:rPr>
          <w:i/>
          <w:iCs/>
        </w:rPr>
        <w:t>Balfour</w:t>
      </w:r>
      <w:proofErr w:type="spellEnd"/>
      <w:r>
        <w:rPr>
          <w:i/>
          <w:iCs/>
        </w:rPr>
        <w:t xml:space="preserve"> v Balfour [1918-19] All ER Rep 860</w:t>
      </w:r>
      <w:r>
        <w:t xml:space="preserve"> Available at: https://plus-lexis-com.ezproxy.uwtsd.ac.uk/uk/document/?pdmfid=1001073&amp;crid=01ed7508-ab8d-41e8-a686-d052e9ee7985&amp;pddocfullpath=%2Fshared%2Fdocument%2Fcases-uk%2Furn%3AcontentItem%3A4FPP-FFM0-TWXJ-20GV-00000-00&amp;pdcontentcomponentid=279846&amp;pdteaserkey=&amp;pdislpamode=false&amp;pddocumen</w:t>
      </w:r>
      <w:r>
        <w:lastRenderedPageBreak/>
        <w:t>tnumber=1&amp;ecomp=ht5k&amp;earg=sr0&amp;prid=17ee0eb0-21a4-412e-b844-951b96c90d4f [Accessed 10 Mar. 2023].</w:t>
      </w:r>
    </w:p>
    <w:p w14:paraId="2E31B287" w14:textId="77777777" w:rsidR="00184109" w:rsidRDefault="00184109" w:rsidP="00184109">
      <w:pPr>
        <w:pStyle w:val="NormalWeb"/>
        <w:numPr>
          <w:ilvl w:val="0"/>
          <w:numId w:val="1"/>
        </w:numPr>
        <w:spacing w:before="0" w:beforeAutospacing="0" w:after="240" w:afterAutospacing="0" w:line="360" w:lineRule="auto"/>
      </w:pPr>
      <w:r>
        <w:rPr>
          <w:i/>
          <w:iCs/>
        </w:rPr>
        <w:t>Bowerman v Association of British Travel Agents Ltd</w:t>
      </w:r>
      <w:r>
        <w:t xml:space="preserve"> [1995] (Court of Appeal) Available at: https://plus-lexis-com.ezproxy.uwtsd.ac.uk/uk/document/?pdmfid=1001073&amp;crid=aa59d94c-abc5-401e-b38a-957c59b1d8b0&amp;pddocfullpath=%2Fshared%2Fdocument%2Fcases-uk%2Furn%3AcontentItem%3A4FXN-0XC0-TWW4-20JX-00000-00&amp;pdcontentcomponentid=279841&amp;pdteaserkey=&amp;pdislpamode=false&amp;pddocumentnumber=1&amp;ecomp=ht5k&amp;earg=sr0&amp;prid=35c0b63c-dc0f-48c7-9ff7-300fde167d35 [Accessed 10 Mar. 2023].</w:t>
      </w:r>
    </w:p>
    <w:p w14:paraId="439AA69B" w14:textId="77777777" w:rsidR="00184109" w:rsidRDefault="00184109" w:rsidP="00184109">
      <w:pPr>
        <w:pStyle w:val="NormalWeb"/>
        <w:numPr>
          <w:ilvl w:val="0"/>
          <w:numId w:val="1"/>
        </w:numPr>
        <w:spacing w:before="0" w:beforeAutospacing="0" w:after="240" w:afterAutospacing="0" w:line="360" w:lineRule="auto"/>
      </w:pPr>
      <w:r>
        <w:rPr>
          <w:i/>
          <w:iCs/>
        </w:rPr>
        <w:t>Edmonds v Lawson</w:t>
      </w:r>
      <w:r>
        <w:t xml:space="preserve"> [2000] Available at: https://plus-lexis-com.ezproxy.uwtsd.ac.uk/uk/document/?pdmfid=1001073&amp;crid=45c22722-3721-4f9b-a437-c09441e0d236&amp;pddocfullpath=%2Fshared%2Fdocument%2Fcases-uk%2Furn%3AcontentItem%3A4FXM-YJG0-TWW4-21N3-00000-00&amp;pdcontentcomponentid=279841&amp;pdteaserkey=&amp;pdislpamode=false&amp;pddocumentnumber=1&amp;ecomp=ht5k&amp;earg=sr0&amp;prid=b51fb822-0c48-4ef0-802a-550e04adfbdf [Accessed 10 Mar. 2023].</w:t>
      </w:r>
    </w:p>
    <w:p w14:paraId="1EF65FAD" w14:textId="77777777" w:rsidR="00184109" w:rsidRDefault="00184109" w:rsidP="00184109">
      <w:pPr>
        <w:pStyle w:val="NormalWeb"/>
        <w:numPr>
          <w:ilvl w:val="0"/>
          <w:numId w:val="1"/>
        </w:numPr>
        <w:spacing w:before="0" w:beforeAutospacing="0" w:after="240" w:afterAutospacing="0" w:line="360" w:lineRule="auto"/>
      </w:pPr>
      <w:r>
        <w:rPr>
          <w:i/>
          <w:iCs/>
        </w:rPr>
        <w:t>Esso Petroleum Ltd v Commissioners of Customs</w:t>
      </w:r>
      <w:r>
        <w:t xml:space="preserve"> [1975] (House of Lords) Available at: https://plus-lexis-com.ezproxy.uwtsd.ac.uk/uk/document/?pdmfid=1001073&amp;crid=495f3569-4142-4a67-bf31-7e93c299691b&amp;pddocfullpath=%2Fshared%2Fdocument%2Fcases-uk%2Furn%3AcontentItem%3A4FXP-N4R0-TWW4-21JY-00000-00&amp;pdcontentcomponentid=279841&amp;pdteaserkey=&amp;pdislpamode=false&amp;pddocumentnumber=1&amp;ecomp=ht5k&amp;earg=sr0&amp;prid=08692fab-9d0a-4b02-aca1-d2352f5f03ed [Accessed 10 Mar. 2023].</w:t>
      </w:r>
    </w:p>
    <w:p w14:paraId="6CC141BE" w14:textId="77777777" w:rsidR="00184109" w:rsidRDefault="00184109" w:rsidP="00184109">
      <w:pPr>
        <w:pStyle w:val="NormalWeb"/>
        <w:numPr>
          <w:ilvl w:val="0"/>
          <w:numId w:val="1"/>
        </w:numPr>
        <w:spacing w:before="0" w:beforeAutospacing="0" w:after="240" w:afterAutospacing="0" w:line="360" w:lineRule="auto"/>
      </w:pPr>
      <w:r>
        <w:rPr>
          <w:i/>
          <w:iCs/>
        </w:rPr>
        <w:t>Gould v Gould</w:t>
      </w:r>
      <w:r>
        <w:t xml:space="preserve"> [1887] (Court of Session) Available at: https://plus-lexis-com.ezproxy.uwtsd.ac.uk/uk/document/?pdmfid=1001073&amp;crid=cc4b03b1-6159-45e2-9207-bc16295efd89&amp;pddocfullpath=%2Fshared%2Fdocument%2Fcases-uk%2Furn%3AcontentItem%3A5J52-BPB1-F0JW-T317-00000-00&amp;pdcontentcomponentid=316558&amp;pdteaserkey=&amp;pdislpamode=false&amp;pddocumen</w:t>
      </w:r>
      <w:r>
        <w:lastRenderedPageBreak/>
        <w:t>tnumber=1&amp;ecomp=ht5k&amp;earg=sr0&amp;prid=004cbe1d-4e12-46a5-9364-e16d3220457d [Accessed 10 Mar. 2023].</w:t>
      </w:r>
    </w:p>
    <w:p w14:paraId="4D040451" w14:textId="77777777" w:rsidR="00184109" w:rsidRDefault="00184109" w:rsidP="00184109">
      <w:pPr>
        <w:pStyle w:val="NormalWeb"/>
        <w:numPr>
          <w:ilvl w:val="0"/>
          <w:numId w:val="1"/>
        </w:numPr>
        <w:spacing w:before="0" w:beforeAutospacing="0" w:after="240" w:afterAutospacing="0" w:line="360" w:lineRule="auto"/>
      </w:pPr>
      <w:r>
        <w:t xml:space="preserve">GOV.UK. (n.d.). </w:t>
      </w:r>
      <w:r>
        <w:rPr>
          <w:i/>
          <w:iCs/>
        </w:rPr>
        <w:t>Davison and Robinson Limited v The Commissioners for HM Revenue and Customs: [2018] UKUT 0437 (TCC)</w:t>
      </w:r>
      <w:r>
        <w:t>. [online] Available at: https://www.gov.uk/tax-and-chancery-tribunal-decisions/davison-and-robinson-limited-v-the-commissioners-for-hm-revenue-and-customs-2018-ukut-0437-tcc [Accessed 10 Mar. 2023].</w:t>
      </w:r>
    </w:p>
    <w:p w14:paraId="2E267FA7" w14:textId="77777777" w:rsidR="00184109" w:rsidRDefault="00184109" w:rsidP="00184109">
      <w:pPr>
        <w:pStyle w:val="NormalWeb"/>
        <w:numPr>
          <w:ilvl w:val="0"/>
          <w:numId w:val="1"/>
        </w:numPr>
        <w:spacing w:before="0" w:beforeAutospacing="0" w:after="240" w:afterAutospacing="0" w:line="360" w:lineRule="auto"/>
      </w:pPr>
      <w:r>
        <w:rPr>
          <w:i/>
          <w:iCs/>
        </w:rPr>
        <w:t xml:space="preserve">Jones v </w:t>
      </w:r>
      <w:proofErr w:type="spellStart"/>
      <w:r>
        <w:rPr>
          <w:i/>
          <w:iCs/>
        </w:rPr>
        <w:t>Padavatton</w:t>
      </w:r>
      <w:proofErr w:type="spellEnd"/>
      <w:r>
        <w:rPr>
          <w:i/>
          <w:iCs/>
        </w:rPr>
        <w:t xml:space="preserve"> [1968] EWCA </w:t>
      </w:r>
      <w:proofErr w:type="spellStart"/>
      <w:r>
        <w:rPr>
          <w:i/>
          <w:iCs/>
        </w:rPr>
        <w:t>Civ</w:t>
      </w:r>
      <w:proofErr w:type="spellEnd"/>
      <w:r>
        <w:rPr>
          <w:i/>
          <w:iCs/>
        </w:rPr>
        <w:t xml:space="preserve"> 4 (29 November 1968)</w:t>
      </w:r>
      <w:r>
        <w:t xml:space="preserve"> [</w:t>
      </w:r>
      <w:proofErr w:type="gramStart"/>
      <w:r>
        <w:t>1968]www.bailii.org</w:t>
      </w:r>
      <w:proofErr w:type="gramEnd"/>
      <w:r>
        <w:t xml:space="preserve"> (Court of appeal) Available at: https://www.bailii.org/ew/cases/EWCA/Civ/1968/4.html [Accessed 10 Mar. 2023].</w:t>
      </w:r>
    </w:p>
    <w:p w14:paraId="15FBF68C" w14:textId="77777777" w:rsidR="00184109" w:rsidRDefault="00184109" w:rsidP="00184109">
      <w:pPr>
        <w:pStyle w:val="NormalWeb"/>
        <w:numPr>
          <w:ilvl w:val="0"/>
          <w:numId w:val="1"/>
        </w:numPr>
        <w:spacing w:before="0" w:beforeAutospacing="0" w:after="240" w:afterAutospacing="0" w:line="360" w:lineRule="auto"/>
      </w:pPr>
      <w:r>
        <w:rPr>
          <w:i/>
          <w:iCs/>
        </w:rPr>
        <w:t xml:space="preserve">Kleinwort Benson Ltd v Malaysia Mining Corporation </w:t>
      </w:r>
      <w:proofErr w:type="spellStart"/>
      <w:r>
        <w:rPr>
          <w:i/>
          <w:iCs/>
        </w:rPr>
        <w:t>Berhad</w:t>
      </w:r>
      <w:proofErr w:type="spellEnd"/>
      <w:r>
        <w:t xml:space="preserve"> [1989] (Court of Appeal) Available at: https://plus-lexis-com.ezproxy.uwtsd.ac.uk/uk/document/?pdmfid=1001073&amp;crid=0996c6e7-2983-453a-a9f5-f41b54065cbd&amp;pddocfullpath=%2Fshared%2Fdocument%2Fcases-uk%2Furn%3AcontentItem%3A4FXM-YHX0-TWW4-2094-00000-00&amp;pdcontentcomponentid=279841&amp;pdteaserkey=&amp;pdislpamode=false&amp;pddocumentnumber=1&amp;ecomp=ht5k&amp;earg=sr0&amp;prid=41f9be9a-844c-4b3c-b2d6-fc24d40d200d [Accessed 10 Mar. 2023].</w:t>
      </w:r>
    </w:p>
    <w:p w14:paraId="7E2E1A45" w14:textId="77777777" w:rsidR="00184109" w:rsidRDefault="00184109" w:rsidP="00184109">
      <w:pPr>
        <w:pStyle w:val="NormalWeb"/>
        <w:numPr>
          <w:ilvl w:val="0"/>
          <w:numId w:val="1"/>
        </w:numPr>
        <w:spacing w:before="0" w:beforeAutospacing="0" w:after="240" w:afterAutospacing="0" w:line="360" w:lineRule="auto"/>
      </w:pPr>
      <w:r>
        <w:rPr>
          <w:i/>
          <w:iCs/>
        </w:rPr>
        <w:t xml:space="preserve">Merritt v Merritt [1970] EWCA </w:t>
      </w:r>
      <w:proofErr w:type="spellStart"/>
      <w:r>
        <w:rPr>
          <w:i/>
          <w:iCs/>
        </w:rPr>
        <w:t>Civ</w:t>
      </w:r>
      <w:proofErr w:type="spellEnd"/>
      <w:r>
        <w:rPr>
          <w:i/>
          <w:iCs/>
        </w:rPr>
        <w:t xml:space="preserve"> 6 (27 April 1970)</w:t>
      </w:r>
      <w:r>
        <w:t xml:space="preserve"> [</w:t>
      </w:r>
      <w:proofErr w:type="gramStart"/>
      <w:r>
        <w:t>1970]www.bailii.org</w:t>
      </w:r>
      <w:proofErr w:type="gramEnd"/>
      <w:r>
        <w:t xml:space="preserve"> (Court of Appeal) Available at: https://www.bailii.org/ew/cases/EWCA/Civ/1970/6.html [Accessed 10 Mar. 2023].</w:t>
      </w:r>
    </w:p>
    <w:p w14:paraId="49B2B8DC" w14:textId="77777777" w:rsidR="00184109" w:rsidRDefault="00184109" w:rsidP="00184109">
      <w:pPr>
        <w:pStyle w:val="NormalWeb"/>
        <w:numPr>
          <w:ilvl w:val="0"/>
          <w:numId w:val="1"/>
        </w:numPr>
        <w:spacing w:before="0" w:beforeAutospacing="0" w:after="240" w:afterAutospacing="0" w:line="360" w:lineRule="auto"/>
      </w:pPr>
      <w:r>
        <w:t xml:space="preserve">Poole, J. (2016). </w:t>
      </w:r>
      <w:r>
        <w:rPr>
          <w:i/>
          <w:iCs/>
        </w:rPr>
        <w:t>Textbook on contract law</w:t>
      </w:r>
      <w:r>
        <w:t>. Oxford: Oxford University Press.</w:t>
      </w:r>
    </w:p>
    <w:p w14:paraId="686AAA0F" w14:textId="77777777" w:rsidR="00184109" w:rsidRDefault="00184109" w:rsidP="00184109">
      <w:pPr>
        <w:pStyle w:val="NormalWeb"/>
        <w:numPr>
          <w:ilvl w:val="0"/>
          <w:numId w:val="1"/>
        </w:numPr>
        <w:spacing w:before="0" w:beforeAutospacing="0" w:after="240" w:afterAutospacing="0" w:line="360" w:lineRule="auto"/>
      </w:pPr>
      <w:r>
        <w:rPr>
          <w:i/>
          <w:iCs/>
        </w:rPr>
        <w:t>Rose and Frank Co v JR Crompton and Bros Ltd</w:t>
      </w:r>
      <w:r>
        <w:t xml:space="preserve"> Available at: https://www.lawteacher.net/cases/rose-and-frank-v-crompton.php [Accessed 10 Mar. 2023].</w:t>
      </w:r>
    </w:p>
    <w:p w14:paraId="5F0AEEFE" w14:textId="77777777" w:rsidR="00184109" w:rsidRDefault="00184109" w:rsidP="00184109">
      <w:pPr>
        <w:pStyle w:val="NormalWeb"/>
        <w:numPr>
          <w:ilvl w:val="0"/>
          <w:numId w:val="1"/>
        </w:numPr>
        <w:spacing w:before="0" w:beforeAutospacing="0" w:after="240" w:afterAutospacing="0" w:line="360" w:lineRule="auto"/>
      </w:pPr>
      <w:proofErr w:type="spellStart"/>
      <w:r>
        <w:t>Saintier</w:t>
      </w:r>
      <w:proofErr w:type="spellEnd"/>
      <w:r>
        <w:t xml:space="preserve">, R. (2021a). </w:t>
      </w:r>
      <w:r>
        <w:rPr>
          <w:i/>
          <w:iCs/>
        </w:rPr>
        <w:t xml:space="preserve">Poole’s Casebook </w:t>
      </w:r>
      <w:proofErr w:type="gramStart"/>
      <w:r>
        <w:rPr>
          <w:i/>
          <w:iCs/>
        </w:rPr>
        <w:t>On</w:t>
      </w:r>
      <w:proofErr w:type="gramEnd"/>
      <w:r>
        <w:rPr>
          <w:i/>
          <w:iCs/>
        </w:rPr>
        <w:t xml:space="preserve"> Contract Law.</w:t>
      </w:r>
      <w:r>
        <w:t xml:space="preserve"> 15th ed. S.L.: Oxford </w:t>
      </w:r>
      <w:proofErr w:type="spellStart"/>
      <w:r>
        <w:t>Univ</w:t>
      </w:r>
      <w:proofErr w:type="spellEnd"/>
      <w:r>
        <w:t xml:space="preserve"> Press.</w:t>
      </w:r>
    </w:p>
    <w:p w14:paraId="417F758B" w14:textId="77777777" w:rsidR="00184109" w:rsidRDefault="00184109" w:rsidP="00184109">
      <w:pPr>
        <w:pStyle w:val="NormalWeb"/>
        <w:numPr>
          <w:ilvl w:val="0"/>
          <w:numId w:val="1"/>
        </w:numPr>
        <w:spacing w:before="0" w:beforeAutospacing="0" w:after="240" w:afterAutospacing="0" w:line="360" w:lineRule="auto"/>
      </w:pPr>
      <w:proofErr w:type="spellStart"/>
      <w:r>
        <w:t>Saintier</w:t>
      </w:r>
      <w:proofErr w:type="spellEnd"/>
      <w:r>
        <w:t xml:space="preserve">, R. (2021b). </w:t>
      </w:r>
      <w:r>
        <w:rPr>
          <w:i/>
          <w:iCs/>
        </w:rPr>
        <w:t xml:space="preserve">Poole’s Textbook </w:t>
      </w:r>
      <w:proofErr w:type="gramStart"/>
      <w:r>
        <w:rPr>
          <w:i/>
          <w:iCs/>
        </w:rPr>
        <w:t>On</w:t>
      </w:r>
      <w:proofErr w:type="gramEnd"/>
      <w:r>
        <w:rPr>
          <w:i/>
          <w:iCs/>
        </w:rPr>
        <w:t xml:space="preserve"> Contract Law.</w:t>
      </w:r>
      <w:r>
        <w:t xml:space="preserve"> 15th ed. S.L.: Oxford </w:t>
      </w:r>
      <w:proofErr w:type="spellStart"/>
      <w:r>
        <w:t>Univ</w:t>
      </w:r>
      <w:proofErr w:type="spellEnd"/>
      <w:r>
        <w:t xml:space="preserve"> Press.</w:t>
      </w:r>
    </w:p>
    <w:p w14:paraId="51CD2538" w14:textId="77777777" w:rsidR="00184109" w:rsidRDefault="00184109" w:rsidP="00184109">
      <w:pPr>
        <w:pStyle w:val="NormalWeb"/>
        <w:numPr>
          <w:ilvl w:val="0"/>
          <w:numId w:val="1"/>
        </w:numPr>
        <w:spacing w:before="0" w:beforeAutospacing="0" w:after="240" w:afterAutospacing="0" w:line="360" w:lineRule="auto"/>
      </w:pPr>
      <w:r>
        <w:rPr>
          <w:i/>
          <w:iCs/>
        </w:rPr>
        <w:lastRenderedPageBreak/>
        <w:t>Simpkins v Pays</w:t>
      </w:r>
      <w:r>
        <w:t xml:space="preserve"> [1955] (Assizes) Available at: https://plus-lexis-com.ezproxy.uwtsd.ac.uk/uk/document/?pdmfid=1001073&amp;crid=58aa48e3-8cb2-4fdf-a0ff-e9b0eee5ceff&amp;pddocfullpath=%2Fshared%2Fdocument%2Fcases-uk%2Furn%3AcontentItem%3A4FXW-1DX0-TWW4-212K-00000-00&amp;pdcontentcomponentid=279841&amp;pdteaserkey=&amp;pdislpamode=false&amp;pddocumentnumber=1&amp;ecomp=ht5k&amp;earg=sr0&amp;prid=f97d49a0-d8ed-4b99-bd4b-6644b30165cd [Accessed 10 Mar. 2023].</w:t>
      </w:r>
    </w:p>
    <w:p w14:paraId="4619B95F" w14:textId="77777777" w:rsidR="00184109" w:rsidRDefault="00184109" w:rsidP="00184109">
      <w:pPr>
        <w:pStyle w:val="NormalWeb"/>
        <w:numPr>
          <w:ilvl w:val="0"/>
          <w:numId w:val="1"/>
        </w:numPr>
        <w:spacing w:before="0" w:beforeAutospacing="0" w:after="240" w:afterAutospacing="0" w:line="360" w:lineRule="auto"/>
      </w:pPr>
      <w:r>
        <w:t>The Modern Law Review. (n.d.). Available at: https://onlinelibrary.wiley.com/journal/14682230?sid=vendor%3Adatabase [Accessed 10 Mar. 2023].</w:t>
      </w:r>
    </w:p>
    <w:p w14:paraId="29C173AA" w14:textId="77777777" w:rsidR="00184109" w:rsidRDefault="00184109" w:rsidP="00BF0C90"/>
    <w:sectPr w:rsidR="00184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E39B2"/>
    <w:multiLevelType w:val="hybridMultilevel"/>
    <w:tmpl w:val="2D6CD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874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BCE"/>
    <w:rsid w:val="00016DD2"/>
    <w:rsid w:val="00027EDD"/>
    <w:rsid w:val="00083345"/>
    <w:rsid w:val="000F11AF"/>
    <w:rsid w:val="00184109"/>
    <w:rsid w:val="001B2753"/>
    <w:rsid w:val="00273DE5"/>
    <w:rsid w:val="00434326"/>
    <w:rsid w:val="00460B1F"/>
    <w:rsid w:val="00481D7D"/>
    <w:rsid w:val="004E6ACB"/>
    <w:rsid w:val="005A4028"/>
    <w:rsid w:val="007175C5"/>
    <w:rsid w:val="00B94BCE"/>
    <w:rsid w:val="00BF0C90"/>
    <w:rsid w:val="00DF5976"/>
    <w:rsid w:val="00EF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11403"/>
  <w15:chartTrackingRefBased/>
  <w15:docId w15:val="{C5043488-49F1-4B90-B43B-EB1AB073D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41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609068">
      <w:bodyDiv w:val="1"/>
      <w:marLeft w:val="0"/>
      <w:marRight w:val="0"/>
      <w:marTop w:val="0"/>
      <w:marBottom w:val="0"/>
      <w:divBdr>
        <w:top w:val="none" w:sz="0" w:space="0" w:color="auto"/>
        <w:left w:val="none" w:sz="0" w:space="0" w:color="auto"/>
        <w:bottom w:val="none" w:sz="0" w:space="0" w:color="auto"/>
        <w:right w:val="none" w:sz="0" w:space="0" w:color="auto"/>
      </w:divBdr>
      <w:divsChild>
        <w:div w:id="2054690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7</cp:revision>
  <dcterms:created xsi:type="dcterms:W3CDTF">2023-03-10T08:52:00Z</dcterms:created>
  <dcterms:modified xsi:type="dcterms:W3CDTF">2023-03-10T21:58:00Z</dcterms:modified>
</cp:coreProperties>
</file>