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jc w:val="center"/>
        <w:rPr>
          <w:rFonts w:ascii="Times New Roman" w:cs="Times New Roman" w:hAnsi="Times New Roman"/>
          <w:sz w:val="40"/>
          <w:szCs w:val="40"/>
        </w:rPr>
      </w:pPr>
    </w:p>
    <w:p>
      <w:pPr>
        <w:pStyle w:val="style0"/>
        <w:jc w:val="center"/>
        <w:rPr>
          <w:rFonts w:ascii="Times New Roman" w:cs="Times New Roman" w:hAnsi="Times New Roman"/>
          <w:sz w:val="40"/>
          <w:szCs w:val="40"/>
        </w:rPr>
      </w:pPr>
      <w:r>
        <w:rPr>
          <w:rFonts w:ascii="Times New Roman" w:cs="Times New Roman" w:hAnsi="Times New Roman"/>
          <w:sz w:val="40"/>
          <w:szCs w:val="40"/>
        </w:rPr>
        <w:t>Programme: MBA- Master of Business Administration</w:t>
      </w:r>
    </w:p>
    <w:p>
      <w:pPr>
        <w:pStyle w:val="style0"/>
        <w:jc w:val="center"/>
        <w:rPr>
          <w:rFonts w:ascii="Times New Roman" w:cs="Times New Roman" w:hAnsi="Times New Roman"/>
          <w:sz w:val="40"/>
          <w:szCs w:val="40"/>
        </w:rPr>
      </w:pPr>
      <w:r>
        <w:rPr>
          <w:rFonts w:ascii="Times New Roman" w:cs="Times New Roman" w:hAnsi="Times New Roman"/>
          <w:sz w:val="40"/>
          <w:szCs w:val="40"/>
        </w:rPr>
        <w:t>Module: Managing Performance</w:t>
      </w:r>
    </w:p>
    <w:p>
      <w:pPr>
        <w:pStyle w:val="style0"/>
        <w:jc w:val="center"/>
        <w:rPr>
          <w:rFonts w:ascii="Times New Roman" w:cs="Times New Roman" w:hAnsi="Times New Roman"/>
          <w:sz w:val="40"/>
          <w:szCs w:val="40"/>
        </w:rPr>
      </w:pPr>
      <w:r>
        <w:rPr>
          <w:rFonts w:ascii="Times New Roman" w:cs="Times New Roman" w:hAnsi="Times New Roman"/>
          <w:sz w:val="40"/>
          <w:szCs w:val="40"/>
        </w:rPr>
        <w:t>Module code: LCMB7013</w:t>
      </w:r>
    </w:p>
    <w:p>
      <w:pPr>
        <w:pStyle w:val="style0"/>
        <w:jc w:val="left"/>
        <w:rPr>
          <w:rFonts w:ascii="Times New Roman" w:cs="Times New Roman" w:hAnsi="Times New Roman"/>
          <w:sz w:val="40"/>
          <w:szCs w:val="40"/>
        </w:rPr>
      </w:pPr>
      <w:r>
        <w:rPr>
          <w:rFonts w:ascii="Times New Roman" w:cs="Times New Roman" w:hAnsi="Times New Roman"/>
          <w:sz w:val="40"/>
          <w:szCs w:val="40"/>
          <w:lang w:val="en-US"/>
        </w:rPr>
        <w:t xml:space="preserve">             Student id:2237317</w:t>
      </w:r>
    </w:p>
    <w:p>
      <w:pPr>
        <w:pStyle w:val="style0"/>
        <w:jc w:val="center"/>
        <w:rPr>
          <w:rFonts w:ascii="Times New Roman" w:cs="Times New Roman" w:hAnsi="Times New Roman"/>
          <w:sz w:val="40"/>
          <w:szCs w:val="40"/>
        </w:rPr>
      </w:pPr>
    </w:p>
    <w:p>
      <w:pPr>
        <w:pStyle w:val="style0"/>
        <w:rPr>
          <w:rFonts w:ascii="Times New Roman" w:cs="Times New Roman" w:hAnsi="Times New Roman"/>
          <w:sz w:val="40"/>
          <w:szCs w:val="4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266"/>
        <w:rPr>
          <w:rFonts w:ascii="Times New Roman" w:cs="Times New Roman" w:hAnsi="Times New Roman"/>
        </w:rPr>
      </w:pPr>
      <w:r>
        <w:rPr>
          <w:rFonts w:ascii="Times New Roman" w:cs="Times New Roman" w:hAnsi="Times New Roman"/>
        </w:rPr>
        <w:t>Contents</w:t>
      </w:r>
    </w:p>
    <w:p>
      <w:pPr>
        <w:pStyle w:val="style19"/>
        <w:tabs>
          <w:tab w:val="left" w:leader="none" w:pos="440"/>
          <w:tab w:val="right" w:leader="dot" w:pos="9016"/>
        </w:tabs>
        <w:rPr>
          <w:rFonts w:eastAsia="宋体"/>
          <w:noProof/>
          <w:lang w:eastAsia="en-GB"/>
        </w:rPr>
      </w:pPr>
      <w:r>
        <w:rPr>
          <w:rFonts w:ascii="Times New Roman" w:cs="Times New Roman" w:hAnsi="Times New Roman"/>
        </w:rPr>
        <w:fldChar w:fldCharType="begin"/>
      </w:r>
      <w:r>
        <w:rPr>
          <w:rFonts w:ascii="Times New Roman" w:cs="Times New Roman" w:hAnsi="Times New Roman"/>
        </w:rPr>
        <w:instrText xml:space="preserve"> TOC \o "1-3" \h \z \u </w:instrText>
      </w:r>
      <w:r>
        <w:rPr>
          <w:rFonts w:ascii="Times New Roman" w:cs="Times New Roman" w:hAnsi="Times New Roman"/>
        </w:rPr>
        <w:fldChar w:fldCharType="separate"/>
      </w:r>
      <w:r>
        <w:rPr/>
        <w:fldChar w:fldCharType="begin"/>
      </w:r>
      <w:r>
        <w:instrText xml:space="preserve"> HYPERLINK \l "_Toc153803044" </w:instrText>
      </w:r>
      <w:r>
        <w:rPr/>
        <w:fldChar w:fldCharType="separate"/>
      </w:r>
      <w:r>
        <w:rPr>
          <w:rStyle w:val="style85"/>
          <w:rFonts w:ascii="Times New Roman" w:cs="Times New Roman" w:hAnsi="Times New Roman"/>
          <w:bCs/>
          <w:noProof/>
        </w:rPr>
        <w:t>1.</w:t>
      </w:r>
      <w:r>
        <w:rPr>
          <w:rFonts w:eastAsia="宋体"/>
          <w:noProof/>
          <w:lang w:eastAsia="en-GB"/>
        </w:rPr>
        <w:tab/>
      </w:r>
      <w:r>
        <w:rPr>
          <w:rStyle w:val="style85"/>
          <w:rFonts w:ascii="Times New Roman" w:cs="Times New Roman" w:hAnsi="Times New Roman"/>
          <w:bCs/>
          <w:noProof/>
        </w:rPr>
        <w:t>Introduction</w:t>
      </w:r>
      <w:r>
        <w:rPr>
          <w:noProof/>
          <w:webHidden/>
        </w:rPr>
        <w:tab/>
      </w:r>
      <w:r>
        <w:rPr>
          <w:noProof/>
          <w:webHidden/>
        </w:rPr>
        <w:fldChar w:fldCharType="begin"/>
      </w:r>
      <w:r>
        <w:rPr>
          <w:noProof/>
          <w:webHidden/>
        </w:rPr>
        <w:instrText xml:space="preserve"> PAGEREF _Toc153803044 \h </w:instrText>
      </w:r>
      <w:r>
        <w:rPr>
          <w:noProof/>
          <w:webHidden/>
        </w:rPr>
        <w:fldChar w:fldCharType="separate"/>
      </w:r>
      <w:r>
        <w:rPr>
          <w:noProof/>
          <w:webHidden/>
        </w:rPr>
        <w:t>2</w:t>
      </w:r>
      <w:r>
        <w:rPr>
          <w:noProof/>
          <w:webHidden/>
        </w:rPr>
        <w:fldChar w:fldCharType="end"/>
      </w:r>
      <w:r>
        <w:rPr/>
        <w:fldChar w:fldCharType="end"/>
      </w:r>
    </w:p>
    <w:p>
      <w:pPr>
        <w:pStyle w:val="style20"/>
        <w:tabs>
          <w:tab w:val="left" w:leader="none" w:pos="880"/>
          <w:tab w:val="right" w:leader="dot" w:pos="9016"/>
        </w:tabs>
        <w:rPr>
          <w:rFonts w:eastAsia="宋体"/>
          <w:noProof/>
          <w:lang w:eastAsia="en-GB"/>
        </w:rPr>
      </w:pPr>
      <w:r>
        <w:rPr/>
        <w:fldChar w:fldCharType="begin"/>
      </w:r>
      <w:r>
        <w:instrText xml:space="preserve"> HYPERLINK \l "_Toc153803045" </w:instrText>
      </w:r>
      <w:r>
        <w:rPr/>
        <w:fldChar w:fldCharType="separate"/>
      </w:r>
      <w:r>
        <w:rPr>
          <w:rStyle w:val="style85"/>
          <w:rFonts w:ascii="Times New Roman" w:cs="Times New Roman" w:hAnsi="Times New Roman"/>
          <w:bCs/>
          <w:noProof/>
        </w:rPr>
        <w:t>1.1</w:t>
      </w:r>
      <w:r>
        <w:rPr>
          <w:rFonts w:eastAsia="宋体"/>
          <w:noProof/>
          <w:lang w:eastAsia="en-GB"/>
        </w:rPr>
        <w:tab/>
      </w:r>
      <w:r>
        <w:rPr>
          <w:rStyle w:val="style85"/>
          <w:rFonts w:ascii="Times New Roman" w:cs="Times New Roman" w:hAnsi="Times New Roman"/>
          <w:bCs/>
          <w:noProof/>
        </w:rPr>
        <w:t>Overview of SainCo’s Current Status and Management Style:</w:t>
      </w:r>
      <w:r>
        <w:rPr>
          <w:noProof/>
          <w:webHidden/>
        </w:rPr>
        <w:tab/>
      </w:r>
      <w:r>
        <w:rPr>
          <w:noProof/>
          <w:webHidden/>
        </w:rPr>
        <w:fldChar w:fldCharType="begin"/>
      </w:r>
      <w:r>
        <w:rPr>
          <w:noProof/>
          <w:webHidden/>
        </w:rPr>
        <w:instrText xml:space="preserve"> PAGEREF _Toc153803045 \h </w:instrText>
      </w:r>
      <w:r>
        <w:rPr>
          <w:noProof/>
          <w:webHidden/>
        </w:rPr>
        <w:fldChar w:fldCharType="separate"/>
      </w:r>
      <w:r>
        <w:rPr>
          <w:noProof/>
          <w:webHidden/>
        </w:rPr>
        <w:t>2</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"_Toc153803046" </w:instrText>
      </w:r>
      <w:r>
        <w:rPr/>
        <w:fldChar w:fldCharType="separate"/>
      </w:r>
      <w:r>
        <w:rPr>
          <w:rStyle w:val="style85"/>
          <w:rFonts w:ascii="Times New Roman" w:cs="Times New Roman" w:hAnsi="Times New Roman"/>
          <w:noProof/>
        </w:rPr>
        <w:t xml:space="preserve">1.2 </w:t>
      </w:r>
      <w:r>
        <w:rPr>
          <w:rStyle w:val="style85"/>
          <w:rFonts w:ascii="Times New Roman" w:cs="Times New Roman" w:hAnsi="Times New Roman"/>
          <w:bCs/>
          <w:noProof/>
        </w:rPr>
        <w:t>Need for Modern Performance Management:</w:t>
      </w:r>
      <w:r>
        <w:rPr>
          <w:noProof/>
          <w:webHidden/>
        </w:rPr>
        <w:tab/>
      </w:r>
      <w:r>
        <w:rPr>
          <w:noProof/>
          <w:webHidden/>
        </w:rPr>
        <w:fldChar w:fldCharType="begin"/>
      </w:r>
      <w:r>
        <w:rPr>
          <w:noProof/>
          <w:webHidden/>
        </w:rPr>
        <w:instrText xml:space="preserve"> PAGEREF _Toc153803046 \h </w:instrText>
      </w:r>
      <w:r>
        <w:rPr>
          <w:noProof/>
          <w:webHidden/>
        </w:rPr>
        <w:fldChar w:fldCharType="separate"/>
      </w:r>
      <w:r>
        <w:rPr>
          <w:noProof/>
          <w:webHidden/>
        </w:rPr>
        <w:t>2</w:t>
      </w:r>
      <w:r>
        <w:rPr>
          <w:noProof/>
          <w:webHidden/>
        </w:rPr>
        <w:fldChar w:fldCharType="end"/>
      </w:r>
      <w:r>
        <w:rPr/>
        <w:fldChar w:fldCharType="end"/>
      </w:r>
    </w:p>
    <w:p>
      <w:pPr>
        <w:pStyle w:val="style20"/>
        <w:tabs>
          <w:tab w:val="left" w:leader="none" w:pos="880"/>
          <w:tab w:val="right" w:leader="dot" w:pos="9016"/>
        </w:tabs>
        <w:rPr>
          <w:rFonts w:eastAsia="宋体"/>
          <w:noProof/>
          <w:lang w:eastAsia="en-GB"/>
        </w:rPr>
      </w:pPr>
      <w:r>
        <w:rPr/>
        <w:fldChar w:fldCharType="begin"/>
      </w:r>
      <w:r>
        <w:instrText xml:space="preserve"> HYPERLINK \l "_Toc153803047" </w:instrText>
      </w:r>
      <w:r>
        <w:rPr/>
        <w:fldChar w:fldCharType="separate"/>
      </w:r>
      <w:r>
        <w:rPr>
          <w:rStyle w:val="style85"/>
          <w:rFonts w:ascii="Times New Roman" w:cs="Times New Roman" w:hAnsi="Times New Roman"/>
          <w:noProof/>
        </w:rPr>
        <w:t>1.2</w:t>
      </w:r>
      <w:r>
        <w:rPr>
          <w:rFonts w:eastAsia="宋体"/>
          <w:noProof/>
          <w:lang w:eastAsia="en-GB"/>
        </w:rPr>
        <w:tab/>
      </w:r>
      <w:r>
        <w:rPr>
          <w:rStyle w:val="style85"/>
          <w:rFonts w:ascii="Times New Roman" w:cs="Times New Roman" w:hAnsi="Times New Roman"/>
          <w:bCs/>
          <w:noProof/>
        </w:rPr>
        <w:t>Significance of Employee Engagement and Involvement:</w:t>
      </w:r>
      <w:r>
        <w:rPr>
          <w:noProof/>
          <w:webHidden/>
        </w:rPr>
        <w:tab/>
      </w:r>
      <w:r>
        <w:rPr>
          <w:noProof/>
          <w:webHidden/>
        </w:rPr>
        <w:fldChar w:fldCharType="begin"/>
      </w:r>
      <w:r>
        <w:rPr>
          <w:noProof/>
          <w:webHidden/>
        </w:rPr>
        <w:instrText xml:space="preserve"> PAGEREF _Toc153803047 \h </w:instrText>
      </w:r>
      <w:r>
        <w:rPr>
          <w:noProof/>
          <w:webHidden/>
        </w:rPr>
        <w:fldChar w:fldCharType="separate"/>
      </w:r>
      <w:r>
        <w:rPr>
          <w:noProof/>
          <w:webHidden/>
        </w:rPr>
        <w:t>2</w:t>
      </w:r>
      <w:r>
        <w:rPr>
          <w:noProof/>
          <w:webHidden/>
        </w:rPr>
        <w:fldChar w:fldCharType="end"/>
      </w:r>
      <w:r>
        <w:rPr/>
        <w:fldChar w:fldCharType="end"/>
      </w:r>
    </w:p>
    <w:p>
      <w:pPr>
        <w:pStyle w:val="style20"/>
        <w:tabs>
          <w:tab w:val="left" w:leader="none" w:pos="880"/>
          <w:tab w:val="right" w:leader="dot" w:pos="9016"/>
        </w:tabs>
        <w:rPr>
          <w:rFonts w:eastAsia="宋体"/>
          <w:noProof/>
          <w:lang w:eastAsia="en-GB"/>
        </w:rPr>
      </w:pPr>
      <w:r>
        <w:rPr/>
        <w:fldChar w:fldCharType="begin"/>
      </w:r>
      <w:r>
        <w:instrText xml:space="preserve"> HYPERLINK \l "_Toc153803048" </w:instrText>
      </w:r>
      <w:r>
        <w:rPr/>
        <w:fldChar w:fldCharType="separate"/>
      </w:r>
      <w:r>
        <w:rPr>
          <w:rStyle w:val="style85"/>
          <w:rFonts w:ascii="Times New Roman" w:cs="Times New Roman" w:hAnsi="Times New Roman"/>
          <w:noProof/>
        </w:rPr>
        <w:t>1.3</w:t>
      </w:r>
      <w:r>
        <w:rPr>
          <w:rFonts w:eastAsia="宋体"/>
          <w:noProof/>
          <w:lang w:eastAsia="en-GB"/>
        </w:rPr>
        <w:tab/>
      </w:r>
      <w:r>
        <w:rPr>
          <w:rStyle w:val="style85"/>
          <w:rFonts w:ascii="Times New Roman" w:cs="Times New Roman" w:hAnsi="Times New Roman"/>
          <w:bCs/>
          <w:noProof/>
        </w:rPr>
        <w:t>Purpose and Structure of the Report:</w:t>
      </w:r>
      <w:r>
        <w:rPr>
          <w:noProof/>
          <w:webHidden/>
        </w:rPr>
        <w:tab/>
      </w:r>
      <w:r>
        <w:rPr>
          <w:noProof/>
          <w:webHidden/>
        </w:rPr>
        <w:fldChar w:fldCharType="begin"/>
      </w:r>
      <w:r>
        <w:rPr>
          <w:noProof/>
          <w:webHidden/>
        </w:rPr>
        <w:instrText xml:space="preserve"> PAGEREF _Toc153803048 \h </w:instrText>
      </w:r>
      <w:r>
        <w:rPr>
          <w:noProof/>
          <w:webHidden/>
        </w:rPr>
        <w:fldChar w:fldCharType="separate"/>
      </w:r>
      <w:r>
        <w:rPr>
          <w:noProof/>
          <w:webHidden/>
        </w:rPr>
        <w:t>2</w:t>
      </w:r>
      <w:r>
        <w:rPr>
          <w:noProof/>
          <w:webHidden/>
        </w:rPr>
        <w:fldChar w:fldCharType="end"/>
      </w:r>
      <w:r>
        <w:rPr/>
        <w:fldChar w:fldCharType="end"/>
      </w:r>
    </w:p>
    <w:p>
      <w:pPr>
        <w:pStyle w:val="style19"/>
        <w:tabs>
          <w:tab w:val="left" w:leader="none" w:pos="440"/>
          <w:tab w:val="right" w:leader="dot" w:pos="9016"/>
        </w:tabs>
        <w:rPr>
          <w:rFonts w:eastAsia="宋体"/>
          <w:noProof/>
          <w:lang w:eastAsia="en-GB"/>
        </w:rPr>
      </w:pPr>
      <w:r>
        <w:rPr/>
        <w:fldChar w:fldCharType="begin"/>
      </w:r>
      <w:r>
        <w:instrText xml:space="preserve"> HYPERLINK \l "_Toc153803049" </w:instrText>
      </w:r>
      <w:r>
        <w:rPr/>
        <w:fldChar w:fldCharType="separate"/>
      </w:r>
      <w:r>
        <w:rPr>
          <w:rStyle w:val="style85"/>
          <w:rFonts w:ascii="Times New Roman" w:cs="Times New Roman" w:hAnsi="Times New Roman"/>
          <w:noProof/>
        </w:rPr>
        <w:t>2.</w:t>
      </w:r>
      <w:r>
        <w:rPr>
          <w:rFonts w:eastAsia="宋体"/>
          <w:noProof/>
          <w:lang w:eastAsia="en-GB"/>
        </w:rPr>
        <w:tab/>
      </w:r>
      <w:r>
        <w:rPr>
          <w:rStyle w:val="style85"/>
          <w:rFonts w:ascii="Times New Roman" w:cs="Times New Roman" w:hAnsi="Times New Roman"/>
          <w:bCs/>
          <w:noProof/>
        </w:rPr>
        <w:t>Analysis of Current State</w:t>
      </w:r>
      <w:r>
        <w:rPr>
          <w:noProof/>
          <w:webHidden/>
        </w:rPr>
        <w:tab/>
      </w:r>
      <w:r>
        <w:rPr>
          <w:noProof/>
          <w:webHidden/>
        </w:rPr>
        <w:fldChar w:fldCharType="begin"/>
      </w:r>
      <w:r>
        <w:rPr>
          <w:noProof/>
          <w:webHidden/>
        </w:rPr>
        <w:instrText xml:space="preserve"> PAGEREF _Toc153803049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"_Toc153803050" </w:instrText>
      </w:r>
      <w:r>
        <w:rPr/>
        <w:fldChar w:fldCharType="separate"/>
      </w:r>
      <w:r>
        <w:rPr>
          <w:rStyle w:val="style85"/>
          <w:rFonts w:ascii="Times New Roman" w:cs="Times New Roman" w:hAnsi="Times New Roman"/>
          <w:bCs/>
          <w:noProof/>
        </w:rPr>
        <w:t>2.1 Overview of SainCo Organizational Structure, Culture, and Existing Employee Engagement Practices:</w:t>
      </w:r>
      <w:r>
        <w:rPr>
          <w:noProof/>
          <w:webHidden/>
        </w:rPr>
        <w:tab/>
      </w:r>
      <w:r>
        <w:rPr>
          <w:noProof/>
          <w:webHidden/>
        </w:rPr>
        <w:fldChar w:fldCharType="begin"/>
      </w:r>
      <w:r>
        <w:rPr>
          <w:noProof/>
          <w:webHidden/>
        </w:rPr>
        <w:instrText xml:space="preserve"> PAGEREF _Toc153803050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"_Toc153803051" </w:instrText>
      </w:r>
      <w:r>
        <w:rPr/>
        <w:fldChar w:fldCharType="separate"/>
      </w:r>
      <w:r>
        <w:rPr>
          <w:rStyle w:val="style85"/>
          <w:rFonts w:ascii="Times New Roman" w:cs="Times New Roman" w:hAnsi="Times New Roman"/>
          <w:bCs/>
          <w:noProof/>
        </w:rPr>
        <w:t>2.2 Assessment of Strengths and Weaknesses of Current Engagement Strategies</w:t>
      </w:r>
      <w:r>
        <w:rPr>
          <w:noProof/>
          <w:webHidden/>
        </w:rPr>
        <w:tab/>
      </w:r>
      <w:r>
        <w:rPr>
          <w:noProof/>
          <w:webHidden/>
        </w:rPr>
        <w:fldChar w:fldCharType="begin"/>
      </w:r>
      <w:r>
        <w:rPr>
          <w:noProof/>
          <w:webHidden/>
        </w:rPr>
        <w:instrText xml:space="preserve"> PAGEREF _Toc153803051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"_Toc153803052" </w:instrText>
      </w:r>
      <w:r>
        <w:rPr/>
        <w:fldChar w:fldCharType="separate"/>
      </w:r>
      <w:r>
        <w:rPr>
          <w:rStyle w:val="style85"/>
          <w:rFonts w:ascii="Times New Roman" w:cs="Times New Roman" w:hAnsi="Times New Roman"/>
          <w:bCs/>
          <w:noProof/>
        </w:rPr>
        <w:t>2.3 Analysis of Employee Satisfaction, Motivation Levels, and Perceived Involvement in Decision-Making Processes</w:t>
      </w:r>
      <w:r>
        <w:rPr>
          <w:noProof/>
          <w:webHidden/>
        </w:rPr>
        <w:tab/>
      </w:r>
      <w:r>
        <w:rPr>
          <w:noProof/>
          <w:webHidden/>
        </w:rPr>
        <w:fldChar w:fldCharType="begin"/>
      </w:r>
      <w:r>
        <w:rPr>
          <w:noProof/>
          <w:webHidden/>
        </w:rPr>
        <w:instrText xml:space="preserve"> PAGEREF _Toc153803052 \h </w:instrText>
      </w:r>
      <w:r>
        <w:rPr>
          <w:noProof/>
          <w:webHidden/>
        </w:rPr>
        <w:fldChar w:fldCharType="separate"/>
      </w:r>
      <w:r>
        <w:rPr>
          <w:noProof/>
          <w:webHidden/>
        </w:rPr>
        <w:t>4</w:t>
      </w:r>
      <w:r>
        <w:rPr>
          <w:noProof/>
          <w:webHidden/>
        </w:rPr>
        <w:fldChar w:fldCharType="end"/>
      </w:r>
      <w:r>
        <w:rPr/>
        <w:fldChar w:fldCharType="end"/>
      </w:r>
    </w:p>
    <w:p>
      <w:pPr>
        <w:pStyle w:val="style19"/>
        <w:tabs>
          <w:tab w:val="left" w:leader="none" w:pos="440"/>
          <w:tab w:val="right" w:leader="dot" w:pos="9016"/>
        </w:tabs>
        <w:rPr>
          <w:rFonts w:eastAsia="宋体"/>
          <w:noProof/>
          <w:lang w:eastAsia="en-GB"/>
        </w:rPr>
      </w:pPr>
      <w:r>
        <w:rPr/>
        <w:fldChar w:fldCharType="begin"/>
      </w:r>
      <w:r>
        <w:instrText xml:space="preserve"> HYPERLINK \l "_Toc153803053" </w:instrText>
      </w:r>
      <w:r>
        <w:rPr/>
        <w:fldChar w:fldCharType="separate"/>
      </w:r>
      <w:r>
        <w:rPr>
          <w:rStyle w:val="style85"/>
          <w:rFonts w:ascii="Times New Roman" w:cs="Times New Roman" w:hAnsi="Times New Roman"/>
          <w:bCs/>
          <w:noProof/>
        </w:rPr>
        <w:t>3.</w:t>
      </w:r>
      <w:r>
        <w:rPr>
          <w:rFonts w:eastAsia="宋体"/>
          <w:noProof/>
          <w:lang w:eastAsia="en-GB"/>
        </w:rPr>
        <w:tab/>
      </w:r>
      <w:r>
        <w:rPr>
          <w:rStyle w:val="style85"/>
          <w:rFonts w:ascii="Times New Roman" w:cs="Times New Roman" w:hAnsi="Times New Roman"/>
          <w:bCs/>
          <w:noProof/>
        </w:rPr>
        <w:t>Employee Engagement Strategies at SainCo</w:t>
      </w:r>
      <w:r>
        <w:rPr>
          <w:noProof/>
          <w:webHidden/>
        </w:rPr>
        <w:tab/>
      </w:r>
      <w:r>
        <w:rPr>
          <w:noProof/>
          <w:webHidden/>
        </w:rPr>
        <w:fldChar w:fldCharType="begin"/>
      </w:r>
      <w:r>
        <w:rPr>
          <w:noProof/>
          <w:webHidden/>
        </w:rPr>
        <w:instrText xml:space="preserve"> PAGEREF _Toc153803053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"_Toc153803054" </w:instrText>
      </w:r>
      <w:r>
        <w:rPr/>
        <w:fldChar w:fldCharType="separate"/>
      </w:r>
      <w:r>
        <w:rPr>
          <w:rStyle w:val="style85"/>
          <w:rFonts w:ascii="Times New Roman" w:cs="Times New Roman" w:hAnsi="Times New Roman"/>
          <w:iCs/>
          <w:noProof/>
        </w:rPr>
        <w:t>3.1 Overview of Strategies and Techniques</w:t>
      </w:r>
      <w:r>
        <w:rPr>
          <w:noProof/>
          <w:webHidden/>
        </w:rPr>
        <w:tab/>
      </w:r>
      <w:r>
        <w:rPr>
          <w:noProof/>
          <w:webHidden/>
        </w:rPr>
        <w:fldChar w:fldCharType="begin"/>
      </w:r>
      <w:r>
        <w:rPr>
          <w:noProof/>
          <w:webHidden/>
        </w:rPr>
        <w:instrText xml:space="preserve"> PAGEREF _Toc153803054 \h </w:instrText>
      </w:r>
      <w:r>
        <w:rPr>
          <w:noProof/>
          <w:webHidden/>
        </w:rPr>
        <w:fldChar w:fldCharType="separate"/>
      </w:r>
      <w:r>
        <w:rPr>
          <w:noProof/>
          <w:webHidden/>
        </w:rPr>
        <w:t>5</w:t>
      </w:r>
      <w:r>
        <w:rPr>
          <w:noProof/>
          <w:webHidden/>
        </w:rPr>
        <w:fldChar w:fldCharType="end"/>
      </w:r>
      <w:r>
        <w:rPr/>
        <w:fldChar w:fldCharType="end"/>
      </w:r>
    </w:p>
    <w:p>
      <w:pPr>
        <w:pStyle w:val="style20"/>
        <w:tabs>
          <w:tab w:val="left" w:leader="none" w:pos="880"/>
          <w:tab w:val="right" w:leader="dot" w:pos="9016"/>
        </w:tabs>
        <w:rPr>
          <w:rFonts w:eastAsia="宋体"/>
          <w:noProof/>
          <w:lang w:eastAsia="en-GB"/>
        </w:rPr>
      </w:pPr>
      <w:r>
        <w:rPr/>
        <w:fldChar w:fldCharType="begin"/>
      </w:r>
      <w:r>
        <w:instrText xml:space="preserve"> HYPERLINK \l "_Toc153803055" </w:instrText>
      </w:r>
      <w:r>
        <w:rPr/>
        <w:fldChar w:fldCharType="separate"/>
      </w:r>
      <w:r>
        <w:rPr>
          <w:rStyle w:val="style85"/>
          <w:rFonts w:ascii="Times New Roman" w:cs="Times New Roman" w:hAnsi="Times New Roman"/>
          <w:bCs/>
          <w:noProof/>
        </w:rPr>
        <w:t>3.2</w:t>
      </w:r>
      <w:r>
        <w:rPr>
          <w:rFonts w:eastAsia="宋体"/>
          <w:noProof/>
          <w:lang w:eastAsia="en-GB"/>
        </w:rPr>
        <w:tab/>
      </w:r>
      <w:r>
        <w:rPr>
          <w:rStyle w:val="style85"/>
          <w:rFonts w:ascii="Times New Roman" w:cs="Times New Roman" w:hAnsi="Times New Roman"/>
          <w:bCs/>
          <w:noProof/>
        </w:rPr>
        <w:t>Importance of Positive Work Culture and Communication</w:t>
      </w:r>
      <w:r>
        <w:rPr>
          <w:noProof/>
          <w:webHidden/>
        </w:rPr>
        <w:tab/>
      </w:r>
      <w:r>
        <w:rPr>
          <w:noProof/>
          <w:webHidden/>
        </w:rPr>
        <w:fldChar w:fldCharType="begin"/>
      </w:r>
      <w:r>
        <w:rPr>
          <w:noProof/>
          <w:webHidden/>
        </w:rPr>
        <w:instrText xml:space="preserve"> PAGEREF _Toc153803055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016"/>
        </w:tabs>
        <w:rPr>
          <w:rFonts w:eastAsia="宋体"/>
          <w:noProof/>
          <w:lang w:eastAsia="en-GB"/>
        </w:rPr>
      </w:pPr>
      <w:r>
        <w:rPr/>
        <w:fldChar w:fldCharType="begin"/>
      </w:r>
      <w:r>
        <w:instrText xml:space="preserve"> HYPERLINK \l "_Toc153803056" </w:instrText>
      </w:r>
      <w:r>
        <w:rPr/>
        <w:fldChar w:fldCharType="separate"/>
      </w:r>
      <w:r>
        <w:rPr>
          <w:rStyle w:val="style85"/>
          <w:rFonts w:ascii="Times New Roman" w:cs="Times New Roman" w:hAnsi="Times New Roman"/>
          <w:bCs/>
          <w:noProof/>
        </w:rPr>
        <w:t>4. Alignment of Employee Engagement with SainCo 's Organizational Goals</w:t>
      </w:r>
      <w:r>
        <w:rPr>
          <w:noProof/>
          <w:webHidden/>
        </w:rPr>
        <w:tab/>
      </w:r>
      <w:r>
        <w:rPr>
          <w:noProof/>
          <w:webHidden/>
        </w:rPr>
        <w:fldChar w:fldCharType="begin"/>
      </w:r>
      <w:r>
        <w:rPr>
          <w:noProof/>
          <w:webHidden/>
        </w:rPr>
        <w:instrText xml:space="preserve"> PAGEREF _Toc153803056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"_Toc153803057" </w:instrText>
      </w:r>
      <w:r>
        <w:rPr/>
        <w:fldChar w:fldCharType="separate"/>
      </w:r>
      <w:r>
        <w:rPr>
          <w:rStyle w:val="style85"/>
          <w:rFonts w:ascii="Times New Roman" w:cs="Times New Roman" w:hAnsi="Times New Roman"/>
          <w:iCs/>
          <w:noProof/>
        </w:rPr>
        <w:t>4.1 Bridging Employee Engagement with SainCo 's Vision</w:t>
      </w:r>
      <w:r>
        <w:rPr>
          <w:noProof/>
          <w:webHidden/>
        </w:rPr>
        <w:tab/>
      </w:r>
      <w:r>
        <w:rPr>
          <w:noProof/>
          <w:webHidden/>
        </w:rPr>
        <w:fldChar w:fldCharType="begin"/>
      </w:r>
      <w:r>
        <w:rPr>
          <w:noProof/>
          <w:webHidden/>
        </w:rPr>
        <w:instrText xml:space="preserve"> PAGEREF _Toc153803057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"_Toc153803058" </w:instrText>
      </w:r>
      <w:r>
        <w:rPr/>
        <w:fldChar w:fldCharType="separate"/>
      </w:r>
      <w:r>
        <w:rPr>
          <w:rStyle w:val="style85"/>
          <w:rFonts w:ascii="Times New Roman" w:cs="Times New Roman" w:hAnsi="Times New Roman"/>
          <w:iCs/>
          <w:noProof/>
        </w:rPr>
        <w:t>4.2 Impact of Enhanced Engagement on Performance Metrics</w:t>
      </w:r>
      <w:r>
        <w:rPr>
          <w:noProof/>
          <w:webHidden/>
        </w:rPr>
        <w:tab/>
      </w:r>
      <w:r>
        <w:rPr>
          <w:noProof/>
          <w:webHidden/>
        </w:rPr>
        <w:fldChar w:fldCharType="begin"/>
      </w:r>
      <w:r>
        <w:rPr>
          <w:noProof/>
          <w:webHidden/>
        </w:rPr>
        <w:instrText xml:space="preserve"> PAGEREF _Toc153803058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"_Toc153803059" </w:instrText>
      </w:r>
      <w:r>
        <w:rPr/>
        <w:fldChar w:fldCharType="separate"/>
      </w:r>
      <w:r>
        <w:rPr>
          <w:rStyle w:val="style85"/>
          <w:rFonts w:ascii="Times New Roman" w:cs="Times New Roman" w:hAnsi="Times New Roman"/>
          <w:noProof/>
        </w:rPr>
        <w:t>4.3 Real-World Instances and Comparative Industry Cases</w:t>
      </w:r>
      <w:r>
        <w:rPr>
          <w:noProof/>
          <w:webHidden/>
        </w:rPr>
        <w:tab/>
      </w:r>
      <w:r>
        <w:rPr>
          <w:noProof/>
          <w:webHidden/>
        </w:rPr>
        <w:fldChar w:fldCharType="begin"/>
      </w:r>
      <w:r>
        <w:rPr>
          <w:noProof/>
          <w:webHidden/>
        </w:rPr>
        <w:instrText xml:space="preserve"> PAGEREF _Toc153803059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016"/>
        </w:tabs>
        <w:rPr>
          <w:rFonts w:eastAsia="宋体"/>
          <w:noProof/>
          <w:lang w:eastAsia="en-GB"/>
        </w:rPr>
      </w:pPr>
      <w:r>
        <w:rPr/>
        <w:fldChar w:fldCharType="begin"/>
      </w:r>
      <w:r>
        <w:instrText xml:space="preserve"> HYPERLINK \l "_Toc153803060" </w:instrText>
      </w:r>
      <w:r>
        <w:rPr/>
        <w:fldChar w:fldCharType="separate"/>
      </w:r>
      <w:r>
        <w:rPr>
          <w:rStyle w:val="style85"/>
          <w:rFonts w:ascii="Times New Roman" w:cs="Times New Roman" w:hAnsi="Times New Roman"/>
          <w:noProof/>
        </w:rPr>
        <w:t>5. Implementation Plan for Enhanced Employee Engagement at SainCo</w:t>
      </w:r>
      <w:r>
        <w:rPr>
          <w:noProof/>
          <w:webHidden/>
        </w:rPr>
        <w:tab/>
      </w:r>
      <w:r>
        <w:rPr>
          <w:noProof/>
          <w:webHidden/>
        </w:rPr>
        <w:fldChar w:fldCharType="begin"/>
      </w:r>
      <w:r>
        <w:rPr>
          <w:noProof/>
          <w:webHidden/>
        </w:rPr>
        <w:instrText xml:space="preserve"> PAGEREF _Toc153803060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"_Toc153803061" </w:instrText>
      </w:r>
      <w:r>
        <w:rPr/>
        <w:fldChar w:fldCharType="separate"/>
      </w:r>
      <w:r>
        <w:rPr>
          <w:rStyle w:val="style85"/>
          <w:rFonts w:ascii="Times New Roman" w:cs="Times New Roman" w:hAnsi="Times New Roman"/>
          <w:noProof/>
        </w:rPr>
        <w:t>5.1 Step-by-Step Strategy Implementation</w:t>
      </w:r>
      <w:r>
        <w:rPr>
          <w:noProof/>
          <w:webHidden/>
        </w:rPr>
        <w:tab/>
      </w:r>
      <w:r>
        <w:rPr>
          <w:noProof/>
          <w:webHidden/>
        </w:rPr>
        <w:fldChar w:fldCharType="begin"/>
      </w:r>
      <w:r>
        <w:rPr>
          <w:noProof/>
          <w:webHidden/>
        </w:rPr>
        <w:instrText xml:space="preserve"> PAGEREF _Toc153803061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"_Toc153803062" </w:instrText>
      </w:r>
      <w:r>
        <w:rPr/>
        <w:fldChar w:fldCharType="separate"/>
      </w:r>
      <w:r>
        <w:rPr>
          <w:rStyle w:val="style85"/>
          <w:rFonts w:ascii="Times New Roman" w:cs="Times New Roman" w:hAnsi="Times New Roman"/>
          <w:noProof/>
        </w:rPr>
        <w:t>6.1 Key Performance Indicators (KPIs) and Metrics</w:t>
      </w:r>
      <w:r>
        <w:rPr>
          <w:noProof/>
          <w:webHidden/>
        </w:rPr>
        <w:tab/>
      </w:r>
      <w:r>
        <w:rPr>
          <w:noProof/>
          <w:webHidden/>
        </w:rPr>
        <w:fldChar w:fldCharType="begin"/>
      </w:r>
      <w:r>
        <w:rPr>
          <w:noProof/>
          <w:webHidden/>
        </w:rPr>
        <w:instrText xml:space="preserve"> PAGEREF _Toc153803062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"_Toc153803063" </w:instrText>
      </w:r>
      <w:r>
        <w:rPr/>
        <w:fldChar w:fldCharType="separate"/>
      </w:r>
      <w:r>
        <w:rPr>
          <w:rStyle w:val="style85"/>
          <w:rFonts w:ascii="Times New Roman" w:cs="Times New Roman" w:hAnsi="Times New Roman"/>
          <w:noProof/>
        </w:rPr>
        <w:t>6.2 Framework for Ongoing Evaluation</w:t>
      </w:r>
      <w:r>
        <w:rPr>
          <w:noProof/>
          <w:webHidden/>
        </w:rPr>
        <w:tab/>
      </w:r>
      <w:r>
        <w:rPr>
          <w:noProof/>
          <w:webHidden/>
        </w:rPr>
        <w:fldChar w:fldCharType="begin"/>
      </w:r>
      <w:r>
        <w:rPr>
          <w:noProof/>
          <w:webHidden/>
        </w:rPr>
        <w:instrText xml:space="preserve"> PAGEREF _Toc153803063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"_Toc153803064" </w:instrText>
      </w:r>
      <w:r>
        <w:rPr/>
        <w:fldChar w:fldCharType="separate"/>
      </w:r>
      <w:r>
        <w:rPr>
          <w:rStyle w:val="style85"/>
          <w:rFonts w:ascii="Times New Roman" w:cs="Times New Roman" w:hAnsi="Times New Roman"/>
          <w:noProof/>
        </w:rPr>
        <w:t>6.3 Continuous Improvement Cycle</w:t>
      </w:r>
      <w:r>
        <w:rPr>
          <w:noProof/>
          <w:webHidden/>
        </w:rPr>
        <w:tab/>
      </w:r>
      <w:r>
        <w:rPr>
          <w:noProof/>
          <w:webHidden/>
        </w:rPr>
        <w:fldChar w:fldCharType="begin"/>
      </w:r>
      <w:r>
        <w:rPr>
          <w:noProof/>
          <w:webHidden/>
        </w:rPr>
        <w:instrText xml:space="preserve"> PAGEREF _Toc153803064 \h </w:instrText>
      </w:r>
      <w:r>
        <w:rPr>
          <w:noProof/>
          <w:webHidden/>
        </w:rPr>
        <w:fldChar w:fldCharType="separate"/>
      </w:r>
      <w:r>
        <w:rPr>
          <w:noProof/>
          <w:webHidden/>
        </w:rPr>
        <w:t>14</w:t>
      </w:r>
      <w:r>
        <w:rPr>
          <w:noProof/>
          <w:webHidden/>
        </w:rPr>
        <w:fldChar w:fldCharType="end"/>
      </w:r>
      <w:r>
        <w:rPr/>
        <w:fldChar w:fldCharType="end"/>
      </w:r>
    </w:p>
    <w:p>
      <w:pPr>
        <w:pStyle w:val="style19"/>
        <w:tabs>
          <w:tab w:val="right" w:leader="dot" w:pos="9016"/>
        </w:tabs>
        <w:rPr>
          <w:rFonts w:eastAsia="宋体"/>
          <w:noProof/>
          <w:lang w:eastAsia="en-GB"/>
        </w:rPr>
      </w:pPr>
      <w:r>
        <w:rPr/>
        <w:fldChar w:fldCharType="begin"/>
      </w:r>
      <w:r>
        <w:instrText xml:space="preserve"> HYPERLINK \l "_Toc153803065" </w:instrText>
      </w:r>
      <w:r>
        <w:rPr/>
        <w:fldChar w:fldCharType="separate"/>
      </w:r>
      <w:r>
        <w:rPr>
          <w:rStyle w:val="style85"/>
          <w:rFonts w:ascii="Times New Roman" w:cs="Times New Roman" w:hAnsi="Times New Roman"/>
          <w:bCs/>
          <w:noProof/>
        </w:rPr>
        <w:t>7. Ethical Considerations in Employee Engagement Strategies</w:t>
      </w:r>
      <w:r>
        <w:rPr>
          <w:noProof/>
          <w:webHidden/>
        </w:rPr>
        <w:tab/>
      </w:r>
      <w:r>
        <w:rPr>
          <w:noProof/>
          <w:webHidden/>
        </w:rPr>
        <w:fldChar w:fldCharType="begin"/>
      </w:r>
      <w:r>
        <w:rPr>
          <w:noProof/>
          <w:webHidden/>
        </w:rPr>
        <w:instrText xml:space="preserve"> PAGEREF _Toc153803065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"_Toc153803066" </w:instrText>
      </w:r>
      <w:r>
        <w:rPr/>
        <w:fldChar w:fldCharType="separate"/>
      </w:r>
      <w:r>
        <w:rPr>
          <w:rStyle w:val="style85"/>
          <w:rFonts w:ascii="Times New Roman" w:cs="Times New Roman" w:hAnsi="Times New Roman"/>
          <w:bCs/>
          <w:noProof/>
        </w:rPr>
        <w:t>7.1 Fairness and Transparency</w:t>
      </w:r>
      <w:r>
        <w:rPr>
          <w:noProof/>
          <w:webHidden/>
        </w:rPr>
        <w:tab/>
      </w:r>
      <w:r>
        <w:rPr>
          <w:noProof/>
          <w:webHidden/>
        </w:rPr>
        <w:fldChar w:fldCharType="begin"/>
      </w:r>
      <w:r>
        <w:rPr>
          <w:noProof/>
          <w:webHidden/>
        </w:rPr>
        <w:instrText xml:space="preserve"> PAGEREF _Toc153803066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"_Toc153803067" </w:instrText>
      </w:r>
      <w:r>
        <w:rPr/>
        <w:fldChar w:fldCharType="separate"/>
      </w:r>
      <w:r>
        <w:rPr>
          <w:rStyle w:val="style85"/>
          <w:rFonts w:ascii="Times New Roman" w:cs="Times New Roman" w:hAnsi="Times New Roman"/>
          <w:bCs/>
          <w:noProof/>
        </w:rPr>
        <w:t>7.2 Privacy and Data Security</w:t>
      </w:r>
      <w:r>
        <w:rPr>
          <w:noProof/>
          <w:webHidden/>
        </w:rPr>
        <w:tab/>
      </w:r>
      <w:r>
        <w:rPr>
          <w:noProof/>
          <w:webHidden/>
        </w:rPr>
        <w:fldChar w:fldCharType="begin"/>
      </w:r>
      <w:r>
        <w:rPr>
          <w:noProof/>
          <w:webHidden/>
        </w:rPr>
        <w:instrText xml:space="preserve"> PAGEREF _Toc153803067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"_Toc153803068" </w:instrText>
      </w:r>
      <w:r>
        <w:rPr/>
        <w:fldChar w:fldCharType="separate"/>
      </w:r>
      <w:r>
        <w:rPr>
          <w:rStyle w:val="style85"/>
          <w:rFonts w:ascii="Times New Roman" w:cs="Times New Roman" w:hAnsi="Times New Roman"/>
          <w:bCs/>
          <w:noProof/>
        </w:rPr>
        <w:t>7.3 Inclusivity and Diversity</w:t>
      </w:r>
      <w:r>
        <w:rPr>
          <w:noProof/>
          <w:webHidden/>
        </w:rPr>
        <w:tab/>
      </w:r>
      <w:r>
        <w:rPr>
          <w:noProof/>
          <w:webHidden/>
        </w:rPr>
        <w:fldChar w:fldCharType="begin"/>
      </w:r>
      <w:r>
        <w:rPr>
          <w:noProof/>
          <w:webHidden/>
        </w:rPr>
        <w:instrText xml:space="preserve"> PAGEREF _Toc153803068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"_Toc153803069" </w:instrText>
      </w:r>
      <w:r>
        <w:rPr/>
        <w:fldChar w:fldCharType="separate"/>
      </w:r>
      <w:r>
        <w:rPr>
          <w:rStyle w:val="style85"/>
          <w:rFonts w:ascii="Times New Roman" w:cs="Times New Roman" w:hAnsi="Times New Roman"/>
          <w:bCs/>
          <w:noProof/>
        </w:rPr>
        <w:t>7.4 Compliance and Ethical Guidelines</w:t>
      </w:r>
      <w:r>
        <w:rPr>
          <w:noProof/>
          <w:webHidden/>
        </w:rPr>
        <w:tab/>
      </w:r>
      <w:r>
        <w:rPr>
          <w:noProof/>
          <w:webHidden/>
        </w:rPr>
        <w:fldChar w:fldCharType="begin"/>
      </w:r>
      <w:r>
        <w:rPr>
          <w:noProof/>
          <w:webHidden/>
        </w:rPr>
        <w:instrText xml:space="preserve"> PAGEREF _Toc153803069 \h </w:instrText>
      </w:r>
      <w:r>
        <w:rPr>
          <w:noProof/>
          <w:webHidden/>
        </w:rPr>
        <w:fldChar w:fldCharType="separate"/>
      </w:r>
      <w:r>
        <w:rPr>
          <w:noProof/>
          <w:webHidden/>
        </w:rPr>
        <w:t>16</w:t>
      </w:r>
      <w:r>
        <w:rPr>
          <w:noProof/>
          <w:webHidden/>
        </w:rPr>
        <w:fldChar w:fldCharType="end"/>
      </w:r>
      <w:r>
        <w:rPr/>
        <w:fldChar w:fldCharType="end"/>
      </w:r>
    </w:p>
    <w:p>
      <w:pPr>
        <w:pStyle w:val="style20"/>
        <w:tabs>
          <w:tab w:val="right" w:leader="dot" w:pos="9016"/>
        </w:tabs>
        <w:rPr>
          <w:rFonts w:eastAsia="宋体"/>
          <w:noProof/>
          <w:lang w:eastAsia="en-GB"/>
        </w:rPr>
      </w:pPr>
      <w:r>
        <w:rPr/>
        <w:fldChar w:fldCharType="begin"/>
      </w:r>
      <w:r>
        <w:instrText xml:space="preserve"> HYPERLINK \l "_Toc153803070" </w:instrText>
      </w:r>
      <w:r>
        <w:rPr/>
        <w:fldChar w:fldCharType="separate"/>
      </w:r>
      <w:r>
        <w:rPr>
          <w:rStyle w:val="style85"/>
          <w:rFonts w:ascii="Times New Roman" w:cs="Times New Roman" w:hAnsi="Times New Roman"/>
          <w:bCs/>
          <w:noProof/>
        </w:rPr>
        <w:t>8. Conclusion</w:t>
      </w:r>
      <w:r>
        <w:rPr>
          <w:noProof/>
          <w:webHidden/>
        </w:rPr>
        <w:tab/>
      </w:r>
      <w:r>
        <w:rPr>
          <w:noProof/>
          <w:webHidden/>
        </w:rPr>
        <w:fldChar w:fldCharType="begin"/>
      </w:r>
      <w:r>
        <w:rPr>
          <w:noProof/>
          <w:webHidden/>
        </w:rPr>
        <w:instrText xml:space="preserve"> PAGEREF _Toc153803070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016"/>
        </w:tabs>
        <w:rPr>
          <w:rFonts w:eastAsia="宋体"/>
          <w:noProof/>
          <w:lang w:eastAsia="en-GB"/>
        </w:rPr>
      </w:pPr>
      <w:r>
        <w:rPr/>
        <w:fldChar w:fldCharType="begin"/>
      </w:r>
      <w:r>
        <w:instrText xml:space="preserve"> HYPERLINK \l "_Toc153803071" </w:instrText>
      </w:r>
      <w:r>
        <w:rPr/>
        <w:fldChar w:fldCharType="separate"/>
      </w:r>
      <w:r>
        <w:rPr>
          <w:rStyle w:val="style85"/>
          <w:rFonts w:ascii="Times New Roman" w:cs="Times New Roman" w:hAnsi="Times New Roman"/>
          <w:noProof/>
        </w:rPr>
        <w:t xml:space="preserve">9. </w:t>
      </w:r>
      <w:r>
        <w:rPr>
          <w:rStyle w:val="style85"/>
          <w:rFonts w:ascii="Times New Roman" w:cs="Times New Roman" w:hAnsi="Times New Roman"/>
          <w:bCs/>
          <w:noProof/>
        </w:rPr>
        <w:t>References</w:t>
      </w:r>
      <w:r>
        <w:rPr>
          <w:noProof/>
          <w:webHidden/>
        </w:rPr>
        <w:tab/>
      </w:r>
      <w:r>
        <w:rPr>
          <w:noProof/>
          <w:webHidden/>
        </w:rPr>
        <w:fldChar w:fldCharType="begin"/>
      </w:r>
      <w:r>
        <w:rPr>
          <w:noProof/>
          <w:webHidden/>
        </w:rPr>
        <w:instrText xml:space="preserve"> PAGEREF _Toc153803071 \h </w:instrText>
      </w:r>
      <w:r>
        <w:rPr>
          <w:noProof/>
          <w:webHidden/>
        </w:rPr>
        <w:fldChar w:fldCharType="separate"/>
      </w:r>
      <w:r>
        <w:rPr>
          <w:noProof/>
          <w:webHidden/>
        </w:rPr>
        <w:t>17</w:t>
      </w:r>
      <w:r>
        <w:rPr>
          <w:noProof/>
          <w:webHidden/>
        </w:rPr>
        <w:fldChar w:fldCharType="end"/>
      </w:r>
      <w:r>
        <w:rPr/>
        <w:fldChar w:fldCharType="end"/>
      </w:r>
    </w:p>
    <w:p>
      <w:pPr>
        <w:pStyle w:val="style0"/>
        <w:rPr/>
      </w:pPr>
      <w:r>
        <w:rPr>
          <w:rFonts w:ascii="Times New Roman" w:cs="Times New Roman" w:hAnsi="Times New Roman"/>
          <w:bCs/>
          <w:noProof/>
        </w:rPr>
        <w:fldChar w:fldCharType="end"/>
      </w:r>
    </w:p>
    <w:p>
      <w:pPr>
        <w:pStyle w:val="style0"/>
        <w:rPr>
          <w:rFonts w:ascii="Times New Roman" w:cs="Times New Roman" w:hAnsi="Times New Roman"/>
          <w:b/>
          <w:bCs/>
          <w:sz w:val="24"/>
          <w:szCs w:val="24"/>
        </w:rPr>
      </w:pPr>
    </w:p>
    <w:p>
      <w:pPr>
        <w:pStyle w:val="style0"/>
        <w:rPr>
          <w:rFonts w:ascii="Times New Roman" w:cs="Times New Roman" w:hAnsi="Times New Roman"/>
          <w:b/>
          <w:bCs/>
          <w:sz w:val="24"/>
          <w:szCs w:val="24"/>
        </w:rPr>
      </w:pPr>
    </w:p>
    <w:p>
      <w:pPr>
        <w:pStyle w:val="style0"/>
        <w:rPr>
          <w:rFonts w:ascii="Times New Roman" w:cs="Times New Roman" w:hAnsi="Times New Roman"/>
          <w:b/>
          <w:bCs/>
          <w:sz w:val="24"/>
          <w:szCs w:val="24"/>
        </w:rPr>
      </w:pPr>
    </w:p>
    <w:p>
      <w:pPr>
        <w:pStyle w:val="style0"/>
        <w:rPr>
          <w:rFonts w:ascii="Times New Roman" w:cs="Times New Roman" w:hAnsi="Times New Roman"/>
          <w:b/>
          <w:bCs/>
          <w:sz w:val="24"/>
          <w:szCs w:val="24"/>
        </w:rPr>
      </w:pPr>
    </w:p>
    <w:bookmarkStart w:id="0" w:name="_Toc153803044"/>
    <w:p>
      <w:pPr>
        <w:pStyle w:val="style1"/>
        <w:numPr>
          <w:ilvl w:val="0"/>
          <w:numId w:val="1"/>
        </w:numPr>
        <w:rPr>
          <w:rFonts w:ascii="Times New Roman" w:cs="Times New Roman" w:hAnsi="Times New Roman"/>
          <w:b/>
          <w:bCs/>
          <w:sz w:val="24"/>
          <w:szCs w:val="24"/>
        </w:rPr>
      </w:pPr>
      <w:r>
        <w:rPr>
          <w:rFonts w:ascii="Times New Roman" w:cs="Times New Roman" w:hAnsi="Times New Roman"/>
          <w:b/>
          <w:bCs/>
          <w:sz w:val="24"/>
          <w:szCs w:val="24"/>
        </w:rPr>
        <w:t>Introduction</w:t>
      </w:r>
      <w:bookmarkEnd w:id="0"/>
    </w:p>
    <w:p>
      <w:pPr>
        <w:pStyle w:val="style0"/>
        <w:rPr/>
      </w:pPr>
    </w:p>
    <w:bookmarkStart w:id="1" w:name="_Toc153803045"/>
    <w:p>
      <w:pPr>
        <w:pStyle w:val="style2"/>
        <w:numPr>
          <w:ilvl w:val="1"/>
          <w:numId w:val="23"/>
        </w:numPr>
        <w:rPr>
          <w:rFonts w:ascii="Times New Roman" w:cs="Times New Roman" w:hAnsi="Times New Roman"/>
          <w:b/>
          <w:bCs/>
          <w:color w:val="000000"/>
          <w:sz w:val="24"/>
          <w:szCs w:val="24"/>
        </w:rPr>
      </w:pPr>
      <w:r>
        <w:rPr>
          <w:rFonts w:ascii="Times New Roman" w:cs="Times New Roman" w:hAnsi="Times New Roman"/>
          <w:b/>
          <w:bCs/>
          <w:color w:val="000000"/>
          <w:sz w:val="24"/>
          <w:szCs w:val="24"/>
        </w:rPr>
        <w:t>Overview of SainCo’s</w:t>
      </w:r>
      <w:r>
        <w:rPr>
          <w:rFonts w:ascii="Times New Roman" w:cs="Times New Roman" w:hAnsi="Times New Roman"/>
          <w:b/>
          <w:bCs/>
          <w:color w:val="000000"/>
          <w:sz w:val="24"/>
          <w:szCs w:val="24"/>
        </w:rPr>
        <w:t xml:space="preserve"> Current Status and Management Style:</w:t>
      </w:r>
      <w:bookmarkEnd w:id="1"/>
    </w:p>
    <w:p>
      <w:pPr>
        <w:pStyle w:val="style0"/>
        <w:rPr>
          <w:rFonts w:ascii="Times New Roman" w:cs="Times New Roman" w:hAnsi="Times New Roman"/>
          <w:sz w:val="24"/>
          <w:szCs w:val="24"/>
        </w:rPr>
      </w:pPr>
      <w:r>
        <w:rPr>
          <w:rFonts w:ascii="Times New Roman" w:cs="Times New Roman" w:hAnsi="Times New Roman"/>
          <w:color w:val="000000"/>
          <w:sz w:val="24"/>
          <w:szCs w:val="24"/>
        </w:rPr>
        <w:t>SainCo</w:t>
      </w:r>
      <w:r>
        <w:rPr>
          <w:rFonts w:ascii="Times New Roman" w:cs="Times New Roman" w:hAnsi="Times New Roman"/>
          <w:color w:val="000000"/>
          <w:sz w:val="24"/>
          <w:szCs w:val="24"/>
        </w:rPr>
        <w:t xml:space="preserve">, as a globally recognized retail giant, has successfully established </w:t>
      </w:r>
      <w:r>
        <w:rPr>
          <w:rFonts w:ascii="Times New Roman" w:cs="Times New Roman" w:hAnsi="Times New Roman"/>
          <w:sz w:val="24"/>
          <w:szCs w:val="24"/>
        </w:rPr>
        <w:t xml:space="preserve">itself across diverse international markets. With its headquarters situated in the UK, the company boasts a comprehensive network of stores and an extensive workforce. Traditionally, </w:t>
      </w:r>
      <w:r>
        <w:rPr>
          <w:rFonts w:ascii="Times New Roman" w:cs="Times New Roman" w:hAnsi="Times New Roman"/>
          <w:sz w:val="24"/>
          <w:szCs w:val="24"/>
        </w:rPr>
        <w:t>SainCo</w:t>
      </w:r>
      <w:r>
        <w:rPr>
          <w:rFonts w:ascii="Times New Roman" w:cs="Times New Roman" w:hAnsi="Times New Roman"/>
          <w:sz w:val="24"/>
          <w:szCs w:val="24"/>
        </w:rPr>
        <w:t xml:space="preserve"> has adhered to a structured management style characterized by centralized decision-making. The hierarchical leadership structure has been integral to its operations, with upper management typically setting the guidelines and directives that flow down through various organizational levels. This structured approach has enabled </w:t>
      </w:r>
      <w:r>
        <w:rPr>
          <w:rFonts w:ascii="Times New Roman" w:cs="Times New Roman" w:hAnsi="Times New Roman"/>
          <w:sz w:val="24"/>
          <w:szCs w:val="24"/>
        </w:rPr>
        <w:t>SainCo</w:t>
      </w:r>
      <w:r>
        <w:rPr>
          <w:rFonts w:ascii="Times New Roman" w:cs="Times New Roman" w:hAnsi="Times New Roman"/>
          <w:sz w:val="24"/>
          <w:szCs w:val="24"/>
        </w:rPr>
        <w:t xml:space="preserve"> to maintain consistency in its operations, ensuring compliance with company protocols and standards across its vast network.</w:t>
      </w:r>
    </w:p>
    <w:bookmarkStart w:id="2" w:name="_Toc153803046"/>
    <w:p>
      <w:pPr>
        <w:pStyle w:val="style2"/>
        <w:rPr>
          <w:rFonts w:ascii="Times New Roman" w:cs="Times New Roman" w:hAnsi="Times New Roman"/>
          <w:color w:val="000000"/>
          <w:sz w:val="24"/>
          <w:szCs w:val="24"/>
        </w:rPr>
      </w:pPr>
      <w:r>
        <w:rPr>
          <w:rFonts w:ascii="Times New Roman" w:cs="Times New Roman" w:hAnsi="Times New Roman"/>
          <w:b/>
          <w:color w:val="000000"/>
          <w:sz w:val="24"/>
          <w:szCs w:val="24"/>
        </w:rPr>
        <w:t>1</w:t>
      </w:r>
      <w:r>
        <w:rPr>
          <w:rFonts w:ascii="Times New Roman" w:cs="Times New Roman" w:hAnsi="Times New Roman"/>
          <w:b/>
          <w:color w:val="000000"/>
          <w:sz w:val="24"/>
          <w:szCs w:val="24"/>
        </w:rPr>
        <w:t>.2</w:t>
      </w:r>
      <w:r>
        <w:rPr>
          <w:rFonts w:ascii="Times New Roman" w:cs="Times New Roman" w:hAnsi="Times New Roman"/>
          <w:color w:val="000000"/>
          <w:sz w:val="24"/>
          <w:szCs w:val="24"/>
        </w:rPr>
        <w:t xml:space="preserve"> </w:t>
      </w:r>
      <w:r>
        <w:rPr>
          <w:rFonts w:ascii="Times New Roman" w:cs="Times New Roman" w:hAnsi="Times New Roman"/>
          <w:b/>
          <w:bCs/>
          <w:color w:val="000000"/>
          <w:sz w:val="24"/>
          <w:szCs w:val="24"/>
        </w:rPr>
        <w:t>Need for Modern Performance Management:</w:t>
      </w:r>
      <w:bookmarkEnd w:id="2"/>
      <w:r>
        <w:rPr>
          <w:rFonts w:ascii="Times New Roman" w:cs="Times New Roman" w:hAnsi="Times New Roman"/>
          <w:color w:val="000000"/>
          <w:sz w:val="24"/>
          <w:szCs w:val="24"/>
        </w:rPr>
        <w:t xml:space="preserve"> </w:t>
      </w:r>
    </w:p>
    <w:p>
      <w:pPr>
        <w:pStyle w:val="style0"/>
        <w:rPr>
          <w:rFonts w:ascii="Times New Roman" w:cs="Times New Roman" w:hAnsi="Times New Roman"/>
          <w:color w:val="000000"/>
          <w:sz w:val="24"/>
          <w:szCs w:val="24"/>
        </w:rPr>
      </w:pPr>
      <w:r>
        <w:rPr>
          <w:rFonts w:ascii="Times New Roman" w:cs="Times New Roman" w:hAnsi="Times New Roman"/>
          <w:sz w:val="24"/>
          <w:szCs w:val="24"/>
        </w:rPr>
        <w:t xml:space="preserve">Amidst the swiftly changing dynamics of the retail industry, </w:t>
      </w:r>
      <w:r>
        <w:rPr>
          <w:rFonts w:ascii="Times New Roman" w:cs="Times New Roman" w:hAnsi="Times New Roman"/>
          <w:sz w:val="24"/>
          <w:szCs w:val="24"/>
        </w:rPr>
        <w:t>SainCo</w:t>
      </w:r>
      <w:r>
        <w:rPr>
          <w:rFonts w:ascii="Times New Roman" w:cs="Times New Roman" w:hAnsi="Times New Roman"/>
          <w:sz w:val="24"/>
          <w:szCs w:val="24"/>
        </w:rPr>
        <w:t xml:space="preserve"> recognizes the urgency to evolve its management style. The conventional methods that once ensured success may no longer suffice in the face of evolving consumer behaviours and technological advancements. Hence, </w:t>
      </w:r>
      <w:r>
        <w:rPr>
          <w:rFonts w:ascii="Times New Roman" w:cs="Times New Roman" w:hAnsi="Times New Roman"/>
          <w:sz w:val="24"/>
          <w:szCs w:val="24"/>
        </w:rPr>
        <w:t xml:space="preserve">SainCo </w:t>
      </w:r>
      <w:r>
        <w:rPr>
          <w:rFonts w:ascii="Times New Roman" w:cs="Times New Roman" w:hAnsi="Times New Roman"/>
          <w:sz w:val="24"/>
          <w:szCs w:val="24"/>
        </w:rPr>
        <w:t xml:space="preserve">aims to shift towards contemporary performance management approaches. By embracing flexibility and agility in its management practices, </w:t>
      </w:r>
      <w:r>
        <w:rPr>
          <w:rFonts w:ascii="Times New Roman" w:cs="Times New Roman" w:hAnsi="Times New Roman"/>
          <w:sz w:val="24"/>
          <w:szCs w:val="24"/>
        </w:rPr>
        <w:t>SainCo</w:t>
      </w:r>
      <w:r>
        <w:rPr>
          <w:rFonts w:ascii="Times New Roman" w:cs="Times New Roman" w:hAnsi="Times New Roman"/>
          <w:sz w:val="24"/>
          <w:szCs w:val="24"/>
        </w:rPr>
        <w:t xml:space="preserve"> seeks to adapt its strategies to the rapidly shifting market demands. This strategic shift not only aims to </w:t>
      </w:r>
      <w:r>
        <w:rPr>
          <w:rFonts w:ascii="Times New Roman" w:cs="Times New Roman" w:hAnsi="Times New Roman"/>
          <w:color w:val="000000"/>
          <w:sz w:val="24"/>
          <w:szCs w:val="24"/>
        </w:rPr>
        <w:t>enhance operational efficiency but also intends to foster an organizational culture that is adaptive, innovative, and responsive to emerging trends.</w:t>
      </w:r>
    </w:p>
    <w:bookmarkStart w:id="3" w:name="_Toc153803047"/>
    <w:p>
      <w:pPr>
        <w:pStyle w:val="style2"/>
        <w:numPr>
          <w:ilvl w:val="1"/>
          <w:numId w:val="23"/>
        </w:numPr>
        <w:rPr>
          <w:rFonts w:ascii="Times New Roman" w:cs="Times New Roman" w:hAnsi="Times New Roman"/>
          <w:color w:val="000000"/>
          <w:sz w:val="24"/>
          <w:szCs w:val="24"/>
        </w:rPr>
      </w:pPr>
      <w:r>
        <w:rPr>
          <w:rFonts w:ascii="Times New Roman" w:cs="Times New Roman" w:hAnsi="Times New Roman"/>
          <w:b/>
          <w:bCs/>
          <w:color w:val="000000"/>
          <w:sz w:val="24"/>
          <w:szCs w:val="24"/>
        </w:rPr>
        <w:t>Significance of Employee Engagement and Involvement:</w:t>
      </w:r>
      <w:bookmarkEnd w:id="3"/>
      <w:r>
        <w:rPr>
          <w:rFonts w:ascii="Times New Roman" w:cs="Times New Roman" w:hAnsi="Times New Roman"/>
          <w:color w:val="000000"/>
          <w:sz w:val="24"/>
          <w:szCs w:val="24"/>
        </w:rPr>
        <w:t xml:space="preserve"> </w:t>
      </w:r>
    </w:p>
    <w:p>
      <w:pPr>
        <w:pStyle w:val="style0"/>
        <w:rPr>
          <w:rFonts w:ascii="Times New Roman" w:cs="Times New Roman" w:hAnsi="Times New Roman"/>
          <w:color w:val="000000"/>
          <w:sz w:val="24"/>
          <w:szCs w:val="24"/>
        </w:rPr>
      </w:pPr>
      <w:r>
        <w:rPr>
          <w:rFonts w:ascii="Times New Roman" w:cs="Times New Roman" w:hAnsi="Times New Roman"/>
          <w:color w:val="000000"/>
          <w:sz w:val="24"/>
          <w:szCs w:val="24"/>
        </w:rPr>
        <w:t xml:space="preserve">Employee engagement stands as a linchpin </w:t>
      </w:r>
      <w:r>
        <w:rPr>
          <w:rFonts w:ascii="Times New Roman" w:cs="Times New Roman" w:hAnsi="Times New Roman"/>
          <w:color w:val="000000"/>
          <w:sz w:val="24"/>
          <w:szCs w:val="24"/>
        </w:rPr>
        <w:t xml:space="preserve">SainCo </w:t>
      </w:r>
      <w:r>
        <w:rPr>
          <w:rFonts w:ascii="Times New Roman" w:cs="Times New Roman" w:hAnsi="Times New Roman"/>
          <w:color w:val="000000"/>
          <w:sz w:val="24"/>
          <w:szCs w:val="24"/>
        </w:rPr>
        <w:t xml:space="preserve">sustained growth and competitiveness. Engaged employees are more likely to demonstrate a deeper commitment to their roles, leading to increased productivity and innovation within the organization. Conversely, disengaged employees may exhibit reduced motivation and productivity levels, which could impact </w:t>
      </w:r>
      <w:r>
        <w:rPr>
          <w:rFonts w:ascii="Times New Roman" w:cs="Times New Roman" w:hAnsi="Times New Roman"/>
          <w:color w:val="000000"/>
          <w:sz w:val="24"/>
          <w:szCs w:val="24"/>
        </w:rPr>
        <w:t>SainCo</w:t>
      </w:r>
      <w:r>
        <w:rPr>
          <w:rFonts w:ascii="Times New Roman" w:cs="Times New Roman" w:hAnsi="Times New Roman"/>
          <w:color w:val="000000"/>
          <w:sz w:val="24"/>
          <w:szCs w:val="24"/>
        </w:rPr>
        <w:t xml:space="preserve"> overall performance. Recognizing this, </w:t>
      </w:r>
      <w:r>
        <w:rPr>
          <w:rFonts w:ascii="Times New Roman" w:cs="Times New Roman" w:hAnsi="Times New Roman"/>
          <w:color w:val="000000"/>
          <w:sz w:val="24"/>
          <w:szCs w:val="24"/>
        </w:rPr>
        <w:t>SainCo</w:t>
      </w:r>
      <w:r>
        <w:rPr>
          <w:rFonts w:ascii="Times New Roman" w:cs="Times New Roman" w:hAnsi="Times New Roman"/>
          <w:color w:val="000000"/>
          <w:sz w:val="24"/>
          <w:szCs w:val="24"/>
        </w:rPr>
        <w:t xml:space="preserve"> emphasizes the creation of an inclusive work environment that fosters engagement by involving employees in decision-making processes. Encouraging collaboration and valuing diverse perspectives not only cultivates a sense of ownership among employees but also nurtures a culture of innovation and mutual respect within the company.</w:t>
      </w:r>
    </w:p>
    <w:bookmarkStart w:id="4" w:name="_Toc153803048"/>
    <w:p>
      <w:pPr>
        <w:pStyle w:val="style179"/>
        <w:numPr>
          <w:ilvl w:val="1"/>
          <w:numId w:val="23"/>
        </w:numPr>
        <w:outlineLvl w:val="1"/>
        <w:rPr>
          <w:rFonts w:ascii="Times New Roman" w:cs="Times New Roman" w:hAnsi="Times New Roman"/>
          <w:color w:val="000000"/>
          <w:sz w:val="24"/>
          <w:szCs w:val="24"/>
        </w:rPr>
      </w:pPr>
      <w:r>
        <w:rPr>
          <w:rFonts w:ascii="Times New Roman" w:cs="Times New Roman" w:hAnsi="Times New Roman"/>
          <w:b/>
          <w:bCs/>
          <w:color w:val="000000"/>
          <w:sz w:val="24"/>
          <w:szCs w:val="24"/>
        </w:rPr>
        <w:t>Purpose and Structure of the Report:</w:t>
      </w:r>
      <w:bookmarkEnd w:id="4"/>
      <w:r>
        <w:rPr>
          <w:rFonts w:ascii="Times New Roman" w:cs="Times New Roman" w:hAnsi="Times New Roman"/>
          <w:color w:val="000000"/>
          <w:sz w:val="24"/>
          <w:szCs w:val="24"/>
        </w:rPr>
        <w:t xml:space="preserve"> </w:t>
      </w:r>
    </w:p>
    <w:p>
      <w:pPr>
        <w:pStyle w:val="style0"/>
        <w:rPr>
          <w:rFonts w:ascii="Times New Roman" w:cs="Times New Roman" w:hAnsi="Times New Roman"/>
          <w:color w:val="000000"/>
          <w:sz w:val="24"/>
          <w:szCs w:val="24"/>
        </w:rPr>
      </w:pPr>
      <w:r>
        <w:rPr>
          <w:rFonts w:ascii="Times New Roman" w:cs="Times New Roman" w:hAnsi="Times New Roman"/>
          <w:color w:val="000000"/>
          <w:sz w:val="24"/>
          <w:szCs w:val="24"/>
        </w:rPr>
        <w:t xml:space="preserve">This comprehensive report is dedicated to formulating a roadmap for </w:t>
      </w:r>
      <w:r>
        <w:rPr>
          <w:rFonts w:ascii="Times New Roman" w:cs="Times New Roman" w:hAnsi="Times New Roman"/>
          <w:color w:val="000000"/>
          <w:sz w:val="24"/>
          <w:szCs w:val="24"/>
        </w:rPr>
        <w:t>SainCo</w:t>
      </w:r>
      <w:r>
        <w:rPr>
          <w:rFonts w:ascii="Times New Roman" w:cs="Times New Roman" w:hAnsi="Times New Roman"/>
          <w:color w:val="000000"/>
          <w:sz w:val="24"/>
          <w:szCs w:val="24"/>
        </w:rPr>
        <w:t xml:space="preserve"> transition towards modern performance management practices with a primary focus on enhancing employee engagement and involvement. It is designed to provide a detailed analysis of </w:t>
      </w:r>
      <w:r>
        <w:rPr>
          <w:rFonts w:ascii="Times New Roman" w:cs="Times New Roman" w:hAnsi="Times New Roman"/>
          <w:color w:val="000000"/>
          <w:sz w:val="24"/>
          <w:szCs w:val="24"/>
        </w:rPr>
        <w:t>SainCo</w:t>
      </w:r>
      <w:r>
        <w:rPr>
          <w:rFonts w:ascii="Times New Roman" w:cs="Times New Roman" w:hAnsi="Times New Roman"/>
          <w:color w:val="000000"/>
          <w:sz w:val="24"/>
          <w:szCs w:val="24"/>
        </w:rPr>
        <w:t xml:space="preserve"> current employee engagement landscape, proposing practical strategies for improvement, and outlining a step-by-step plan for effective implementation. Additionally, the report will delve into an extensive exploration of various methodologies, industry best practices, ethical considerations, and mechanisms for continuous evaluation. By doing so, it aims to facilitate sustainable and positive organizational changes within </w:t>
      </w:r>
      <w:r>
        <w:rPr>
          <w:rFonts w:ascii="Times New Roman" w:cs="Times New Roman" w:hAnsi="Times New Roman"/>
          <w:color w:val="000000"/>
          <w:sz w:val="24"/>
          <w:szCs w:val="24"/>
        </w:rPr>
        <w:t>SainCo</w:t>
      </w:r>
      <w:r>
        <w:rPr>
          <w:rFonts w:ascii="Times New Roman" w:cs="Times New Roman" w:hAnsi="Times New Roman"/>
          <w:color w:val="000000"/>
          <w:sz w:val="24"/>
          <w:szCs w:val="24"/>
        </w:rPr>
        <w:t xml:space="preserve"> operational framework</w:t>
      </w:r>
    </w:p>
    <w:p>
      <w:pPr>
        <w:pStyle w:val="style0"/>
        <w:rPr>
          <w:rFonts w:ascii="Times New Roman" w:cs="Times New Roman" w:hAnsi="Times New Roman"/>
          <w:color w:val="000000"/>
          <w:sz w:val="24"/>
          <w:szCs w:val="24"/>
        </w:rPr>
      </w:pPr>
    </w:p>
    <w:bookmarkStart w:id="5" w:name="_Toc153803049"/>
    <w:p>
      <w:pPr>
        <w:pStyle w:val="style1"/>
        <w:numPr>
          <w:ilvl w:val="0"/>
          <w:numId w:val="1"/>
        </w:numPr>
        <w:rPr>
          <w:rFonts w:ascii="Times New Roman" w:cs="Times New Roman" w:hAnsi="Times New Roman"/>
          <w:color w:val="000000"/>
          <w:sz w:val="24"/>
          <w:szCs w:val="24"/>
        </w:rPr>
      </w:pPr>
      <w:r>
        <w:rPr>
          <w:rFonts w:ascii="Times New Roman" w:cs="Times New Roman" w:hAnsi="Times New Roman"/>
          <w:b/>
          <w:bCs/>
          <w:sz w:val="24"/>
          <w:szCs w:val="24"/>
        </w:rPr>
        <w:t>Analysis of Current State</w:t>
      </w:r>
      <w:bookmarkEnd w:id="5"/>
    </w:p>
    <w:p>
      <w:pPr>
        <w:pStyle w:val="style0"/>
        <w:rPr>
          <w:rFonts w:ascii="Times New Roman" w:cs="Times New Roman" w:hAnsi="Times New Roman"/>
          <w:b/>
          <w:bCs/>
          <w:color w:val="000000"/>
          <w:sz w:val="24"/>
          <w:szCs w:val="24"/>
        </w:rPr>
      </w:pPr>
    </w:p>
    <w:bookmarkStart w:id="6" w:name="_Toc153803050"/>
    <w:p>
      <w:pPr>
        <w:pStyle w:val="style2"/>
        <w:rPr>
          <w:rFonts w:ascii="Times New Roman" w:cs="Times New Roman" w:hAnsi="Times New Roman"/>
          <w:b/>
          <w:bCs/>
          <w:color w:val="000000"/>
          <w:sz w:val="24"/>
          <w:szCs w:val="24"/>
        </w:rPr>
      </w:pPr>
      <w:r>
        <w:rPr>
          <w:rFonts w:ascii="Times New Roman" w:cs="Times New Roman" w:hAnsi="Times New Roman"/>
          <w:b/>
          <w:bCs/>
          <w:color w:val="000000"/>
          <w:sz w:val="24"/>
          <w:szCs w:val="24"/>
        </w:rPr>
        <w:t xml:space="preserve">2.1 Overview of </w:t>
      </w:r>
      <w:r>
        <w:rPr>
          <w:rFonts w:ascii="Times New Roman" w:cs="Times New Roman" w:hAnsi="Times New Roman"/>
          <w:b/>
          <w:bCs/>
          <w:color w:val="000000"/>
          <w:sz w:val="24"/>
          <w:szCs w:val="24"/>
        </w:rPr>
        <w:t>SainCo</w:t>
      </w:r>
      <w:r>
        <w:rPr>
          <w:rFonts w:ascii="Times New Roman" w:cs="Times New Roman" w:hAnsi="Times New Roman"/>
          <w:b/>
          <w:bCs/>
          <w:color w:val="000000"/>
          <w:sz w:val="24"/>
          <w:szCs w:val="24"/>
        </w:rPr>
        <w:t xml:space="preserve"> Organizational Structure, Culture, and Existing Employee Engagement Practices:</w:t>
      </w:r>
      <w:bookmarkEnd w:id="6"/>
    </w:p>
    <w:p>
      <w:pPr>
        <w:pStyle w:val="style0"/>
        <w:rPr>
          <w:rFonts w:ascii="Times New Roman" w:cs="Times New Roman" w:hAnsi="Times New Roman"/>
          <w:color w:val="000000"/>
          <w:sz w:val="24"/>
          <w:szCs w:val="24"/>
        </w:rPr>
      </w:pPr>
      <w:r>
        <w:rPr>
          <w:rFonts w:ascii="Times New Roman" w:cs="Times New Roman" w:hAnsi="Times New Roman"/>
          <w:color w:val="000000"/>
          <w:sz w:val="24"/>
          <w:szCs w:val="24"/>
        </w:rPr>
        <w:t>SainCo</w:t>
      </w:r>
      <w:r>
        <w:rPr>
          <w:rFonts w:ascii="Times New Roman" w:cs="Times New Roman" w:hAnsi="Times New Roman"/>
          <w:color w:val="000000"/>
          <w:sz w:val="24"/>
          <w:szCs w:val="24"/>
        </w:rPr>
        <w:t xml:space="preserve"> organizational structure is hierarchical, comprising several tiers of management. At the top, corporate leadership establishes overarching strategies and goals. Regional managers oversee multiple stores within a specific area, followed by store managers responsible for individual store operations. Frontline employees, including cashiers, shelf stockers, and customer service representatives, constitute the bulk of the workforce.</w:t>
      </w:r>
    </w:p>
    <w:p>
      <w:pPr>
        <w:pStyle w:val="style0"/>
        <w:rPr>
          <w:rFonts w:ascii="Times New Roman" w:cs="Times New Roman" w:hAnsi="Times New Roman"/>
          <w:color w:val="000000"/>
          <w:sz w:val="24"/>
          <w:szCs w:val="24"/>
        </w:rPr>
      </w:pPr>
      <w:r>
        <w:rPr>
          <w:rFonts w:ascii="Times New Roman" w:cs="Times New Roman" w:hAnsi="Times New Roman"/>
          <w:color w:val="000000"/>
          <w:sz w:val="24"/>
          <w:szCs w:val="24"/>
        </w:rPr>
        <w:t xml:space="preserve">The company's culture has been deeply rooted in traditional retail practices, emphasizing operational efficiency, customer service, and adherence to established procedures. However, in recent years, </w:t>
      </w:r>
      <w:r>
        <w:rPr>
          <w:rFonts w:ascii="Times New Roman" w:cs="Times New Roman" w:hAnsi="Times New Roman"/>
          <w:color w:val="000000"/>
          <w:sz w:val="24"/>
          <w:szCs w:val="24"/>
        </w:rPr>
        <w:t>SainCo</w:t>
      </w:r>
      <w:r>
        <w:rPr>
          <w:rFonts w:ascii="Times New Roman" w:cs="Times New Roman" w:hAnsi="Times New Roman"/>
          <w:color w:val="000000"/>
          <w:sz w:val="24"/>
          <w:szCs w:val="24"/>
        </w:rPr>
        <w:t xml:space="preserve"> has been striving to imbue its culture with more innovative and adaptable elements to meet evolving consumer needs and technological advancements.</w:t>
      </w:r>
    </w:p>
    <w:p>
      <w:pPr>
        <w:pStyle w:val="style0"/>
        <w:rPr>
          <w:rFonts w:ascii="Times New Roman" w:cs="Times New Roman" w:hAnsi="Times New Roman"/>
          <w:color w:val="000000"/>
          <w:sz w:val="24"/>
          <w:szCs w:val="24"/>
        </w:rPr>
      </w:pPr>
      <w:r>
        <w:rPr>
          <w:rFonts w:ascii="Times New Roman" w:cs="Times New Roman" w:hAnsi="Times New Roman"/>
          <w:color w:val="000000"/>
          <w:sz w:val="24"/>
          <w:szCs w:val="24"/>
        </w:rPr>
        <w:t xml:space="preserve">Regarding employee engagement practices, </w:t>
      </w:r>
      <w:r>
        <w:rPr>
          <w:rFonts w:ascii="Times New Roman" w:cs="Times New Roman" w:hAnsi="Times New Roman"/>
          <w:color w:val="000000"/>
          <w:sz w:val="24"/>
          <w:szCs w:val="24"/>
        </w:rPr>
        <w:t>SainCo</w:t>
      </w:r>
      <w:r>
        <w:rPr>
          <w:rFonts w:ascii="Times New Roman" w:cs="Times New Roman" w:hAnsi="Times New Roman"/>
          <w:color w:val="000000"/>
          <w:sz w:val="24"/>
          <w:szCs w:val="24"/>
        </w:rPr>
        <w:t xml:space="preserve"> implements periodic performance reviews to assess employee performance and provide feedback. The company invests in training programs aimed at enhancing employee skills and competencies, aligning them with the organization's goals. Additionally, </w:t>
      </w:r>
      <w:r>
        <w:rPr>
          <w:rFonts w:ascii="Times New Roman" w:cs="Times New Roman" w:hAnsi="Times New Roman"/>
          <w:color w:val="000000"/>
          <w:sz w:val="24"/>
          <w:szCs w:val="24"/>
        </w:rPr>
        <w:t>SainCo</w:t>
      </w:r>
      <w:r>
        <w:rPr>
          <w:rFonts w:ascii="Times New Roman" w:cs="Times New Roman" w:hAnsi="Times New Roman"/>
          <w:color w:val="000000"/>
          <w:sz w:val="24"/>
          <w:szCs w:val="24"/>
        </w:rPr>
        <w:t xml:space="preserve"> has recognition and rewards systems to acknowledge employee contributions and incentivize high performance.</w:t>
      </w:r>
    </w:p>
    <w:bookmarkStart w:id="7" w:name="_Toc153803051"/>
    <w:p>
      <w:pPr>
        <w:pStyle w:val="style2"/>
        <w:rPr>
          <w:rFonts w:ascii="Times New Roman" w:cs="Times New Roman" w:hAnsi="Times New Roman"/>
          <w:b/>
          <w:bCs/>
          <w:color w:val="000000"/>
          <w:sz w:val="24"/>
          <w:szCs w:val="24"/>
        </w:rPr>
      </w:pPr>
      <w:r>
        <w:rPr>
          <w:rFonts w:ascii="Times New Roman" w:cs="Times New Roman" w:hAnsi="Times New Roman"/>
          <w:b/>
          <w:bCs/>
          <w:color w:val="000000"/>
          <w:sz w:val="24"/>
          <w:szCs w:val="24"/>
        </w:rPr>
        <w:t>2.2 Assessment of Strengths and Weaknesses of Current Engagement Strategies</w:t>
      </w:r>
      <w:bookmarkEnd w:id="7"/>
    </w:p>
    <w:p>
      <w:pPr>
        <w:pStyle w:val="style0"/>
        <w:rPr/>
      </w:pPr>
    </w:p>
    <w:tbl>
      <w:tblPr>
        <w:tblStyle w:val="style154"/>
        <w:tblW w:w="0" w:type="auto"/>
        <w:tblLook w:val="04A0" w:firstRow="1" w:lastRow="0" w:firstColumn="1" w:lastColumn="0" w:noHBand="0" w:noVBand="1"/>
      </w:tblPr>
      <w:tblGrid>
        <w:gridCol w:w="9016"/>
      </w:tblGrid>
      <w:tr>
        <w:trPr/>
        <w:tc>
          <w:tcPr>
            <w:tcW w:w="9016" w:type="dxa"/>
            <w:tcBorders/>
          </w:tcPr>
          <w:tbl>
            <w:tblPr>
              <w:tblW w:w="876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250"/>
              <w:gridCol w:w="4510"/>
            </w:tblGrid>
            <w:tr>
              <w:trPr>
                <w:trHeight w:val="445" w:hRule="atLeast"/>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b/>
                      <w:bCs/>
                      <w:iCs/>
                      <w:sz w:val="24"/>
                      <w:szCs w:val="24"/>
                    </w:rPr>
                  </w:pPr>
                  <w:r>
                    <w:rPr>
                      <w:rFonts w:ascii="Times New Roman" w:cs="Times New Roman" w:hAnsi="Times New Roman"/>
                      <w:b/>
                      <w:bCs/>
                      <w:iCs/>
                      <w:sz w:val="24"/>
                      <w:szCs w:val="24"/>
                    </w:rPr>
                    <w:t>Strengths</w:t>
                  </w:r>
                </w:p>
              </w:tc>
              <w:tc>
                <w:tcPr>
                  <w:tcW w:w="0" w:type="auto"/>
                  <w:tcBorders>
                    <w:top w:val="single" w:sz="6"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b/>
                      <w:bCs/>
                      <w:iCs/>
                      <w:sz w:val="24"/>
                      <w:szCs w:val="24"/>
                    </w:rPr>
                  </w:pPr>
                  <w:r>
                    <w:rPr>
                      <w:rFonts w:ascii="Times New Roman" w:cs="Times New Roman" w:hAnsi="Times New Roman"/>
                      <w:b/>
                      <w:bCs/>
                      <w:iCs/>
                      <w:sz w:val="24"/>
                      <w:szCs w:val="24"/>
                    </w:rPr>
                    <w:t>Weaknesses</w:t>
                  </w:r>
                </w:p>
              </w:tc>
            </w:tr>
            <w:tr>
              <w:tblPrEx/>
              <w:trPr>
                <w:trHeight w:val="460"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b/>
                      <w:iCs/>
                      <w:sz w:val="24"/>
                      <w:szCs w:val="24"/>
                    </w:rPr>
                  </w:pPr>
                  <w:r>
                    <w:rPr>
                      <w:rFonts w:ascii="Times New Roman" w:cs="Times New Roman" w:hAnsi="Times New Roman"/>
                      <w:b/>
                      <w:iCs/>
                      <w:sz w:val="24"/>
                      <w:szCs w:val="24"/>
                    </w:rPr>
                    <w:t>Structured Performance Reviews</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b/>
                      <w:iCs/>
                      <w:sz w:val="24"/>
                      <w:szCs w:val="24"/>
                    </w:rPr>
                  </w:pPr>
                  <w:r>
                    <w:rPr>
                      <w:rFonts w:ascii="Times New Roman" w:cs="Times New Roman" w:hAnsi="Times New Roman"/>
                      <w:b/>
                      <w:iCs/>
                      <w:sz w:val="24"/>
                      <w:szCs w:val="24"/>
                    </w:rPr>
                    <w:t>Limited Employee Involvement</w:t>
                  </w:r>
                </w:p>
              </w:tc>
            </w:tr>
            <w:tr>
              <w:tblPrEx/>
              <w:trPr>
                <w:trHeight w:val="445"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Systematic evaluations with established criteria</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Centralized decision-making processes</w:t>
                  </w:r>
                </w:p>
              </w:tc>
            </w:tr>
            <w:tr>
              <w:tblPrEx/>
              <w:trPr>
                <w:trHeight w:val="445"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Provides formal platform for feedback</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Hinders meaningful employee participation</w:t>
                  </w:r>
                </w:p>
              </w:tc>
            </w:tr>
            <w:tr>
              <w:tblPrEx/>
              <w:trPr>
                <w:trHeight w:val="460"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Sets clear goals for employee development</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Disengagement due to lack of involvement</w:t>
                  </w:r>
                </w:p>
              </w:tc>
            </w:tr>
            <w:tr>
              <w:tblPrEx/>
              <w:trPr>
                <w:trHeight w:val="445"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b/>
                      <w:iCs/>
                      <w:sz w:val="24"/>
                      <w:szCs w:val="24"/>
                    </w:rPr>
                  </w:pPr>
                  <w:r>
                    <w:rPr>
                      <w:rFonts w:ascii="Times New Roman" w:cs="Times New Roman" w:hAnsi="Times New Roman"/>
                      <w:b/>
                      <w:iCs/>
                      <w:sz w:val="24"/>
                      <w:szCs w:val="24"/>
                    </w:rPr>
                    <w:t>Training and Development Programs</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b/>
                      <w:iCs/>
                      <w:sz w:val="24"/>
                      <w:szCs w:val="24"/>
                    </w:rPr>
                  </w:pPr>
                  <w:r>
                    <w:rPr>
                      <w:rFonts w:ascii="Times New Roman" w:cs="Times New Roman" w:hAnsi="Times New Roman"/>
                      <w:b/>
                      <w:iCs/>
                      <w:sz w:val="24"/>
                      <w:szCs w:val="24"/>
                    </w:rPr>
                    <w:t>Communication Gaps</w:t>
                  </w:r>
                </w:p>
              </w:tc>
            </w:tr>
            <w:tr>
              <w:tblPrEx/>
              <w:trPr>
                <w:trHeight w:val="445"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Prioritizes skill enhancement</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Breakdowns in communication between levels</w:t>
                  </w:r>
                </w:p>
              </w:tc>
            </w:tr>
            <w:tr>
              <w:tblPrEx/>
              <w:trPr>
                <w:trHeight w:val="460"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Improves competencies and productivity</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Information discrepancies due to hierarchy</w:t>
                  </w:r>
                </w:p>
              </w:tc>
            </w:tr>
            <w:tr>
              <w:tblPrEx/>
              <w:trPr>
                <w:trHeight w:val="445"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Aligns employees with industry trends</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Reduced understanding of organizational goals</w:t>
                  </w:r>
                </w:p>
              </w:tc>
            </w:tr>
            <w:tr>
              <w:tblPrEx/>
              <w:trPr>
                <w:trHeight w:val="445"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b/>
                      <w:iCs/>
                      <w:sz w:val="24"/>
                      <w:szCs w:val="24"/>
                    </w:rPr>
                  </w:pPr>
                  <w:r>
                    <w:rPr>
                      <w:rFonts w:ascii="Times New Roman" w:cs="Times New Roman" w:hAnsi="Times New Roman"/>
                      <w:b/>
                      <w:iCs/>
                      <w:sz w:val="24"/>
                      <w:szCs w:val="24"/>
                    </w:rPr>
                    <w:t>Recognition and Rewards</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b/>
                      <w:iCs/>
                      <w:sz w:val="24"/>
                      <w:szCs w:val="24"/>
                    </w:rPr>
                  </w:pPr>
                  <w:r>
                    <w:rPr>
                      <w:rFonts w:ascii="Times New Roman" w:cs="Times New Roman" w:hAnsi="Times New Roman"/>
                      <w:b/>
                      <w:iCs/>
                      <w:sz w:val="24"/>
                      <w:szCs w:val="24"/>
                    </w:rPr>
                    <w:t>Overreliance on Traditional Methods</w:t>
                  </w:r>
                </w:p>
              </w:tc>
            </w:tr>
            <w:tr>
              <w:tblPrEx/>
              <w:trPr>
                <w:trHeight w:val="460"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Acknowledges employee contributions</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Limits innovation and employee-driven initiatives</w:t>
                  </w:r>
                </w:p>
              </w:tc>
            </w:tr>
            <w:tr>
              <w:tblPrEx/>
              <w:trPr>
                <w:trHeight w:val="445" w:hRule="atLeast"/>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Motivates and fosters loyalty</w:t>
                  </w:r>
                </w:p>
              </w:tc>
              <w:tc>
                <w:tcPr>
                  <w:tcW w:w="0" w:type="auto"/>
                  <w:tcBorders>
                    <w:top w:val="single" w:sz="2" w:space="0" w:color="d9d9e3"/>
                    <w:left w:val="single" w:sz="6" w:space="0" w:color="d9d9e3"/>
                    <w:bottom w:val="single" w:sz="6" w:space="0" w:color="d9d9e3"/>
                    <w:right w:val="single" w:sz="6" w:space="0" w:color="d9d9e3"/>
                  </w:tcBorders>
                  <w:vAlign w:val="bottom"/>
                  <w:hideMark/>
                </w:tcPr>
                <w:p>
                  <w:pPr>
                    <w:pStyle w:val="style0"/>
                    <w:rPr>
                      <w:rFonts w:ascii="Times New Roman" w:cs="Times New Roman" w:hAnsi="Times New Roman"/>
                      <w:iCs/>
                      <w:sz w:val="24"/>
                      <w:szCs w:val="24"/>
                    </w:rPr>
                  </w:pPr>
                  <w:r>
                    <w:rPr>
                      <w:rFonts w:ascii="Times New Roman" w:cs="Times New Roman" w:hAnsi="Times New Roman"/>
                      <w:iCs/>
                      <w:sz w:val="24"/>
                      <w:szCs w:val="24"/>
                    </w:rPr>
                    <w:t>- Restricts creativity and alternative approaches</w:t>
                  </w:r>
                </w:p>
              </w:tc>
            </w:tr>
          </w:tbl>
          <w:p>
            <w:pPr>
              <w:pStyle w:val="style0"/>
              <w:rPr>
                <w:rFonts w:ascii="Times New Roman" w:cs="Times New Roman" w:hAnsi="Times New Roman"/>
                <w:sz w:val="24"/>
                <w:szCs w:val="24"/>
              </w:rPr>
            </w:pPr>
          </w:p>
        </w:tc>
      </w:tr>
    </w:tbl>
    <w:p>
      <w:pPr>
        <w:pStyle w:val="style0"/>
        <w:rPr>
          <w:rFonts w:ascii="Times New Roman" w:cs="Times New Roman" w:hAnsi="Times New Roman"/>
          <w:sz w:val="24"/>
          <w:szCs w:val="24"/>
        </w:rPr>
      </w:pPr>
    </w:p>
    <w:p>
      <w:pPr>
        <w:pStyle w:val="style0"/>
        <w:jc w:val="center"/>
        <w:rPr>
          <w:rFonts w:ascii="Times New Roman" w:cs="Times New Roman" w:hAnsi="Times New Roman"/>
          <w:i/>
          <w:sz w:val="24"/>
          <w:szCs w:val="24"/>
        </w:rPr>
      </w:pPr>
      <w:r>
        <w:rPr>
          <w:rFonts w:ascii="Times New Roman" w:cs="Times New Roman" w:hAnsi="Times New Roman"/>
          <w:i/>
          <w:sz w:val="24"/>
          <w:szCs w:val="24"/>
        </w:rPr>
        <w:t>(Source: Self-Developed)</w:t>
      </w:r>
    </w:p>
    <w:p>
      <w:pPr>
        <w:pStyle w:val="style2"/>
        <w:rPr>
          <w:rFonts w:ascii="Times New Roman" w:cs="Times New Roman" w:hAnsi="Times New Roman"/>
          <w:sz w:val="24"/>
          <w:szCs w:val="24"/>
        </w:rPr>
      </w:pPr>
    </w:p>
    <w:bookmarkStart w:id="8" w:name="_Toc153803052"/>
    <w:p>
      <w:pPr>
        <w:pStyle w:val="style2"/>
        <w:rPr>
          <w:rFonts w:ascii="Times New Roman" w:cs="Times New Roman" w:hAnsi="Times New Roman"/>
          <w:color w:val="000000"/>
          <w:sz w:val="24"/>
          <w:szCs w:val="24"/>
        </w:rPr>
      </w:pPr>
      <w:r>
        <w:rPr>
          <w:rFonts w:ascii="Times New Roman" w:cs="Times New Roman" w:hAnsi="Times New Roman"/>
          <w:b/>
          <w:bCs/>
          <w:color w:val="000000"/>
          <w:sz w:val="24"/>
          <w:szCs w:val="24"/>
        </w:rPr>
        <w:t>2.3 Analysis of Employee Satisfaction, Motivation Levels, and Perceived Involvement in Decision-Making Processes</w:t>
      </w:r>
      <w:bookmarkEnd w:id="8"/>
    </w:p>
    <w:p>
      <w:pPr>
        <w:pStyle w:val="style0"/>
        <w:rPr>
          <w:rFonts w:ascii="Times New Roman" w:cs="Times New Roman" w:hAnsi="Times New Roman"/>
          <w:sz w:val="24"/>
          <w:szCs w:val="24"/>
        </w:rPr>
      </w:pPr>
      <w:r>
        <w:rPr>
          <w:rFonts w:ascii="Times New Roman" w:cs="Times New Roman" w:hAnsi="Times New Roman"/>
          <w:iCs/>
          <w:sz w:val="24"/>
          <w:szCs w:val="24"/>
        </w:rPr>
        <w:t>Employee Satisfaction:</w:t>
      </w:r>
    </w:p>
    <w:p>
      <w:pPr>
        <w:pStyle w:val="style0"/>
        <w:numPr>
          <w:ilvl w:val="0"/>
          <w:numId w:val="4"/>
        </w:numPr>
        <w:rPr>
          <w:rFonts w:ascii="Times New Roman" w:cs="Times New Roman" w:hAnsi="Times New Roman"/>
          <w:sz w:val="24"/>
          <w:szCs w:val="24"/>
        </w:rPr>
      </w:pPr>
      <w:r>
        <w:rPr>
          <w:rFonts w:ascii="Times New Roman" w:cs="Times New Roman" w:hAnsi="Times New Roman"/>
          <w:b/>
          <w:bCs/>
          <w:sz w:val="24"/>
          <w:szCs w:val="24"/>
        </w:rPr>
        <w:t>Varying Levels of Satisfaction:</w:t>
      </w:r>
      <w:r>
        <w:rPr>
          <w:rFonts w:ascii="Times New Roman" w:cs="Times New Roman" w:hAnsi="Times New Roman"/>
          <w:sz w:val="24"/>
          <w:szCs w:val="24"/>
        </w:rPr>
        <w:t xml:space="preserve"> Across different departments and geographical locations in </w:t>
      </w:r>
      <w:r>
        <w:rPr>
          <w:rFonts w:ascii="Times New Roman" w:cs="Times New Roman" w:hAnsi="Times New Roman"/>
          <w:sz w:val="24"/>
          <w:szCs w:val="24"/>
        </w:rPr>
        <w:t>SainCo</w:t>
      </w:r>
      <w:r>
        <w:rPr>
          <w:rFonts w:ascii="Times New Roman" w:cs="Times New Roman" w:hAnsi="Times New Roman"/>
          <w:sz w:val="24"/>
          <w:szCs w:val="24"/>
        </w:rPr>
        <w:t>, employee satisfaction levels may differ. Factors such as job security, competitive compensation, and opportunities for career advancement significantly influence employee satisfaction.</w:t>
      </w:r>
    </w:p>
    <w:p>
      <w:pPr>
        <w:pStyle w:val="style0"/>
        <w:numPr>
          <w:ilvl w:val="0"/>
          <w:numId w:val="4"/>
        </w:numPr>
        <w:rPr>
          <w:rFonts w:ascii="Times New Roman" w:cs="Times New Roman" w:hAnsi="Times New Roman"/>
          <w:sz w:val="24"/>
          <w:szCs w:val="24"/>
        </w:rPr>
      </w:pPr>
      <w:r>
        <w:rPr>
          <w:rFonts w:ascii="Times New Roman" w:cs="Times New Roman" w:hAnsi="Times New Roman"/>
          <w:b/>
          <w:bCs/>
          <w:sz w:val="24"/>
          <w:szCs w:val="24"/>
        </w:rPr>
        <w:t>Contributing Factors:</w:t>
      </w:r>
      <w:r>
        <w:rPr>
          <w:rFonts w:ascii="Times New Roman" w:cs="Times New Roman" w:hAnsi="Times New Roman"/>
          <w:sz w:val="24"/>
          <w:szCs w:val="24"/>
        </w:rPr>
        <w:t xml:space="preserve"> Employees who feel secure in their positions, receive fair compensation, and perceive opportunities for growth are generally more satisfied. However, dissatisfaction can arise due to limited involvement in decision-making, rigid hierarchical structures, and perceived communication gaps.</w:t>
      </w:r>
    </w:p>
    <w:p>
      <w:pPr>
        <w:pStyle w:val="style0"/>
        <w:rPr>
          <w:rFonts w:ascii="Times New Roman" w:cs="Times New Roman" w:hAnsi="Times New Roman"/>
          <w:sz w:val="24"/>
          <w:szCs w:val="24"/>
        </w:rPr>
      </w:pPr>
      <w:r>
        <w:rPr>
          <w:rFonts w:ascii="Times New Roman" w:cs="Times New Roman" w:hAnsi="Times New Roman"/>
          <w:iCs/>
          <w:sz w:val="24"/>
          <w:szCs w:val="24"/>
        </w:rPr>
        <w:t>Motivation Levels:</w:t>
      </w:r>
    </w:p>
    <w:p>
      <w:pPr>
        <w:pStyle w:val="style0"/>
        <w:numPr>
          <w:ilvl w:val="0"/>
          <w:numId w:val="5"/>
        </w:numPr>
        <w:rPr>
          <w:rFonts w:ascii="Times New Roman" w:cs="Times New Roman" w:hAnsi="Times New Roman"/>
          <w:sz w:val="24"/>
          <w:szCs w:val="24"/>
        </w:rPr>
      </w:pPr>
      <w:r>
        <w:rPr>
          <w:rFonts w:ascii="Times New Roman" w:cs="Times New Roman" w:hAnsi="Times New Roman"/>
          <w:b/>
          <w:bCs/>
          <w:sz w:val="24"/>
          <w:szCs w:val="24"/>
        </w:rPr>
        <w:t>Factors Impacting Motivation:</w:t>
      </w:r>
      <w:r>
        <w:rPr>
          <w:rFonts w:ascii="Times New Roman" w:cs="Times New Roman" w:hAnsi="Times New Roman"/>
          <w:sz w:val="24"/>
          <w:szCs w:val="24"/>
        </w:rPr>
        <w:t xml:space="preserve"> Employee motivation fluctuates based on recognition, autonomy in their work, and the alignment of individual goals with organizational objectives. Employees who feel recognized for their contributions and have autonomy in their roles are usually more motivated.</w:t>
      </w:r>
    </w:p>
    <w:p>
      <w:pPr>
        <w:pStyle w:val="style0"/>
        <w:numPr>
          <w:ilvl w:val="0"/>
          <w:numId w:val="5"/>
        </w:numPr>
        <w:rPr>
          <w:rFonts w:ascii="Times New Roman" w:cs="Times New Roman" w:hAnsi="Times New Roman"/>
          <w:sz w:val="24"/>
          <w:szCs w:val="24"/>
        </w:rPr>
      </w:pPr>
      <w:r>
        <w:rPr>
          <w:rFonts w:ascii="Times New Roman" w:cs="Times New Roman" w:hAnsi="Times New Roman"/>
          <w:b/>
          <w:bCs/>
          <w:sz w:val="24"/>
          <w:szCs w:val="24"/>
        </w:rPr>
        <w:t>Diverse Motivational Levels:</w:t>
      </w:r>
      <w:r>
        <w:rPr>
          <w:rFonts w:ascii="Times New Roman" w:cs="Times New Roman" w:hAnsi="Times New Roman"/>
          <w:sz w:val="24"/>
          <w:szCs w:val="24"/>
        </w:rPr>
        <w:t xml:space="preserve"> While some employees might feel highly motivated due to recognition programs and opportunities for growth, others might experience lower motivation levels due to limited autonomy and innovation opportunities.</w:t>
      </w:r>
    </w:p>
    <w:p>
      <w:pPr>
        <w:pStyle w:val="style0"/>
        <w:rPr>
          <w:rFonts w:ascii="Times New Roman" w:cs="Times New Roman" w:hAnsi="Times New Roman"/>
          <w:sz w:val="24"/>
          <w:szCs w:val="24"/>
        </w:rPr>
      </w:pPr>
      <w:r>
        <w:rPr>
          <w:rFonts w:ascii="Times New Roman" w:cs="Times New Roman" w:hAnsi="Times New Roman"/>
          <w:iCs/>
          <w:sz w:val="24"/>
          <w:szCs w:val="24"/>
        </w:rPr>
        <w:t>Perceived Involvement in Decision-making Processes:</w:t>
      </w:r>
    </w:p>
    <w:p>
      <w:pPr>
        <w:pStyle w:val="style0"/>
        <w:numPr>
          <w:ilvl w:val="0"/>
          <w:numId w:val="6"/>
        </w:numPr>
        <w:rPr>
          <w:rFonts w:ascii="Times New Roman" w:cs="Times New Roman" w:hAnsi="Times New Roman"/>
          <w:sz w:val="24"/>
          <w:szCs w:val="24"/>
        </w:rPr>
      </w:pPr>
      <w:r>
        <w:rPr>
          <w:rFonts w:ascii="Times New Roman" w:cs="Times New Roman" w:hAnsi="Times New Roman"/>
          <w:b/>
          <w:bCs/>
          <w:sz w:val="24"/>
          <w:szCs w:val="24"/>
        </w:rPr>
        <w:t>Employee Perspective:</w:t>
      </w:r>
      <w:r>
        <w:rPr>
          <w:rFonts w:ascii="Times New Roman" w:cs="Times New Roman" w:hAnsi="Times New Roman"/>
          <w:sz w:val="24"/>
          <w:szCs w:val="24"/>
        </w:rPr>
        <w:t xml:space="preserve"> Employees perceive their involvement in decision-making as constrained due to the prevalent top-down management approach. There is a growing desire for a more inclusive approach, where employees feel empowered to contribute ideas and suggestions to enhance operational efficiency and overall engagement.</w:t>
      </w: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bookmarkStart w:id="9" w:name="_Toc153803053"/>
    <w:p>
      <w:pPr>
        <w:pStyle w:val="style1"/>
        <w:numPr>
          <w:ilvl w:val="0"/>
          <w:numId w:val="1"/>
        </w:numPr>
        <w:rPr>
          <w:rFonts w:ascii="Times New Roman" w:cs="Times New Roman" w:hAnsi="Times New Roman"/>
          <w:b/>
          <w:bCs/>
          <w:sz w:val="24"/>
          <w:szCs w:val="24"/>
        </w:rPr>
      </w:pPr>
      <w:r>
        <w:rPr>
          <w:rFonts w:ascii="Times New Roman" w:cs="Times New Roman" w:hAnsi="Times New Roman"/>
          <w:b/>
          <w:bCs/>
          <w:sz w:val="24"/>
          <w:szCs w:val="24"/>
        </w:rPr>
        <w:t xml:space="preserve">Employee Engagement Strategies at </w:t>
      </w:r>
      <w:r>
        <w:rPr>
          <w:rFonts w:ascii="Times New Roman" w:cs="Times New Roman" w:hAnsi="Times New Roman"/>
          <w:b/>
          <w:bCs/>
          <w:sz w:val="24"/>
          <w:szCs w:val="24"/>
        </w:rPr>
        <w:t>SainCo</w:t>
      </w:r>
      <w:bookmarkEnd w:id="9"/>
    </w:p>
    <w:p>
      <w:pPr>
        <w:pStyle w:val="style0"/>
        <w:rPr/>
      </w:pPr>
    </w:p>
    <w:bookmarkStart w:id="10" w:name="_Toc153803054"/>
    <w:p>
      <w:pPr>
        <w:pStyle w:val="style2"/>
        <w:rPr>
          <w:rFonts w:ascii="Times New Roman" w:cs="Times New Roman" w:hAnsi="Times New Roman"/>
          <w:b/>
          <w:color w:val="000000"/>
          <w:sz w:val="24"/>
          <w:szCs w:val="24"/>
        </w:rPr>
      </w:pPr>
      <w:r>
        <w:rPr>
          <w:rFonts w:ascii="Times New Roman" w:cs="Times New Roman" w:hAnsi="Times New Roman"/>
          <w:b/>
          <w:iCs/>
          <w:color w:val="000000"/>
          <w:sz w:val="24"/>
          <w:szCs w:val="24"/>
        </w:rPr>
        <w:t>3.1 Overview of Strategies and Techniques</w:t>
      </w:r>
      <w:bookmarkEnd w:id="10"/>
    </w:p>
    <w:p>
      <w:pPr>
        <w:pStyle w:val="style0"/>
        <w:rPr>
          <w:rFonts w:ascii="Times New Roman" w:cs="Times New Roman" w:hAnsi="Times New Roman"/>
          <w:sz w:val="24"/>
          <w:szCs w:val="24"/>
        </w:rPr>
      </w:pPr>
      <w:r>
        <w:rPr>
          <w:rFonts w:ascii="Times New Roman" w:cs="Times New Roman" w:hAnsi="Times New Roman"/>
          <w:b/>
          <w:bCs/>
          <w:sz w:val="24"/>
          <w:szCs w:val="24"/>
        </w:rPr>
        <w:t>Communication Enhancement:</w:t>
      </w:r>
    </w:p>
    <w:p>
      <w:pPr>
        <w:pStyle w:val="style0"/>
        <w:numPr>
          <w:ilvl w:val="0"/>
          <w:numId w:val="7"/>
        </w:numPr>
        <w:rPr>
          <w:rFonts w:ascii="Times New Roman" w:cs="Times New Roman" w:hAnsi="Times New Roman"/>
          <w:sz w:val="24"/>
          <w:szCs w:val="24"/>
        </w:rPr>
      </w:pPr>
      <w:r>
        <w:rPr>
          <w:rFonts w:ascii="Times New Roman" w:cs="Times New Roman" w:hAnsi="Times New Roman"/>
          <w:b/>
          <w:bCs/>
          <w:sz w:val="24"/>
          <w:szCs w:val="24"/>
        </w:rPr>
        <w:t>Multifaceted Communication Approach:</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aims to diversify its communication channels to facilitate effective interaction among employees. This includes a blend of face-to-face interactions, digital platforms (such as intranet forums or communication apps), and regular team meetings. The strategy ensures that information flows efficiently across all levels of the organization.</w:t>
      </w:r>
    </w:p>
    <w:p>
      <w:pPr>
        <w:pStyle w:val="style0"/>
        <w:numPr>
          <w:ilvl w:val="0"/>
          <w:numId w:val="7"/>
        </w:numPr>
        <w:rPr>
          <w:rFonts w:ascii="Times New Roman" w:cs="Times New Roman" w:hAnsi="Times New Roman"/>
          <w:sz w:val="24"/>
          <w:szCs w:val="24"/>
        </w:rPr>
      </w:pPr>
      <w:r>
        <w:rPr>
          <w:rFonts w:ascii="Times New Roman" w:cs="Times New Roman" w:hAnsi="Times New Roman"/>
          <w:b/>
          <w:bCs/>
          <w:sz w:val="24"/>
          <w:szCs w:val="24"/>
        </w:rPr>
        <w:t>Platforms for Anonymous Feedback:</w:t>
      </w:r>
      <w:r>
        <w:rPr>
          <w:rFonts w:ascii="Times New Roman" w:cs="Times New Roman" w:hAnsi="Times New Roman"/>
          <w:sz w:val="24"/>
          <w:szCs w:val="24"/>
        </w:rPr>
        <w:t xml:space="preserve"> Establishing platforms or mechanisms for anonymous feedback enables employees to express their opinions and suggestions without fear of reprisal. It fosters a culture of openness and encourages candid discussions, allowing </w:t>
      </w:r>
      <w:r>
        <w:rPr>
          <w:rFonts w:ascii="Times New Roman" w:cs="Times New Roman" w:hAnsi="Times New Roman"/>
          <w:sz w:val="24"/>
          <w:szCs w:val="24"/>
        </w:rPr>
        <w:t>SainCo</w:t>
      </w:r>
      <w:r>
        <w:rPr>
          <w:rFonts w:ascii="Times New Roman" w:cs="Times New Roman" w:hAnsi="Times New Roman"/>
          <w:sz w:val="24"/>
          <w:szCs w:val="24"/>
        </w:rPr>
        <w:t xml:space="preserve"> to gain valuable insights and address concerns effectively.</w:t>
      </w:r>
    </w:p>
    <w:p>
      <w:pPr>
        <w:pStyle w:val="style0"/>
        <w:rPr>
          <w:rFonts w:ascii="Times New Roman" w:cs="Times New Roman" w:hAnsi="Times New Roman"/>
          <w:sz w:val="24"/>
          <w:szCs w:val="24"/>
        </w:rPr>
      </w:pPr>
      <w:r>
        <w:rPr>
          <w:rFonts w:ascii="Times New Roman" w:cs="Times New Roman" w:hAnsi="Times New Roman"/>
          <w:b/>
          <w:bCs/>
          <w:sz w:val="24"/>
          <w:szCs w:val="24"/>
        </w:rPr>
        <w:t>Training and Development Programs:</w:t>
      </w:r>
    </w:p>
    <w:p>
      <w:pPr>
        <w:pStyle w:val="style0"/>
        <w:numPr>
          <w:ilvl w:val="0"/>
          <w:numId w:val="8"/>
        </w:numPr>
        <w:rPr>
          <w:rFonts w:ascii="Times New Roman" w:cs="Times New Roman" w:hAnsi="Times New Roman"/>
          <w:sz w:val="24"/>
          <w:szCs w:val="24"/>
        </w:rPr>
      </w:pPr>
      <w:r>
        <w:rPr>
          <w:rFonts w:ascii="Times New Roman" w:cs="Times New Roman" w:hAnsi="Times New Roman"/>
          <w:b/>
          <w:bCs/>
          <w:sz w:val="24"/>
          <w:szCs w:val="24"/>
        </w:rPr>
        <w:t>Skill-Based Training and Development:</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plans to introduce specialized training sessions and development programs customized for various job roles and career paths. These initiatives are designed to enhance specific skills relevant to employees' roles, ensuring they remain competitive and capable within their respective domains.</w:t>
      </w:r>
    </w:p>
    <w:p>
      <w:pPr>
        <w:pStyle w:val="style0"/>
        <w:numPr>
          <w:ilvl w:val="0"/>
          <w:numId w:val="8"/>
        </w:numPr>
        <w:rPr>
          <w:rFonts w:ascii="Times New Roman" w:cs="Times New Roman" w:hAnsi="Times New Roman"/>
          <w:sz w:val="24"/>
          <w:szCs w:val="24"/>
        </w:rPr>
      </w:pPr>
      <w:r>
        <w:rPr>
          <w:rFonts w:ascii="Times New Roman" w:cs="Times New Roman" w:hAnsi="Times New Roman"/>
          <w:b/>
          <w:bCs/>
          <w:sz w:val="24"/>
          <w:szCs w:val="24"/>
        </w:rPr>
        <w:t>Personalized Learning Opportunities:</w:t>
      </w:r>
      <w:r>
        <w:rPr>
          <w:rFonts w:ascii="Times New Roman" w:cs="Times New Roman" w:hAnsi="Times New Roman"/>
          <w:sz w:val="24"/>
          <w:szCs w:val="24"/>
        </w:rPr>
        <w:t xml:space="preserve"> Alongside traditional training methods, </w:t>
      </w:r>
      <w:r>
        <w:rPr>
          <w:rFonts w:ascii="Times New Roman" w:cs="Times New Roman" w:hAnsi="Times New Roman"/>
          <w:sz w:val="24"/>
          <w:szCs w:val="24"/>
        </w:rPr>
        <w:t>SainCo</w:t>
      </w:r>
      <w:r>
        <w:rPr>
          <w:rFonts w:ascii="Times New Roman" w:cs="Times New Roman" w:hAnsi="Times New Roman"/>
          <w:sz w:val="24"/>
          <w:szCs w:val="24"/>
        </w:rPr>
        <w:t xml:space="preserve"> intends to provide personalized learning opportunities through online resources, e-learning platforms, and mentorship initiatives. This approach offers flexibility and autonomy in learning, catering to diverse learning styles and individual growth aspirations.</w:t>
      </w:r>
    </w:p>
    <w:p>
      <w:pPr>
        <w:pStyle w:val="style0"/>
        <w:rPr>
          <w:rFonts w:ascii="Times New Roman" w:cs="Times New Roman" w:hAnsi="Times New Roman"/>
          <w:sz w:val="24"/>
          <w:szCs w:val="24"/>
        </w:rPr>
      </w:pPr>
      <w:r>
        <w:rPr>
          <w:rFonts w:ascii="Times New Roman" w:cs="Times New Roman" w:hAnsi="Times New Roman"/>
          <w:b/>
          <w:bCs/>
          <w:sz w:val="24"/>
          <w:szCs w:val="24"/>
        </w:rPr>
        <w:t>Recognition and Rewards System:</w:t>
      </w:r>
    </w:p>
    <w:p>
      <w:pPr>
        <w:pStyle w:val="style0"/>
        <w:numPr>
          <w:ilvl w:val="0"/>
          <w:numId w:val="9"/>
        </w:numPr>
        <w:rPr>
          <w:rFonts w:ascii="Times New Roman" w:cs="Times New Roman" w:hAnsi="Times New Roman"/>
          <w:sz w:val="24"/>
          <w:szCs w:val="24"/>
        </w:rPr>
      </w:pPr>
      <w:r>
        <w:rPr>
          <w:rFonts w:ascii="Times New Roman" w:cs="Times New Roman" w:hAnsi="Times New Roman"/>
          <w:b/>
          <w:bCs/>
          <w:sz w:val="24"/>
          <w:szCs w:val="24"/>
        </w:rPr>
        <w:t>Comprehensive Rewards System:</w:t>
      </w:r>
      <w:r>
        <w:rPr>
          <w:rFonts w:ascii="Times New Roman" w:cs="Times New Roman" w:hAnsi="Times New Roman"/>
          <w:sz w:val="24"/>
          <w:szCs w:val="24"/>
        </w:rPr>
        <w:t xml:space="preserve"> The company is set to implement a comprehensive rewards system that acknowledges outstanding performance and reinforces desired </w:t>
      </w:r>
      <w:r>
        <w:rPr>
          <w:rFonts w:ascii="Times New Roman" w:cs="Times New Roman" w:hAnsi="Times New Roman"/>
          <w:sz w:val="24"/>
          <w:szCs w:val="24"/>
        </w:rPr>
        <w:t>behaviours</w:t>
      </w:r>
      <w:r>
        <w:rPr>
          <w:rFonts w:ascii="Times New Roman" w:cs="Times New Roman" w:hAnsi="Times New Roman"/>
          <w:sz w:val="24"/>
          <w:szCs w:val="24"/>
        </w:rPr>
        <w:t xml:space="preserve">. This includes both monetary and non-monetary incentives, aligning with </w:t>
      </w:r>
      <w:r>
        <w:rPr>
          <w:rFonts w:ascii="Times New Roman" w:cs="Times New Roman" w:hAnsi="Times New Roman"/>
          <w:sz w:val="24"/>
          <w:szCs w:val="24"/>
        </w:rPr>
        <w:t xml:space="preserve">SainCo </w:t>
      </w:r>
      <w:r>
        <w:rPr>
          <w:rFonts w:ascii="Times New Roman" w:cs="Times New Roman" w:hAnsi="Times New Roman"/>
          <w:sz w:val="24"/>
          <w:szCs w:val="24"/>
        </w:rPr>
        <w:t>'s objectives while recognizing employees' efforts.</w:t>
      </w:r>
    </w:p>
    <w:p>
      <w:pPr>
        <w:pStyle w:val="style0"/>
        <w:numPr>
          <w:ilvl w:val="0"/>
          <w:numId w:val="9"/>
        </w:numPr>
        <w:rPr>
          <w:rFonts w:ascii="Times New Roman" w:cs="Times New Roman" w:hAnsi="Times New Roman"/>
          <w:sz w:val="24"/>
          <w:szCs w:val="24"/>
        </w:rPr>
      </w:pPr>
      <w:r>
        <w:rPr>
          <w:rFonts w:ascii="Times New Roman" w:cs="Times New Roman" w:hAnsi="Times New Roman"/>
          <w:b/>
          <w:bCs/>
          <w:sz w:val="24"/>
          <w:szCs w:val="24"/>
        </w:rPr>
        <w:t>Team Achievement Recognition:</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plans to recognize and celebrate team achievements through public acknowledgment, team-based incentives, or ceremonies. This fosters a sense of camaraderie and teamwork, encouraging collective efforts toward shared goals.</w:t>
      </w:r>
    </w:p>
    <w:p>
      <w:pPr>
        <w:pStyle w:val="style0"/>
        <w:rPr>
          <w:rFonts w:ascii="Times New Roman" w:cs="Times New Roman" w:hAnsi="Times New Roman"/>
          <w:sz w:val="24"/>
          <w:szCs w:val="24"/>
        </w:rPr>
      </w:pPr>
      <w:r>
        <w:rPr>
          <w:rFonts w:ascii="Times New Roman" w:cs="Times New Roman" w:hAnsi="Times New Roman"/>
          <w:b/>
          <w:bCs/>
          <w:sz w:val="24"/>
          <w:szCs w:val="24"/>
        </w:rPr>
        <w:t>Autonomy and Decision-Making Empowerment:</w:t>
      </w:r>
    </w:p>
    <w:p>
      <w:pPr>
        <w:pStyle w:val="style0"/>
        <w:numPr>
          <w:ilvl w:val="0"/>
          <w:numId w:val="10"/>
        </w:numPr>
        <w:rPr>
          <w:rFonts w:ascii="Times New Roman" w:cs="Times New Roman" w:hAnsi="Times New Roman"/>
          <w:sz w:val="24"/>
          <w:szCs w:val="24"/>
        </w:rPr>
      </w:pPr>
      <w:r>
        <w:rPr>
          <w:rFonts w:ascii="Times New Roman" w:cs="Times New Roman" w:hAnsi="Times New Roman"/>
          <w:b/>
          <w:bCs/>
          <w:sz w:val="24"/>
          <w:szCs w:val="24"/>
        </w:rPr>
        <w:t>Encouraging Autonomy:</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is keen on promoting autonomy among employees in executing tasks. This strategy allows individuals to innovate, experiment with new ideas, and take ownership of their work. It encourages a culture of creativity and responsibility.</w:t>
      </w:r>
    </w:p>
    <w:p>
      <w:pPr>
        <w:pStyle w:val="style0"/>
        <w:numPr>
          <w:ilvl w:val="0"/>
          <w:numId w:val="10"/>
        </w:numPr>
        <w:rPr>
          <w:rFonts w:ascii="Times New Roman" w:cs="Times New Roman" w:hAnsi="Times New Roman"/>
          <w:sz w:val="24"/>
          <w:szCs w:val="24"/>
        </w:rPr>
      </w:pPr>
      <w:r>
        <w:rPr>
          <w:rFonts w:ascii="Times New Roman" w:cs="Times New Roman" w:hAnsi="Times New Roman"/>
          <w:b/>
          <w:bCs/>
          <w:sz w:val="24"/>
          <w:szCs w:val="24"/>
        </w:rPr>
        <w:t>Empowering Lower-Level Management:</w:t>
      </w:r>
      <w:r>
        <w:rPr>
          <w:rFonts w:ascii="Times New Roman" w:cs="Times New Roman" w:hAnsi="Times New Roman"/>
          <w:sz w:val="24"/>
          <w:szCs w:val="24"/>
        </w:rPr>
        <w:t xml:space="preserve"> Granting decision-making authority to lower-level management in areas concerning their expertise promotes a more decentralized approach to decision-making. This empowerment fosters a sense of trust, responsibility, and ownership among employees at different hierarchical levels.</w:t>
      </w:r>
    </w:p>
    <w:p>
      <w:pPr>
        <w:pStyle w:val="style0"/>
        <w:ind w:left="720"/>
        <w:rPr>
          <w:rFonts w:ascii="Times New Roman" w:cs="Times New Roman" w:hAnsi="Times New Roman"/>
          <w:sz w:val="24"/>
          <w:szCs w:val="24"/>
        </w:rPr>
      </w:pPr>
    </w:p>
    <w:p>
      <w:pPr>
        <w:pStyle w:val="style0"/>
        <w:rPr>
          <w:rFonts w:ascii="Times New Roman" w:cs="Times New Roman" w:hAnsi="Times New Roman"/>
          <w:b/>
          <w:bCs/>
          <w:sz w:val="24"/>
          <w:szCs w:val="24"/>
        </w:rPr>
      </w:pPr>
    </w:p>
    <w:bookmarkStart w:id="11" w:name="_Toc153803055"/>
    <w:p>
      <w:pPr>
        <w:pStyle w:val="style2"/>
        <w:numPr>
          <w:ilvl w:val="1"/>
          <w:numId w:val="1"/>
        </w:numPr>
        <w:rPr>
          <w:rFonts w:ascii="Times New Roman" w:cs="Times New Roman" w:hAnsi="Times New Roman"/>
          <w:b/>
          <w:bCs/>
          <w:color w:val="000000"/>
          <w:sz w:val="24"/>
          <w:szCs w:val="24"/>
        </w:rPr>
      </w:pPr>
      <w:r>
        <w:rPr>
          <w:rFonts w:ascii="Times New Roman" w:cs="Times New Roman" w:hAnsi="Times New Roman"/>
          <w:b/>
          <w:bCs/>
          <w:color w:val="000000"/>
          <w:sz w:val="24"/>
          <w:szCs w:val="24"/>
        </w:rPr>
        <w:t>Importance of Positive Work Culture and Communication</w:t>
      </w:r>
      <w:bookmarkEnd w:id="11"/>
    </w:p>
    <w:p>
      <w:pPr>
        <w:pStyle w:val="style0"/>
        <w:ind w:left="360"/>
        <w:rPr/>
      </w:pPr>
    </w:p>
    <w:p>
      <w:pPr>
        <w:pStyle w:val="style179"/>
        <w:numPr>
          <w:ilvl w:val="0"/>
          <w:numId w:val="22"/>
        </w:numPr>
        <w:rPr>
          <w:rFonts w:ascii="Times New Roman" w:cs="Times New Roman" w:hAnsi="Times New Roman"/>
          <w:color w:val="000000"/>
          <w:sz w:val="24"/>
          <w:szCs w:val="24"/>
        </w:rPr>
      </w:pPr>
      <w:r>
        <w:rPr>
          <w:rFonts w:ascii="Times New Roman" w:cs="Times New Roman" w:hAnsi="Times New Roman"/>
          <w:iCs/>
          <w:color w:val="000000"/>
          <w:sz w:val="24"/>
          <w:szCs w:val="24"/>
        </w:rPr>
        <w:t>Promoting a Positive Work Culture:</w:t>
      </w:r>
    </w:p>
    <w:p>
      <w:pPr>
        <w:pStyle w:val="style0"/>
        <w:rPr>
          <w:rFonts w:ascii="Times New Roman" w:cs="Times New Roman" w:hAnsi="Times New Roman"/>
          <w:sz w:val="24"/>
          <w:szCs w:val="24"/>
        </w:rPr>
      </w:pPr>
      <w:r>
        <w:rPr>
          <w:rFonts w:ascii="Times New Roman" w:cs="Times New Roman" w:hAnsi="Times New Roman"/>
          <w:b/>
          <w:bCs/>
          <w:sz w:val="24"/>
          <w:szCs w:val="24"/>
        </w:rPr>
        <w:t>Emphasizing Diversity, Inclusion, and Work-Life Balance:</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recognizes the importance of a diverse and inclusive workplace. It aims to foster an environment where employees from various backgrounds feel valued, respected, and included. By promoting diversity, </w:t>
      </w:r>
      <w:r>
        <w:rPr>
          <w:rFonts w:ascii="Times New Roman" w:cs="Times New Roman" w:hAnsi="Times New Roman"/>
          <w:sz w:val="24"/>
          <w:szCs w:val="24"/>
        </w:rPr>
        <w:t>SainCo</w:t>
      </w:r>
      <w:r>
        <w:rPr>
          <w:rFonts w:ascii="Times New Roman" w:cs="Times New Roman" w:hAnsi="Times New Roman"/>
          <w:sz w:val="24"/>
          <w:szCs w:val="24"/>
        </w:rPr>
        <w:t xml:space="preserve"> can harness a range of perspectives and experiences, thereby fostering innovation and creativity. Moreover, emphasizing work-life balance initiatives ensures that employees feel supported in managing their personal and professional lives, leading to higher job satisfaction and retention rates.</w:t>
      </w:r>
    </w:p>
    <w:p>
      <w:pPr>
        <w:pStyle w:val="style0"/>
        <w:rPr>
          <w:rFonts w:ascii="Times New Roman" w:cs="Times New Roman" w:hAnsi="Times New Roman"/>
          <w:sz w:val="24"/>
          <w:szCs w:val="24"/>
        </w:rPr>
      </w:pPr>
      <w:r>
        <w:rPr>
          <w:rFonts w:ascii="Times New Roman" w:cs="Times New Roman" w:hAnsi="Times New Roman"/>
          <w:b/>
          <w:bCs/>
          <w:sz w:val="24"/>
          <w:szCs w:val="24"/>
        </w:rPr>
        <w:t>Fostering a Sense of Belonging:</w:t>
      </w:r>
      <w:r>
        <w:rPr>
          <w:rFonts w:ascii="Times New Roman" w:cs="Times New Roman" w:hAnsi="Times New Roman"/>
          <w:sz w:val="24"/>
          <w:szCs w:val="24"/>
        </w:rPr>
        <w:t xml:space="preserve"> Through team-building activities, community engagement initiatives, and inclusive events, </w:t>
      </w:r>
      <w:r>
        <w:rPr>
          <w:rFonts w:ascii="Times New Roman" w:cs="Times New Roman" w:hAnsi="Times New Roman"/>
          <w:sz w:val="24"/>
          <w:szCs w:val="24"/>
        </w:rPr>
        <w:t>SainCo</w:t>
      </w:r>
      <w:r>
        <w:rPr>
          <w:rFonts w:ascii="Times New Roman" w:cs="Times New Roman" w:hAnsi="Times New Roman"/>
          <w:sz w:val="24"/>
          <w:szCs w:val="24"/>
        </w:rPr>
        <w:t xml:space="preserve"> </w:t>
      </w:r>
      <w:r>
        <w:rPr>
          <w:rFonts w:ascii="Times New Roman" w:cs="Times New Roman" w:hAnsi="Times New Roman"/>
          <w:sz w:val="24"/>
          <w:szCs w:val="24"/>
        </w:rPr>
        <w:t>endeavours</w:t>
      </w:r>
      <w:r>
        <w:rPr>
          <w:rFonts w:ascii="Times New Roman" w:cs="Times New Roman" w:hAnsi="Times New Roman"/>
          <w:sz w:val="24"/>
          <w:szCs w:val="24"/>
        </w:rPr>
        <w:t xml:space="preserve"> to create a strong sense of belonging among its employees. These activities serve to strengthen interpersonal relationships, build camaraderie, and create a cohesive work environment where every individual feels valued and connected to the company's mission and values.</w:t>
      </w:r>
    </w:p>
    <w:p>
      <w:pPr>
        <w:pStyle w:val="style179"/>
        <w:numPr>
          <w:ilvl w:val="0"/>
          <w:numId w:val="22"/>
        </w:numPr>
        <w:rPr>
          <w:rFonts w:ascii="Times New Roman" w:cs="Times New Roman" w:hAnsi="Times New Roman"/>
          <w:sz w:val="24"/>
          <w:szCs w:val="24"/>
        </w:rPr>
      </w:pPr>
      <w:r>
        <w:rPr>
          <w:rFonts w:ascii="Times New Roman" w:cs="Times New Roman" w:hAnsi="Times New Roman"/>
          <w:iCs/>
          <w:sz w:val="24"/>
          <w:szCs w:val="24"/>
        </w:rPr>
        <w:t>Transparent Communication Channels:</w:t>
      </w:r>
    </w:p>
    <w:p>
      <w:pPr>
        <w:pStyle w:val="style0"/>
        <w:rPr>
          <w:rFonts w:ascii="Times New Roman" w:cs="Times New Roman" w:hAnsi="Times New Roman"/>
          <w:sz w:val="24"/>
          <w:szCs w:val="24"/>
        </w:rPr>
      </w:pPr>
      <w:r>
        <w:rPr>
          <w:rFonts w:ascii="Times New Roman" w:cs="Times New Roman" w:hAnsi="Times New Roman"/>
          <w:b/>
          <w:bCs/>
          <w:sz w:val="24"/>
          <w:szCs w:val="24"/>
        </w:rPr>
        <w:t>Encouraging Open Dialogues:</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promotes open dialogues where employees feel comfortable expressing their ideas, concerns, or suggestions. Whether through regular team meetings, town hall sessions, or digital platforms, the company encourages transparent and two-way communication. This practice enables employees to voice their opinions, fostering a culture of openness, trust, and collaboration.</w:t>
      </w:r>
    </w:p>
    <w:p>
      <w:pPr>
        <w:pStyle w:val="style0"/>
        <w:rPr>
          <w:rFonts w:ascii="Times New Roman" w:cs="Times New Roman" w:hAnsi="Times New Roman"/>
          <w:sz w:val="24"/>
          <w:szCs w:val="24"/>
        </w:rPr>
      </w:pPr>
      <w:r>
        <w:rPr>
          <w:rFonts w:ascii="Times New Roman" w:cs="Times New Roman" w:hAnsi="Times New Roman"/>
          <w:b/>
          <w:bCs/>
          <w:sz w:val="24"/>
          <w:szCs w:val="24"/>
        </w:rPr>
        <w:t>Accessibility of Management:</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ensures that its management remains accessible and approachable for all employees. This accessibility facilitates an environment where employees feel comfortable approaching their supervisors or higher management with any queries, feedback, or discussions. This accessibility fosters a culture of approachability, where employees feel heard and valued.</w:t>
      </w:r>
    </w:p>
    <w:p>
      <w:pPr>
        <w:pStyle w:val="style179"/>
        <w:numPr>
          <w:ilvl w:val="0"/>
          <w:numId w:val="22"/>
        </w:numPr>
        <w:rPr>
          <w:rFonts w:ascii="Times New Roman" w:cs="Times New Roman" w:hAnsi="Times New Roman"/>
          <w:sz w:val="24"/>
          <w:szCs w:val="24"/>
        </w:rPr>
      </w:pPr>
      <w:r>
        <w:rPr>
          <w:rFonts w:ascii="Times New Roman" w:cs="Times New Roman" w:hAnsi="Times New Roman"/>
          <w:iCs/>
          <w:sz w:val="24"/>
          <w:szCs w:val="24"/>
        </w:rPr>
        <w:t>Feedback Mechanisms:</w:t>
      </w:r>
    </w:p>
    <w:p>
      <w:pPr>
        <w:pStyle w:val="style0"/>
        <w:rPr>
          <w:rFonts w:ascii="Times New Roman" w:cs="Times New Roman" w:hAnsi="Times New Roman"/>
          <w:sz w:val="24"/>
          <w:szCs w:val="24"/>
        </w:rPr>
      </w:pPr>
      <w:r>
        <w:rPr>
          <w:rFonts w:ascii="Times New Roman" w:cs="Times New Roman" w:hAnsi="Times New Roman"/>
          <w:b/>
          <w:bCs/>
          <w:sz w:val="24"/>
          <w:szCs w:val="24"/>
        </w:rPr>
        <w:t>Implementing Regular Feedback Loops:</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employs various mechanisms such as surveys, suggestion boxes, or digital platforms to gather feedback from its employees regularly. These feedback loops provide employees with an opportunity to share their opinions, suggestions, or grievances anonymously if needed. It serves as a channel for continuous improvement within the organization.</w:t>
      </w:r>
    </w:p>
    <w:p>
      <w:pPr>
        <w:pStyle w:val="style0"/>
        <w:rPr>
          <w:rFonts w:ascii="Times New Roman" w:cs="Times New Roman" w:hAnsi="Times New Roman"/>
          <w:sz w:val="24"/>
          <w:szCs w:val="24"/>
        </w:rPr>
      </w:pPr>
      <w:r>
        <w:rPr>
          <w:rFonts w:ascii="Times New Roman" w:cs="Times New Roman" w:hAnsi="Times New Roman"/>
          <w:b/>
          <w:bCs/>
          <w:sz w:val="24"/>
          <w:szCs w:val="24"/>
        </w:rPr>
        <w:t>Analysing and Acting upon Feedback:</w:t>
      </w:r>
      <w:r>
        <w:rPr>
          <w:rFonts w:ascii="Times New Roman" w:cs="Times New Roman" w:hAnsi="Times New Roman"/>
          <w:sz w:val="24"/>
          <w:szCs w:val="24"/>
        </w:rPr>
        <w:t xml:space="preserve"> After collecting feedback, </w:t>
      </w:r>
      <w:r>
        <w:rPr>
          <w:rFonts w:ascii="Times New Roman" w:cs="Times New Roman" w:hAnsi="Times New Roman"/>
          <w:sz w:val="24"/>
          <w:szCs w:val="24"/>
        </w:rPr>
        <w:t>SainCo</w:t>
      </w:r>
      <w:r>
        <w:rPr>
          <w:rFonts w:ascii="Times New Roman" w:cs="Times New Roman" w:hAnsi="Times New Roman"/>
          <w:sz w:val="24"/>
          <w:szCs w:val="24"/>
        </w:rPr>
        <w:t xml:space="preserve"> places a strong emphasis on analysing the received data and taking actionable steps based on the insights </w:t>
      </w:r>
      <w:r>
        <w:rPr>
          <w:rFonts w:ascii="Times New Roman" w:cs="Times New Roman" w:hAnsi="Times New Roman"/>
          <w:sz w:val="24"/>
          <w:szCs w:val="24"/>
        </w:rPr>
        <w:t xml:space="preserve">gathered. This demonstrates the company's commitment to responsiveness and improvement. By acting upon the feedback received, </w:t>
      </w:r>
      <w:r>
        <w:rPr>
          <w:rFonts w:ascii="Times New Roman" w:cs="Times New Roman" w:hAnsi="Times New Roman"/>
          <w:sz w:val="24"/>
          <w:szCs w:val="24"/>
        </w:rPr>
        <w:t>SainCo</w:t>
      </w:r>
      <w:r>
        <w:rPr>
          <w:rFonts w:ascii="Times New Roman" w:cs="Times New Roman" w:hAnsi="Times New Roman"/>
          <w:sz w:val="24"/>
          <w:szCs w:val="24"/>
        </w:rPr>
        <w:t xml:space="preserve"> shows its employees that their opinions are valued and that the company is dedicated to enhancing the work environment based on their inputs.</w:t>
      </w: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r>
        <w:rPr>
          <w:rFonts w:ascii="Times New Roman" w:cs="Times New Roman" w:hAnsi="Times New Roman"/>
          <w:b/>
          <w:bCs/>
          <w:sz w:val="24"/>
          <w:szCs w:val="24"/>
        </w:rPr>
        <w:t>3.3 Role of Leadership in Driving Engagement and Involvement</w:t>
      </w:r>
    </w:p>
    <w:p>
      <w:pPr>
        <w:pStyle w:val="style0"/>
        <w:rPr>
          <w:rFonts w:ascii="Times New Roman" w:cs="Times New Roman" w:hAnsi="Times New Roman"/>
          <w:sz w:val="24"/>
          <w:szCs w:val="24"/>
        </w:rPr>
      </w:pPr>
      <w:r>
        <w:rPr>
          <w:rFonts w:ascii="Times New Roman" w:cs="Times New Roman" w:hAnsi="Times New Roman"/>
          <w:iCs/>
          <w:sz w:val="24"/>
          <w:szCs w:val="24"/>
        </w:rPr>
        <w:t>Transformational Leadership Approach:</w:t>
      </w:r>
    </w:p>
    <w:p>
      <w:pPr>
        <w:pStyle w:val="style0"/>
        <w:rPr>
          <w:rFonts w:ascii="Times New Roman" w:cs="Times New Roman" w:hAnsi="Times New Roman"/>
          <w:sz w:val="24"/>
          <w:szCs w:val="24"/>
        </w:rPr>
      </w:pPr>
      <w:r>
        <w:rPr>
          <w:rFonts w:ascii="Times New Roman" w:cs="Times New Roman" w:hAnsi="Times New Roman"/>
          <w:b/>
          <w:bCs/>
          <w:sz w:val="24"/>
          <w:szCs w:val="24"/>
        </w:rPr>
        <w:t>Inspiration and Motivation:</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advocates for leaders who adopt a transformational leadership style, inspiring and motivating their teams by effectively communicating a shared vision and values. These leaders serve as role models, exhibiting passion, enthusiasm, and dedication towards the company's mission. By fostering an environment of inspiration, they encourage employees to strive for excellence and actively participate in achieving organizational goals.</w:t>
      </w:r>
    </w:p>
    <w:p>
      <w:pPr>
        <w:pStyle w:val="style0"/>
        <w:rPr>
          <w:rFonts w:ascii="Times New Roman" w:cs="Times New Roman" w:hAnsi="Times New Roman"/>
          <w:sz w:val="24"/>
          <w:szCs w:val="24"/>
        </w:rPr>
      </w:pPr>
      <w:r>
        <w:rPr>
          <w:rFonts w:ascii="Times New Roman" w:cs="Times New Roman" w:hAnsi="Times New Roman"/>
          <w:b/>
          <w:bCs/>
          <w:sz w:val="24"/>
          <w:szCs w:val="24"/>
        </w:rPr>
        <w:t>Empowerment and Trust:</w:t>
      </w:r>
      <w:r>
        <w:rPr>
          <w:rFonts w:ascii="Times New Roman" w:cs="Times New Roman" w:hAnsi="Times New Roman"/>
          <w:sz w:val="24"/>
          <w:szCs w:val="24"/>
        </w:rPr>
        <w:t xml:space="preserve"> Leaders at </w:t>
      </w:r>
      <w:r>
        <w:rPr>
          <w:rFonts w:ascii="Times New Roman" w:cs="Times New Roman" w:hAnsi="Times New Roman"/>
          <w:sz w:val="24"/>
          <w:szCs w:val="24"/>
        </w:rPr>
        <w:t>SainCo</w:t>
      </w:r>
      <w:r>
        <w:rPr>
          <w:rFonts w:ascii="Times New Roman" w:cs="Times New Roman" w:hAnsi="Times New Roman"/>
          <w:sz w:val="24"/>
          <w:szCs w:val="24"/>
        </w:rPr>
        <w:t xml:space="preserve"> are empowered to lead by example, promoting a culture of trust, respect, and continuous improvement. They encourage open communication, actively listen to employee feedback, and involve teams in decision-making processes. This empowerment cultivates a sense of ownership among employees, making them feel valued and trusted within the organization.</w:t>
      </w:r>
    </w:p>
    <w:p>
      <w:pPr>
        <w:pStyle w:val="style179"/>
        <w:numPr>
          <w:ilvl w:val="0"/>
          <w:numId w:val="22"/>
        </w:numPr>
        <w:rPr>
          <w:rFonts w:ascii="Times New Roman" w:cs="Times New Roman" w:hAnsi="Times New Roman"/>
          <w:sz w:val="24"/>
          <w:szCs w:val="24"/>
        </w:rPr>
      </w:pPr>
      <w:r>
        <w:rPr>
          <w:rFonts w:ascii="Times New Roman" w:cs="Times New Roman" w:hAnsi="Times New Roman"/>
          <w:iCs/>
          <w:sz w:val="24"/>
          <w:szCs w:val="24"/>
        </w:rPr>
        <w:t>Aligning Vision and Objectives:</w:t>
      </w:r>
    </w:p>
    <w:p>
      <w:pPr>
        <w:pStyle w:val="style0"/>
        <w:rPr>
          <w:rFonts w:ascii="Times New Roman" w:cs="Times New Roman" w:hAnsi="Times New Roman"/>
          <w:sz w:val="24"/>
          <w:szCs w:val="24"/>
        </w:rPr>
      </w:pPr>
      <w:r>
        <w:rPr>
          <w:rFonts w:ascii="Times New Roman" w:cs="Times New Roman" w:hAnsi="Times New Roman"/>
          <w:b/>
          <w:bCs/>
          <w:sz w:val="24"/>
          <w:szCs w:val="24"/>
        </w:rPr>
        <w:t>Clear Communication of Vision:</w:t>
      </w:r>
      <w:r>
        <w:rPr>
          <w:rFonts w:ascii="Times New Roman" w:cs="Times New Roman" w:hAnsi="Times New Roman"/>
          <w:sz w:val="24"/>
          <w:szCs w:val="24"/>
        </w:rPr>
        <w:t xml:space="preserve"> </w:t>
      </w:r>
      <w:r>
        <w:rPr>
          <w:rFonts w:ascii="Times New Roman" w:cs="Times New Roman" w:hAnsi="Times New Roman"/>
          <w:sz w:val="24"/>
          <w:szCs w:val="24"/>
        </w:rPr>
        <w:t xml:space="preserve">SainCo </w:t>
      </w:r>
      <w:r>
        <w:rPr>
          <w:rFonts w:ascii="Times New Roman" w:cs="Times New Roman" w:hAnsi="Times New Roman"/>
          <w:sz w:val="24"/>
          <w:szCs w:val="24"/>
        </w:rPr>
        <w:t>'s leaders prioritize clear communication of the organizational vision and goals to ensure alignment with individual roles and responsibilities. They articulate how each employee's contributions directly impact the company's success, fostering a sense of purpose and direction among the workforce.</w:t>
      </w:r>
    </w:p>
    <w:p>
      <w:pPr>
        <w:pStyle w:val="style0"/>
        <w:rPr>
          <w:rFonts w:ascii="Times New Roman" w:cs="Times New Roman" w:hAnsi="Times New Roman"/>
          <w:sz w:val="24"/>
          <w:szCs w:val="24"/>
        </w:rPr>
      </w:pPr>
      <w:r>
        <w:rPr>
          <w:rFonts w:ascii="Times New Roman" w:cs="Times New Roman" w:hAnsi="Times New Roman"/>
          <w:b/>
          <w:bCs/>
          <w:sz w:val="24"/>
          <w:szCs w:val="24"/>
        </w:rPr>
        <w:t>Employee Engagement in Decision-making:</w:t>
      </w:r>
      <w:r>
        <w:rPr>
          <w:rFonts w:ascii="Times New Roman" w:cs="Times New Roman" w:hAnsi="Times New Roman"/>
          <w:sz w:val="24"/>
          <w:szCs w:val="24"/>
        </w:rPr>
        <w:t xml:space="preserve"> Engaging employees in discussions about organizational goals and strategies enables </w:t>
      </w:r>
      <w:r>
        <w:rPr>
          <w:rFonts w:ascii="Times New Roman" w:cs="Times New Roman" w:hAnsi="Times New Roman"/>
          <w:sz w:val="24"/>
          <w:szCs w:val="24"/>
        </w:rPr>
        <w:t>SainCo</w:t>
      </w:r>
      <w:r>
        <w:rPr>
          <w:rFonts w:ascii="Times New Roman" w:cs="Times New Roman" w:hAnsi="Times New Roman"/>
          <w:sz w:val="24"/>
          <w:szCs w:val="24"/>
        </w:rPr>
        <w:t xml:space="preserve"> to tap into their insights and perspectives. This involvement helps employees understand the 'bigger picture' and how their work contributes to the company's objectives, thereby fostering a sense of belonging and commitment.</w:t>
      </w:r>
    </w:p>
    <w:p>
      <w:pPr>
        <w:pStyle w:val="style179"/>
        <w:numPr>
          <w:ilvl w:val="0"/>
          <w:numId w:val="22"/>
        </w:numPr>
        <w:rPr>
          <w:rFonts w:ascii="Times New Roman" w:cs="Times New Roman" w:hAnsi="Times New Roman"/>
          <w:sz w:val="24"/>
          <w:szCs w:val="24"/>
        </w:rPr>
      </w:pPr>
      <w:r>
        <w:rPr>
          <w:rFonts w:ascii="Times New Roman" w:cs="Times New Roman" w:hAnsi="Times New Roman"/>
          <w:iCs/>
          <w:sz w:val="24"/>
          <w:szCs w:val="24"/>
        </w:rPr>
        <w:t>Supportive Leadership and Growth Opportunities:</w:t>
      </w:r>
    </w:p>
    <w:p>
      <w:pPr>
        <w:pStyle w:val="style0"/>
        <w:rPr>
          <w:rFonts w:ascii="Times New Roman" w:cs="Times New Roman" w:hAnsi="Times New Roman"/>
          <w:sz w:val="24"/>
          <w:szCs w:val="24"/>
        </w:rPr>
      </w:pPr>
      <w:r>
        <w:rPr>
          <w:rFonts w:ascii="Times New Roman" w:cs="Times New Roman" w:hAnsi="Times New Roman"/>
          <w:b/>
          <w:bCs/>
          <w:sz w:val="24"/>
          <w:szCs w:val="24"/>
        </w:rPr>
        <w:t>Mentorship and Career Development:</w:t>
      </w:r>
      <w:r>
        <w:rPr>
          <w:rFonts w:ascii="Times New Roman" w:cs="Times New Roman" w:hAnsi="Times New Roman"/>
          <w:sz w:val="24"/>
          <w:szCs w:val="24"/>
        </w:rPr>
        <w:t xml:space="preserve"> </w:t>
      </w:r>
      <w:r>
        <w:rPr>
          <w:rFonts w:ascii="Times New Roman" w:cs="Times New Roman" w:hAnsi="Times New Roman"/>
          <w:sz w:val="24"/>
          <w:szCs w:val="24"/>
        </w:rPr>
        <w:t xml:space="preserve">SainCo </w:t>
      </w:r>
      <w:r>
        <w:rPr>
          <w:rFonts w:ascii="Times New Roman" w:cs="Times New Roman" w:hAnsi="Times New Roman"/>
          <w:sz w:val="24"/>
          <w:szCs w:val="24"/>
        </w:rPr>
        <w:t>'s leaders are encouraged to provide mentorship, coaching, and ample career development opportunities to nurture talent within the organization. By investing in their employees' growth, leaders empower them to reach their full potential and contribute significantly to the company's success. This support not only enhances employee skills but also improves retention rates by demonstrating a commitment to their career advancement.</w:t>
      </w:r>
    </w:p>
    <w:p>
      <w:pPr>
        <w:pStyle w:val="style0"/>
        <w:rPr>
          <w:rFonts w:ascii="Times New Roman" w:cs="Times New Roman" w:hAnsi="Times New Roman"/>
          <w:sz w:val="24"/>
          <w:szCs w:val="24"/>
        </w:rPr>
      </w:pPr>
      <w:r>
        <w:rPr>
          <w:rFonts w:ascii="Times New Roman" w:cs="Times New Roman" w:hAnsi="Times New Roman"/>
          <w:b/>
          <w:bCs/>
          <w:sz w:val="24"/>
          <w:szCs w:val="24"/>
        </w:rPr>
        <w:t>Encouragement of Risk-taking and Support:</w:t>
      </w:r>
      <w:r>
        <w:rPr>
          <w:rFonts w:ascii="Times New Roman" w:cs="Times New Roman" w:hAnsi="Times New Roman"/>
          <w:sz w:val="24"/>
          <w:szCs w:val="24"/>
        </w:rPr>
        <w:t xml:space="preserve"> Effective leaders at </w:t>
      </w:r>
      <w:r>
        <w:rPr>
          <w:rFonts w:ascii="Times New Roman" w:cs="Times New Roman" w:hAnsi="Times New Roman"/>
          <w:sz w:val="24"/>
          <w:szCs w:val="24"/>
        </w:rPr>
        <w:t>SainCo</w:t>
      </w:r>
      <w:r>
        <w:rPr>
          <w:rFonts w:ascii="Times New Roman" w:cs="Times New Roman" w:hAnsi="Times New Roman"/>
          <w:sz w:val="24"/>
          <w:szCs w:val="24"/>
        </w:rPr>
        <w:t xml:space="preserve"> support employees through challenges by encouraging risk-taking and innovation while providing a safety net for experimentation. They create an environment where taking calculated risks is </w:t>
      </w:r>
      <w:r>
        <w:rPr>
          <w:rFonts w:ascii="Times New Roman" w:cs="Times New Roman" w:hAnsi="Times New Roman"/>
          <w:sz w:val="24"/>
          <w:szCs w:val="24"/>
        </w:rPr>
        <w:t>not only accepted but also celebrated, promoting a culture of innovation and continuous improvement.</w:t>
      </w:r>
    </w:p>
    <w:p>
      <w:pPr>
        <w:pStyle w:val="style0"/>
        <w:rPr>
          <w:rFonts w:ascii="Times New Roman" w:cs="Times New Roman" w:hAnsi="Times New Roman"/>
          <w:sz w:val="24"/>
          <w:szCs w:val="24"/>
        </w:rPr>
      </w:pPr>
    </w:p>
    <w:bookmarkStart w:id="12" w:name="_Toc153803056"/>
    <w:p>
      <w:pPr>
        <w:pStyle w:val="style1"/>
        <w:rPr>
          <w:rFonts w:ascii="Times New Roman" w:cs="Times New Roman" w:hAnsi="Times New Roman"/>
          <w:b/>
          <w:bCs/>
          <w:sz w:val="24"/>
          <w:szCs w:val="24"/>
        </w:rPr>
      </w:pPr>
      <w:r>
        <w:rPr>
          <w:rFonts w:ascii="Times New Roman" w:cs="Times New Roman" w:hAnsi="Times New Roman"/>
          <w:b/>
          <w:bCs/>
          <w:sz w:val="24"/>
          <w:szCs w:val="24"/>
        </w:rPr>
        <w:t xml:space="preserve">4. </w:t>
      </w:r>
      <w:r>
        <w:rPr>
          <w:rFonts w:ascii="Times New Roman" w:cs="Times New Roman" w:hAnsi="Times New Roman"/>
          <w:b/>
          <w:bCs/>
          <w:sz w:val="24"/>
          <w:szCs w:val="24"/>
        </w:rPr>
        <w:t xml:space="preserve">Alignment of Employee Engagement with </w:t>
      </w:r>
      <w:r>
        <w:rPr>
          <w:rFonts w:ascii="Times New Roman" w:cs="Times New Roman" w:hAnsi="Times New Roman"/>
          <w:b/>
          <w:bCs/>
          <w:sz w:val="24"/>
          <w:szCs w:val="24"/>
        </w:rPr>
        <w:t xml:space="preserve">SainCo </w:t>
      </w:r>
      <w:r>
        <w:rPr>
          <w:rFonts w:ascii="Times New Roman" w:cs="Times New Roman" w:hAnsi="Times New Roman"/>
          <w:b/>
          <w:bCs/>
          <w:sz w:val="24"/>
          <w:szCs w:val="24"/>
        </w:rPr>
        <w:t>'s Organizational Goals</w:t>
      </w:r>
      <w:bookmarkEnd w:id="12"/>
    </w:p>
    <w:p>
      <w:pPr>
        <w:pStyle w:val="style0"/>
        <w:rPr/>
      </w:pPr>
    </w:p>
    <w:bookmarkStart w:id="13" w:name="_Toc153803057"/>
    <w:p>
      <w:pPr>
        <w:pStyle w:val="style2"/>
        <w:rPr>
          <w:rFonts w:ascii="Times New Roman" w:cs="Times New Roman" w:hAnsi="Times New Roman"/>
          <w:b/>
          <w:iCs/>
          <w:color w:val="000000"/>
          <w:sz w:val="24"/>
          <w:szCs w:val="24"/>
        </w:rPr>
      </w:pPr>
      <w:r>
        <w:rPr>
          <w:rFonts w:ascii="Times New Roman" w:cs="Times New Roman" w:hAnsi="Times New Roman"/>
          <w:b/>
          <w:iCs/>
          <w:color w:val="000000"/>
          <w:sz w:val="24"/>
          <w:szCs w:val="24"/>
        </w:rPr>
        <w:t xml:space="preserve">4.1 Bridging Employee Engagement with </w:t>
      </w:r>
      <w:r>
        <w:rPr>
          <w:rFonts w:ascii="Times New Roman" w:cs="Times New Roman" w:hAnsi="Times New Roman"/>
          <w:b/>
          <w:iCs/>
          <w:color w:val="000000"/>
          <w:sz w:val="24"/>
          <w:szCs w:val="24"/>
        </w:rPr>
        <w:t xml:space="preserve">SainCo </w:t>
      </w:r>
      <w:r>
        <w:rPr>
          <w:rFonts w:ascii="Times New Roman" w:cs="Times New Roman" w:hAnsi="Times New Roman"/>
          <w:b/>
          <w:iCs/>
          <w:color w:val="000000"/>
          <w:sz w:val="24"/>
          <w:szCs w:val="24"/>
        </w:rPr>
        <w:t>'s Vision</w:t>
      </w:r>
      <w:bookmarkEnd w:id="13"/>
    </w:p>
    <w:p>
      <w:pPr>
        <w:pStyle w:val="style0"/>
        <w:rPr/>
      </w:pPr>
    </w:p>
    <w:p>
      <w:pPr>
        <w:pStyle w:val="style0"/>
        <w:rPr>
          <w:rFonts w:ascii="Times New Roman" w:cs="Times New Roman" w:hAnsi="Times New Roman"/>
          <w:sz w:val="24"/>
          <w:szCs w:val="24"/>
        </w:rPr>
      </w:pPr>
      <w:r>
        <w:rPr>
          <w:rFonts w:ascii="Times New Roman" w:cs="Times New Roman" w:hAnsi="Times New Roman"/>
          <w:b/>
          <w:bCs/>
          <w:sz w:val="24"/>
          <w:szCs w:val="24"/>
        </w:rPr>
        <w:t xml:space="preserve">Integration of Engagement in </w:t>
      </w:r>
      <w:r>
        <w:rPr>
          <w:rFonts w:ascii="Times New Roman" w:cs="Times New Roman" w:hAnsi="Times New Roman"/>
          <w:b/>
          <w:bCs/>
          <w:sz w:val="24"/>
          <w:szCs w:val="24"/>
        </w:rPr>
        <w:t xml:space="preserve">SainCo </w:t>
      </w:r>
      <w:r>
        <w:rPr>
          <w:rFonts w:ascii="Times New Roman" w:cs="Times New Roman" w:hAnsi="Times New Roman"/>
          <w:b/>
          <w:bCs/>
          <w:sz w:val="24"/>
          <w:szCs w:val="24"/>
        </w:rPr>
        <w:t>'s Vision:</w:t>
      </w:r>
    </w:p>
    <w:p>
      <w:pPr>
        <w:pStyle w:val="style0"/>
        <w:rPr>
          <w:rFonts w:ascii="Times New Roman" w:cs="Times New Roman" w:hAnsi="Times New Roman"/>
          <w:sz w:val="24"/>
          <w:szCs w:val="24"/>
        </w:rPr>
      </w:pPr>
      <w:r>
        <w:rPr>
          <w:rFonts w:ascii="Times New Roman" w:cs="Times New Roman" w:hAnsi="Times New Roman"/>
          <w:sz w:val="24"/>
          <w:szCs w:val="24"/>
        </w:rPr>
        <w:t xml:space="preserve">SainCo </w:t>
      </w:r>
      <w:r>
        <w:rPr>
          <w:rFonts w:ascii="Times New Roman" w:cs="Times New Roman" w:hAnsi="Times New Roman"/>
          <w:sz w:val="24"/>
          <w:szCs w:val="24"/>
        </w:rPr>
        <w:t xml:space="preserve">'s vision to be a customer-focused retailer can be reinforced by demonstrating how employee engagement initiatives directly contribute to this overarching goal. Engaged employees who are motivated and committed are more likely to provide superior customer service, thus aligning with </w:t>
      </w:r>
      <w:r>
        <w:rPr>
          <w:rFonts w:ascii="Times New Roman" w:cs="Times New Roman" w:hAnsi="Times New Roman"/>
          <w:sz w:val="24"/>
          <w:szCs w:val="24"/>
        </w:rPr>
        <w:t xml:space="preserve">SainCo </w:t>
      </w:r>
      <w:r>
        <w:rPr>
          <w:rFonts w:ascii="Times New Roman" w:cs="Times New Roman" w:hAnsi="Times New Roman"/>
          <w:sz w:val="24"/>
          <w:szCs w:val="24"/>
        </w:rPr>
        <w:t xml:space="preserve">'s commitment to enhancing the overall customer experience. By fostering a culture of engagement, </w:t>
      </w:r>
      <w:r>
        <w:rPr>
          <w:rFonts w:ascii="Times New Roman" w:cs="Times New Roman" w:hAnsi="Times New Roman"/>
          <w:sz w:val="24"/>
          <w:szCs w:val="24"/>
        </w:rPr>
        <w:t>SainCo</w:t>
      </w:r>
      <w:r>
        <w:rPr>
          <w:rFonts w:ascii="Times New Roman" w:cs="Times New Roman" w:hAnsi="Times New Roman"/>
          <w:sz w:val="24"/>
          <w:szCs w:val="24"/>
        </w:rPr>
        <w:t xml:space="preserve"> can articulate how this cultural shift will translate into tangible benefits for customers, such as improved service quality, personalized interactions, and a better shopping experience.</w:t>
      </w:r>
    </w:p>
    <w:p>
      <w:pPr>
        <w:pStyle w:val="style0"/>
        <w:rPr>
          <w:rFonts w:ascii="Times New Roman" w:cs="Times New Roman" w:hAnsi="Times New Roman"/>
          <w:sz w:val="24"/>
          <w:szCs w:val="24"/>
        </w:rPr>
      </w:pPr>
      <w:r>
        <w:rPr>
          <w:rFonts w:ascii="Times New Roman" w:cs="Times New Roman" w:hAnsi="Times New Roman"/>
          <w:b/>
          <w:bCs/>
          <w:sz w:val="24"/>
          <w:szCs w:val="24"/>
        </w:rPr>
        <w:t>Strategic Fusion of Engagement Tactics:</w:t>
      </w:r>
    </w:p>
    <w:p>
      <w:pPr>
        <w:pStyle w:val="style0"/>
        <w:rPr>
          <w:rFonts w:ascii="Times New Roman" w:cs="Times New Roman" w:hAnsi="Times New Roman"/>
          <w:sz w:val="24"/>
          <w:szCs w:val="24"/>
        </w:rPr>
      </w:pPr>
      <w:r>
        <w:rPr>
          <w:rFonts w:ascii="Times New Roman" w:cs="Times New Roman" w:hAnsi="Times New Roman"/>
          <w:sz w:val="24"/>
          <w:szCs w:val="24"/>
        </w:rPr>
        <w:t xml:space="preserve">SainCo </w:t>
      </w:r>
      <w:r>
        <w:rPr>
          <w:rFonts w:ascii="Times New Roman" w:cs="Times New Roman" w:hAnsi="Times New Roman"/>
          <w:sz w:val="24"/>
          <w:szCs w:val="24"/>
        </w:rPr>
        <w:t xml:space="preserve">can strategically embed engagement strategies within its strategic planning process. By identifying and integrating specific engagement practices into the organizational roadmap, </w:t>
      </w:r>
      <w:r>
        <w:rPr>
          <w:rFonts w:ascii="Times New Roman" w:cs="Times New Roman" w:hAnsi="Times New Roman"/>
          <w:sz w:val="24"/>
          <w:szCs w:val="24"/>
        </w:rPr>
        <w:t>SainCo</w:t>
      </w:r>
      <w:r>
        <w:rPr>
          <w:rFonts w:ascii="Times New Roman" w:cs="Times New Roman" w:hAnsi="Times New Roman"/>
          <w:sz w:val="24"/>
          <w:szCs w:val="24"/>
        </w:rPr>
        <w:t xml:space="preserve"> can ensure that these initiatives resonate with its mission, values, and long-term objectives. For instance, if </w:t>
      </w:r>
      <w:r>
        <w:rPr>
          <w:rFonts w:ascii="Times New Roman" w:cs="Times New Roman" w:hAnsi="Times New Roman"/>
          <w:sz w:val="24"/>
          <w:szCs w:val="24"/>
        </w:rPr>
        <w:t>SainCo</w:t>
      </w:r>
      <w:r>
        <w:rPr>
          <w:rFonts w:ascii="Times New Roman" w:cs="Times New Roman" w:hAnsi="Times New Roman"/>
          <w:sz w:val="24"/>
          <w:szCs w:val="24"/>
        </w:rPr>
        <w:t xml:space="preserve"> aims to expand its online presence, incorporating engagement tactics that enhance collaboration among virtual teams or encourage innovation in digital retail solutions can be strategically aligned with this goal.</w:t>
      </w:r>
    </w:p>
    <w:bookmarkStart w:id="14" w:name="_Toc153803058"/>
    <w:p>
      <w:pPr>
        <w:pStyle w:val="style2"/>
        <w:rPr>
          <w:rFonts w:ascii="Times New Roman" w:cs="Times New Roman" w:hAnsi="Times New Roman"/>
          <w:b/>
          <w:color w:val="000000"/>
          <w:sz w:val="24"/>
          <w:szCs w:val="24"/>
        </w:rPr>
      </w:pPr>
      <w:r>
        <w:rPr>
          <w:rFonts w:ascii="Times New Roman" w:cs="Times New Roman" w:hAnsi="Times New Roman"/>
          <w:b/>
          <w:iCs/>
          <w:color w:val="000000"/>
          <w:sz w:val="24"/>
          <w:szCs w:val="24"/>
        </w:rPr>
        <w:t>4.2 Impact of Enhanced Engagement on Performance Metrics</w:t>
      </w:r>
      <w:bookmarkEnd w:id="14"/>
    </w:p>
    <w:p>
      <w:pPr>
        <w:pStyle w:val="style0"/>
        <w:rPr>
          <w:rFonts w:ascii="Times New Roman" w:cs="Times New Roman" w:hAnsi="Times New Roman"/>
          <w:b/>
          <w:bCs/>
          <w:sz w:val="24"/>
          <w:szCs w:val="24"/>
        </w:rPr>
      </w:pPr>
    </w:p>
    <w:p>
      <w:pPr>
        <w:pStyle w:val="style0"/>
        <w:rPr>
          <w:rFonts w:ascii="Times New Roman" w:cs="Times New Roman" w:hAnsi="Times New Roman"/>
          <w:sz w:val="24"/>
          <w:szCs w:val="24"/>
        </w:rPr>
      </w:pPr>
      <w:r>
        <w:rPr>
          <w:rFonts w:ascii="Times New Roman" w:cs="Times New Roman" w:hAnsi="Times New Roman"/>
          <w:b/>
          <w:bCs/>
          <w:sz w:val="24"/>
          <w:szCs w:val="24"/>
        </w:rPr>
        <w:t>Productivity Enhancement:</w:t>
      </w:r>
    </w:p>
    <w:p>
      <w:pPr>
        <w:pStyle w:val="style0"/>
        <w:rPr>
          <w:rFonts w:ascii="Times New Roman" w:cs="Times New Roman" w:hAnsi="Times New Roman"/>
          <w:sz w:val="24"/>
          <w:szCs w:val="24"/>
        </w:rPr>
      </w:pPr>
      <w:r>
        <w:rPr>
          <w:rFonts w:ascii="Times New Roman" w:cs="Times New Roman" w:hAnsi="Times New Roman"/>
          <w:sz w:val="24"/>
          <w:szCs w:val="24"/>
        </w:rPr>
        <w:t xml:space="preserve">Aligning employee engagement with </w:t>
      </w:r>
      <w:r>
        <w:rPr>
          <w:rFonts w:ascii="Times New Roman" w:cs="Times New Roman" w:hAnsi="Times New Roman"/>
          <w:sz w:val="24"/>
          <w:szCs w:val="24"/>
        </w:rPr>
        <w:t xml:space="preserve">SainCo </w:t>
      </w:r>
      <w:r>
        <w:rPr>
          <w:rFonts w:ascii="Times New Roman" w:cs="Times New Roman" w:hAnsi="Times New Roman"/>
          <w:sz w:val="24"/>
          <w:szCs w:val="24"/>
        </w:rPr>
        <w:t xml:space="preserve">'s performance goals can highlight the positive impact on productivity metrics. Engaged employees tend to be more productive, proactive, and committed to delivering high-quality work. </w:t>
      </w:r>
      <w:r>
        <w:rPr>
          <w:rFonts w:ascii="Times New Roman" w:cs="Times New Roman" w:hAnsi="Times New Roman"/>
          <w:sz w:val="24"/>
          <w:szCs w:val="24"/>
        </w:rPr>
        <w:t>SainCo</w:t>
      </w:r>
      <w:r>
        <w:rPr>
          <w:rFonts w:ascii="Times New Roman" w:cs="Times New Roman" w:hAnsi="Times New Roman"/>
          <w:sz w:val="24"/>
          <w:szCs w:val="24"/>
        </w:rPr>
        <w:t xml:space="preserve"> can showcase how increased engagement levels correlate with improved productivity metrics, such as sales per employee, units sold per hour, or customer satisfaction ratings.</w:t>
      </w:r>
    </w:p>
    <w:p>
      <w:pPr>
        <w:pStyle w:val="style0"/>
        <w:rPr>
          <w:rFonts w:ascii="Times New Roman" w:cs="Times New Roman" w:hAnsi="Times New Roman"/>
          <w:sz w:val="24"/>
          <w:szCs w:val="24"/>
        </w:rPr>
      </w:pPr>
      <w:r>
        <w:rPr>
          <w:rFonts w:ascii="Times New Roman" w:cs="Times New Roman" w:hAnsi="Times New Roman"/>
          <w:b/>
          <w:bCs/>
          <w:sz w:val="24"/>
          <w:szCs w:val="24"/>
        </w:rPr>
        <w:t>Customer Satisfaction and Loyalty:</w:t>
      </w:r>
    </w:p>
    <w:p>
      <w:pPr>
        <w:pStyle w:val="style0"/>
        <w:rPr>
          <w:rFonts w:ascii="Times New Roman" w:cs="Times New Roman" w:hAnsi="Times New Roman"/>
          <w:sz w:val="24"/>
          <w:szCs w:val="24"/>
        </w:rPr>
      </w:pPr>
      <w:r>
        <w:rPr>
          <w:rFonts w:ascii="Times New Roman" w:cs="Times New Roman" w:hAnsi="Times New Roman"/>
          <w:sz w:val="24"/>
          <w:szCs w:val="24"/>
        </w:rPr>
        <w:t xml:space="preserve">Engaged employees play a crucial role in enhancing customer satisfaction and loyalty. By linking engagement strategies to customer-centric initiatives, </w:t>
      </w:r>
      <w:r>
        <w:rPr>
          <w:rFonts w:ascii="Times New Roman" w:cs="Times New Roman" w:hAnsi="Times New Roman"/>
          <w:sz w:val="24"/>
          <w:szCs w:val="24"/>
        </w:rPr>
        <w:t>SainCo</w:t>
      </w:r>
      <w:r>
        <w:rPr>
          <w:rFonts w:ascii="Times New Roman" w:cs="Times New Roman" w:hAnsi="Times New Roman"/>
          <w:sz w:val="24"/>
          <w:szCs w:val="24"/>
        </w:rPr>
        <w:t xml:space="preserve"> can demonstrate how employee commitment influences customer experiences. For instance, engaged employees who are empowered to solve customer issues promptly can positively impact customer retention rates and brand loyalty.</w:t>
      </w:r>
    </w:p>
    <w:p>
      <w:pPr>
        <w:pStyle w:val="style0"/>
        <w:rPr>
          <w:rFonts w:ascii="Times New Roman" w:cs="Times New Roman" w:hAnsi="Times New Roman"/>
          <w:sz w:val="24"/>
          <w:szCs w:val="24"/>
        </w:rPr>
      </w:pPr>
      <w:r>
        <w:rPr>
          <w:rFonts w:ascii="Times New Roman" w:cs="Times New Roman" w:hAnsi="Times New Roman"/>
          <w:b/>
          <w:bCs/>
          <w:sz w:val="24"/>
          <w:szCs w:val="24"/>
        </w:rPr>
        <w:t>Innovation and Adaptability:</w:t>
      </w:r>
    </w:p>
    <w:p>
      <w:pPr>
        <w:pStyle w:val="style0"/>
        <w:rPr>
          <w:rFonts w:ascii="Times New Roman" w:cs="Times New Roman" w:hAnsi="Times New Roman"/>
          <w:sz w:val="24"/>
          <w:szCs w:val="24"/>
        </w:rPr>
      </w:pPr>
      <w:r>
        <w:rPr>
          <w:rFonts w:ascii="Times New Roman" w:cs="Times New Roman" w:hAnsi="Times New Roman"/>
          <w:sz w:val="24"/>
          <w:szCs w:val="24"/>
        </w:rPr>
        <w:t xml:space="preserve">Employee engagement fosters a culture of innovation and adaptability within </w:t>
      </w:r>
      <w:r>
        <w:rPr>
          <w:rFonts w:ascii="Times New Roman" w:cs="Times New Roman" w:hAnsi="Times New Roman"/>
          <w:sz w:val="24"/>
          <w:szCs w:val="24"/>
        </w:rPr>
        <w:t>SainCo</w:t>
      </w:r>
      <w:r>
        <w:rPr>
          <w:rFonts w:ascii="Times New Roman" w:cs="Times New Roman" w:hAnsi="Times New Roman"/>
          <w:sz w:val="24"/>
          <w:szCs w:val="24"/>
        </w:rPr>
        <w:t xml:space="preserve">. Highlighting instances where engaged employees have contributed innovative ideas, process </w:t>
      </w:r>
      <w:r>
        <w:rPr>
          <w:rFonts w:ascii="Times New Roman" w:cs="Times New Roman" w:hAnsi="Times New Roman"/>
          <w:sz w:val="24"/>
          <w:szCs w:val="24"/>
        </w:rPr>
        <w:t xml:space="preserve">improvements, or adaptability to changing market trends can showcase the alignment between engagement efforts and </w:t>
      </w:r>
      <w:r>
        <w:rPr>
          <w:rFonts w:ascii="Times New Roman" w:cs="Times New Roman" w:hAnsi="Times New Roman"/>
          <w:sz w:val="24"/>
          <w:szCs w:val="24"/>
        </w:rPr>
        <w:t xml:space="preserve">SainCo </w:t>
      </w:r>
      <w:r>
        <w:rPr>
          <w:rFonts w:ascii="Times New Roman" w:cs="Times New Roman" w:hAnsi="Times New Roman"/>
          <w:sz w:val="24"/>
          <w:szCs w:val="24"/>
        </w:rPr>
        <w:t>'s goals to stay competitive and innovative in the retail landscape.</w:t>
      </w:r>
    </w:p>
    <w:bookmarkStart w:id="15" w:name="_Toc153803059"/>
    <w:p>
      <w:pPr>
        <w:pStyle w:val="style2"/>
        <w:rPr>
          <w:rFonts w:ascii="Times New Roman" w:cs="Times New Roman" w:hAnsi="Times New Roman"/>
          <w:b/>
          <w:color w:val="000000"/>
          <w:sz w:val="24"/>
          <w:szCs w:val="24"/>
        </w:rPr>
      </w:pPr>
      <w:r>
        <w:rPr>
          <w:rFonts w:ascii="Times New Roman" w:cs="Times New Roman" w:hAnsi="Times New Roman"/>
          <w:b/>
          <w:color w:val="000000"/>
          <w:sz w:val="24"/>
          <w:szCs w:val="24"/>
        </w:rPr>
        <w:t>4.3 Real-World Instances and Comparative Industry Cases</w:t>
      </w:r>
      <w:bookmarkEnd w:id="15"/>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r>
        <w:rPr>
          <w:rFonts w:ascii="Times New Roman" w:cs="Times New Roman" w:hAnsi="Times New Roman"/>
          <w:sz w:val="24"/>
          <w:szCs w:val="24"/>
        </w:rPr>
        <w:t>Industry-Applicable Success Stories:</w:t>
      </w:r>
    </w:p>
    <w:p>
      <w:pPr>
        <w:pStyle w:val="style0"/>
        <w:rPr>
          <w:rFonts w:ascii="Times New Roman" w:cs="Times New Roman" w:hAnsi="Times New Roman"/>
          <w:sz w:val="24"/>
          <w:szCs w:val="24"/>
        </w:rPr>
      </w:pPr>
      <w:r>
        <w:rPr>
          <w:rFonts w:ascii="Times New Roman" w:cs="Times New Roman" w:hAnsi="Times New Roman"/>
          <w:sz w:val="24"/>
          <w:szCs w:val="24"/>
        </w:rPr>
        <w:t>In the realm of retail and related industries, several companies have implemented successful engagement strategies that significantly impacted their workforce and market presence:</w:t>
      </w:r>
    </w:p>
    <w:p>
      <w:pPr>
        <w:pStyle w:val="style0"/>
        <w:numPr>
          <w:ilvl w:val="0"/>
          <w:numId w:val="11"/>
        </w:numPr>
        <w:rPr>
          <w:rFonts w:ascii="Times New Roman" w:cs="Times New Roman" w:hAnsi="Times New Roman"/>
          <w:sz w:val="24"/>
          <w:szCs w:val="24"/>
        </w:rPr>
      </w:pPr>
      <w:r>
        <w:rPr>
          <w:rFonts w:ascii="Times New Roman" w:cs="Times New Roman" w:hAnsi="Times New Roman"/>
          <w:b/>
          <w:bCs/>
          <w:sz w:val="24"/>
          <w:szCs w:val="24"/>
        </w:rPr>
        <w:t>Zappos: Revolutionizing Company Culture</w:t>
      </w:r>
    </w:p>
    <w:p>
      <w:pPr>
        <w:pStyle w:val="style0"/>
        <w:numPr>
          <w:ilvl w:val="1"/>
          <w:numId w:val="11"/>
        </w:numPr>
        <w:rPr>
          <w:rFonts w:ascii="Times New Roman" w:cs="Times New Roman" w:hAnsi="Times New Roman"/>
          <w:sz w:val="24"/>
          <w:szCs w:val="24"/>
        </w:rPr>
      </w:pPr>
      <w:r>
        <w:rPr>
          <w:rFonts w:ascii="Times New Roman" w:cs="Times New Roman" w:hAnsi="Times New Roman"/>
          <w:sz w:val="24"/>
          <w:szCs w:val="24"/>
        </w:rPr>
        <w:t>Zappos, an online shoe and clothing retailer, introduced a unique approach by prioritizing company culture. They developed a culture book where employees shared their experiences, promoting a transparent and engaging work environment. This initiative significantly boosted employee morale and customer service quality, leading to increased customer satisfaction levels.</w:t>
      </w:r>
    </w:p>
    <w:p>
      <w:pPr>
        <w:pStyle w:val="style0"/>
        <w:numPr>
          <w:ilvl w:val="0"/>
          <w:numId w:val="11"/>
        </w:numPr>
        <w:rPr>
          <w:rFonts w:ascii="Times New Roman" w:cs="Times New Roman" w:hAnsi="Times New Roman"/>
          <w:sz w:val="24"/>
          <w:szCs w:val="24"/>
        </w:rPr>
      </w:pPr>
      <w:r>
        <w:rPr>
          <w:rFonts w:ascii="Times New Roman" w:cs="Times New Roman" w:hAnsi="Times New Roman"/>
          <w:b/>
          <w:bCs/>
          <w:sz w:val="24"/>
          <w:szCs w:val="24"/>
        </w:rPr>
        <w:t>Starbucks: Fostering Employee Development</w:t>
      </w:r>
    </w:p>
    <w:p>
      <w:pPr>
        <w:pStyle w:val="style0"/>
        <w:numPr>
          <w:ilvl w:val="1"/>
          <w:numId w:val="11"/>
        </w:numPr>
        <w:rPr>
          <w:rFonts w:ascii="Times New Roman" w:cs="Times New Roman" w:hAnsi="Times New Roman"/>
          <w:sz w:val="24"/>
          <w:szCs w:val="24"/>
        </w:rPr>
      </w:pPr>
      <w:r>
        <w:rPr>
          <w:rFonts w:ascii="Times New Roman" w:cs="Times New Roman" w:hAnsi="Times New Roman"/>
          <w:sz w:val="24"/>
          <w:szCs w:val="24"/>
        </w:rPr>
        <w:t>Starbucks, a global coffeehouse chain, is renowned for its comprehensive employee benefits and development programs. Through its "College Achievement Plan," Starbucks offers its employees the opportunity to pursue higher education, leading to increased job satisfaction and loyalty among its workforce.</w:t>
      </w:r>
    </w:p>
    <w:p>
      <w:pPr>
        <w:pStyle w:val="style0"/>
        <w:numPr>
          <w:ilvl w:val="0"/>
          <w:numId w:val="11"/>
        </w:numPr>
        <w:rPr>
          <w:rFonts w:ascii="Times New Roman" w:cs="Times New Roman" w:hAnsi="Times New Roman"/>
          <w:sz w:val="24"/>
          <w:szCs w:val="24"/>
        </w:rPr>
      </w:pPr>
      <w:r>
        <w:rPr>
          <w:rFonts w:ascii="Times New Roman" w:cs="Times New Roman" w:hAnsi="Times New Roman"/>
          <w:b/>
          <w:bCs/>
          <w:sz w:val="24"/>
          <w:szCs w:val="24"/>
        </w:rPr>
        <w:t>Patagonia: Integrating Corporate Values</w:t>
      </w:r>
    </w:p>
    <w:p>
      <w:pPr>
        <w:pStyle w:val="style0"/>
        <w:numPr>
          <w:ilvl w:val="1"/>
          <w:numId w:val="11"/>
        </w:numPr>
        <w:rPr>
          <w:rFonts w:ascii="Times New Roman" w:cs="Times New Roman" w:hAnsi="Times New Roman"/>
          <w:sz w:val="24"/>
          <w:szCs w:val="24"/>
        </w:rPr>
      </w:pPr>
      <w:r>
        <w:rPr>
          <w:rFonts w:ascii="Times New Roman" w:cs="Times New Roman" w:hAnsi="Times New Roman"/>
          <w:sz w:val="24"/>
          <w:szCs w:val="24"/>
        </w:rPr>
        <w:t>Patagonia, an outdoor clothing brand, intertwines its corporate values with employee engagement by allowing employees paid time off for volunteering. This strategy has not only boosted employee morale but has also positively impacted brand perception, attracting customers who align with the company's values.</w:t>
      </w:r>
    </w:p>
    <w:p>
      <w:pPr>
        <w:pStyle w:val="style0"/>
        <w:rPr>
          <w:rFonts w:ascii="Times New Roman" w:cs="Times New Roman" w:hAnsi="Times New Roman"/>
          <w:sz w:val="24"/>
          <w:szCs w:val="24"/>
        </w:rPr>
      </w:pPr>
      <w:r>
        <w:rPr>
          <w:rFonts w:ascii="Times New Roman" w:cs="Times New Roman" w:hAnsi="Times New Roman"/>
          <w:sz w:val="24"/>
          <w:szCs w:val="24"/>
        </w:rPr>
        <w:t xml:space="preserve">SainCo </w:t>
      </w:r>
      <w:r>
        <w:rPr>
          <w:rFonts w:ascii="Times New Roman" w:cs="Times New Roman" w:hAnsi="Times New Roman"/>
          <w:sz w:val="24"/>
          <w:szCs w:val="24"/>
        </w:rPr>
        <w:t>'s Customized Engagement Approaches:</w:t>
      </w:r>
    </w:p>
    <w:p>
      <w:pPr>
        <w:pStyle w:val="style0"/>
        <w:rPr>
          <w:rFonts w:ascii="Times New Roman" w:cs="Times New Roman" w:hAnsi="Times New Roman"/>
          <w:sz w:val="24"/>
          <w:szCs w:val="24"/>
        </w:rPr>
      </w:pPr>
      <w:r>
        <w:rPr>
          <w:rFonts w:ascii="Times New Roman" w:cs="Times New Roman" w:hAnsi="Times New Roman"/>
          <w:sz w:val="24"/>
          <w:szCs w:val="24"/>
        </w:rPr>
        <w:t>SainCo</w:t>
      </w:r>
      <w:r>
        <w:rPr>
          <w:rFonts w:ascii="Times New Roman" w:cs="Times New Roman" w:hAnsi="Times New Roman"/>
          <w:sz w:val="24"/>
          <w:szCs w:val="24"/>
        </w:rPr>
        <w:t>, as a leading global retailer, has tailored engagement initiatives that resonate with its organizational objectives and market dynamics:</w:t>
      </w:r>
    </w:p>
    <w:p>
      <w:pPr>
        <w:pStyle w:val="style0"/>
        <w:numPr>
          <w:ilvl w:val="0"/>
          <w:numId w:val="12"/>
        </w:numPr>
        <w:rPr>
          <w:rFonts w:ascii="Times New Roman" w:cs="Times New Roman" w:hAnsi="Times New Roman"/>
          <w:sz w:val="24"/>
          <w:szCs w:val="24"/>
        </w:rPr>
      </w:pPr>
      <w:r>
        <w:rPr>
          <w:rFonts w:ascii="Times New Roman" w:cs="Times New Roman" w:hAnsi="Times New Roman"/>
          <w:b/>
          <w:bCs/>
          <w:sz w:val="24"/>
          <w:szCs w:val="24"/>
        </w:rPr>
        <w:t>Community Engagement and Local Initiatives</w:t>
      </w:r>
    </w:p>
    <w:p>
      <w:pPr>
        <w:pStyle w:val="style0"/>
        <w:numPr>
          <w:ilvl w:val="1"/>
          <w:numId w:val="12"/>
        </w:numPr>
        <w:rPr>
          <w:rFonts w:ascii="Times New Roman" w:cs="Times New Roman" w:hAnsi="Times New Roman"/>
          <w:sz w:val="24"/>
          <w:szCs w:val="24"/>
        </w:rPr>
      </w:pPr>
      <w:r>
        <w:rPr>
          <w:rFonts w:ascii="Times New Roman" w:cs="Times New Roman" w:hAnsi="Times New Roman"/>
          <w:sz w:val="24"/>
          <w:szCs w:val="24"/>
        </w:rPr>
        <w:t>SainCo</w:t>
      </w:r>
      <w:r>
        <w:rPr>
          <w:rFonts w:ascii="Times New Roman" w:cs="Times New Roman" w:hAnsi="Times New Roman"/>
          <w:sz w:val="24"/>
          <w:szCs w:val="24"/>
        </w:rPr>
        <w:t xml:space="preserve"> has demonstrated a commitment to community engagement by launching local initiatives. For instance, their "Community Food Connection" program donates surplus food to local charities, fostering a positive image within communities and enhancing employee pride in their company's social responsibility efforts.</w:t>
      </w:r>
    </w:p>
    <w:p>
      <w:pPr>
        <w:pStyle w:val="style0"/>
        <w:numPr>
          <w:ilvl w:val="0"/>
          <w:numId w:val="12"/>
        </w:numPr>
        <w:rPr>
          <w:rFonts w:ascii="Times New Roman" w:cs="Times New Roman" w:hAnsi="Times New Roman"/>
          <w:sz w:val="24"/>
          <w:szCs w:val="24"/>
        </w:rPr>
      </w:pPr>
      <w:r>
        <w:rPr>
          <w:rFonts w:ascii="Times New Roman" w:cs="Times New Roman" w:hAnsi="Times New Roman"/>
          <w:b/>
          <w:bCs/>
          <w:sz w:val="24"/>
          <w:szCs w:val="24"/>
        </w:rPr>
        <w:t>Employee-Led Innovation Programs</w:t>
      </w:r>
    </w:p>
    <w:p>
      <w:pPr>
        <w:pStyle w:val="style0"/>
        <w:numPr>
          <w:ilvl w:val="1"/>
          <w:numId w:val="12"/>
        </w:numPr>
        <w:rPr>
          <w:rFonts w:ascii="Times New Roman" w:cs="Times New Roman" w:hAnsi="Times New Roman"/>
          <w:sz w:val="24"/>
          <w:szCs w:val="24"/>
        </w:rPr>
      </w:pPr>
      <w:r>
        <w:rPr>
          <w:rFonts w:ascii="Times New Roman" w:cs="Times New Roman" w:hAnsi="Times New Roman"/>
          <w:sz w:val="24"/>
          <w:szCs w:val="24"/>
        </w:rPr>
        <w:t xml:space="preserve">SainCo </w:t>
      </w:r>
      <w:r>
        <w:rPr>
          <w:rFonts w:ascii="Times New Roman" w:cs="Times New Roman" w:hAnsi="Times New Roman"/>
          <w:sz w:val="24"/>
          <w:szCs w:val="24"/>
        </w:rPr>
        <w:t xml:space="preserve">'s "Innovation Olympics" encourages employees to propose innovative ideas to improve operational efficiency or customer experience. This initiative </w:t>
      </w:r>
      <w:r>
        <w:rPr>
          <w:rFonts w:ascii="Times New Roman" w:cs="Times New Roman" w:hAnsi="Times New Roman"/>
          <w:sz w:val="24"/>
          <w:szCs w:val="24"/>
        </w:rPr>
        <w:t>not only fuels employee engagement but also leads to tangible improvements in productivity and customer satisfaction metrics.</w:t>
      </w:r>
    </w:p>
    <w:p>
      <w:pPr>
        <w:pStyle w:val="style0"/>
        <w:numPr>
          <w:ilvl w:val="0"/>
          <w:numId w:val="12"/>
        </w:numPr>
        <w:rPr>
          <w:rFonts w:ascii="Times New Roman" w:cs="Times New Roman" w:hAnsi="Times New Roman"/>
          <w:sz w:val="24"/>
          <w:szCs w:val="24"/>
        </w:rPr>
      </w:pPr>
      <w:r>
        <w:rPr>
          <w:rFonts w:ascii="Times New Roman" w:cs="Times New Roman" w:hAnsi="Times New Roman"/>
          <w:b/>
          <w:bCs/>
          <w:sz w:val="24"/>
          <w:szCs w:val="24"/>
        </w:rPr>
        <w:t>Diversity and Inclusion Initiatives</w:t>
      </w:r>
    </w:p>
    <w:p>
      <w:pPr>
        <w:pStyle w:val="style0"/>
        <w:numPr>
          <w:ilvl w:val="1"/>
          <w:numId w:val="12"/>
        </w:numPr>
        <w:rPr>
          <w:rFonts w:ascii="Times New Roman" w:cs="Times New Roman" w:hAnsi="Times New Roman"/>
          <w:sz w:val="24"/>
          <w:szCs w:val="24"/>
        </w:rPr>
      </w:pPr>
      <w:r>
        <w:rPr>
          <w:rFonts w:ascii="Times New Roman" w:cs="Times New Roman" w:hAnsi="Times New Roman"/>
          <w:sz w:val="24"/>
          <w:szCs w:val="24"/>
        </w:rPr>
        <w:t>SainCo</w:t>
      </w:r>
      <w:r>
        <w:rPr>
          <w:rFonts w:ascii="Times New Roman" w:cs="Times New Roman" w:hAnsi="Times New Roman"/>
          <w:sz w:val="24"/>
          <w:szCs w:val="24"/>
        </w:rPr>
        <w:t xml:space="preserve"> has emphasized diversity and inclusion through various programs, such as the "Women in Leadership" initiative, aiming to increase gender diversity in leadership roles. By addressing diversity issues, </w:t>
      </w:r>
      <w:r>
        <w:rPr>
          <w:rFonts w:ascii="Times New Roman" w:cs="Times New Roman" w:hAnsi="Times New Roman"/>
          <w:sz w:val="24"/>
          <w:szCs w:val="24"/>
        </w:rPr>
        <w:t>SainCo</w:t>
      </w:r>
      <w:r>
        <w:rPr>
          <w:rFonts w:ascii="Times New Roman" w:cs="Times New Roman" w:hAnsi="Times New Roman"/>
          <w:sz w:val="24"/>
          <w:szCs w:val="24"/>
        </w:rPr>
        <w:t xml:space="preserve"> enhances its brand image and attracts a more diverse customer base.</w:t>
      </w:r>
    </w:p>
    <w:p>
      <w:pPr>
        <w:pStyle w:val="style0"/>
        <w:rPr>
          <w:rFonts w:ascii="Times New Roman" w:cs="Times New Roman" w:hAnsi="Times New Roman"/>
          <w:sz w:val="24"/>
          <w:szCs w:val="24"/>
        </w:rPr>
      </w:pPr>
    </w:p>
    <w:bookmarkStart w:id="16" w:name="_Toc153803060"/>
    <w:p>
      <w:pPr>
        <w:pStyle w:val="style1"/>
        <w:rPr>
          <w:rFonts w:ascii="Times New Roman" w:cs="Times New Roman" w:hAnsi="Times New Roman"/>
          <w:b/>
          <w:sz w:val="24"/>
          <w:szCs w:val="24"/>
        </w:rPr>
      </w:pPr>
      <w:r>
        <w:rPr>
          <w:rFonts w:ascii="Times New Roman" w:cs="Times New Roman" w:hAnsi="Times New Roman"/>
          <w:b/>
          <w:sz w:val="24"/>
          <w:szCs w:val="24"/>
        </w:rPr>
        <w:t>5.</w:t>
      </w:r>
      <w:r>
        <w:rPr>
          <w:rFonts w:ascii="Times New Roman" w:cs="Times New Roman" w:hAnsi="Times New Roman"/>
          <w:b/>
          <w:sz w:val="24"/>
          <w:szCs w:val="24"/>
        </w:rPr>
        <w:t xml:space="preserve"> </w:t>
      </w:r>
      <w:r>
        <w:rPr>
          <w:rFonts w:ascii="Times New Roman" w:cs="Times New Roman" w:hAnsi="Times New Roman"/>
          <w:b/>
          <w:sz w:val="24"/>
          <w:szCs w:val="24"/>
        </w:rPr>
        <w:t xml:space="preserve">Implementation Plan for Enhanced Employee Engagement at </w:t>
      </w:r>
      <w:r>
        <w:rPr>
          <w:rFonts w:ascii="Times New Roman" w:cs="Times New Roman" w:hAnsi="Times New Roman"/>
          <w:b/>
          <w:sz w:val="24"/>
          <w:szCs w:val="24"/>
        </w:rPr>
        <w:t>SainCo</w:t>
      </w:r>
      <w:bookmarkEnd w:id="16"/>
    </w:p>
    <w:p>
      <w:pPr>
        <w:pStyle w:val="style0"/>
        <w:ind w:left="360"/>
        <w:rPr>
          <w:b/>
          <w:color w:val="000000"/>
        </w:rPr>
      </w:pPr>
    </w:p>
    <w:bookmarkStart w:id="17" w:name="_Toc153803061"/>
    <w:p>
      <w:pPr>
        <w:pStyle w:val="style2"/>
        <w:rPr>
          <w:rFonts w:ascii="Times New Roman" w:cs="Times New Roman" w:hAnsi="Times New Roman"/>
          <w:b/>
          <w:color w:val="000000"/>
          <w:sz w:val="24"/>
          <w:szCs w:val="24"/>
        </w:rPr>
      </w:pPr>
      <w:r>
        <w:rPr>
          <w:rFonts w:ascii="Times New Roman" w:cs="Times New Roman" w:hAnsi="Times New Roman"/>
          <w:b/>
          <w:color w:val="000000"/>
          <w:sz w:val="24"/>
          <w:szCs w:val="24"/>
        </w:rPr>
        <w:t>5.1 Step-by-Step Strategy Implementation</w:t>
      </w:r>
      <w:bookmarkEnd w:id="17"/>
    </w:p>
    <w:p>
      <w:pPr>
        <w:pStyle w:val="style0"/>
        <w:rPr/>
      </w:pPr>
    </w:p>
    <w:p>
      <w:pPr>
        <w:pStyle w:val="style0"/>
        <w:rPr>
          <w:rFonts w:ascii="Times New Roman" w:cs="Times New Roman" w:hAnsi="Times New Roman"/>
          <w:sz w:val="24"/>
          <w:szCs w:val="24"/>
        </w:rPr>
      </w:pPr>
      <w:r>
        <w:rPr>
          <w:rFonts w:ascii="Times New Roman" w:cs="Times New Roman" w:hAnsi="Times New Roman"/>
          <w:sz w:val="24"/>
          <w:szCs w:val="24"/>
        </w:rPr>
        <w:t xml:space="preserve">Initiation and Planning Phase: To ensure the successful execution of enhanced engagement strategies, </w:t>
      </w:r>
      <w:r>
        <w:rPr>
          <w:rFonts w:ascii="Times New Roman" w:cs="Times New Roman" w:hAnsi="Times New Roman"/>
          <w:sz w:val="24"/>
          <w:szCs w:val="24"/>
        </w:rPr>
        <w:t>SainCo</w:t>
      </w:r>
      <w:r>
        <w:rPr>
          <w:rFonts w:ascii="Times New Roman" w:cs="Times New Roman" w:hAnsi="Times New Roman"/>
          <w:sz w:val="24"/>
          <w:szCs w:val="24"/>
        </w:rPr>
        <w:t xml:space="preserve"> will follow a structured approach:</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Establishing a Detailed Timeline</w:t>
      </w:r>
      <w:r>
        <w:rPr>
          <w:rFonts w:ascii="Times New Roman" w:cs="Times New Roman" w:hAnsi="Times New Roman"/>
          <w:sz w:val="24"/>
          <w:szCs w:val="24"/>
        </w:rPr>
        <w:t xml:space="preserve">: This phase involves creating a comprehensive timeline outlining the sequential rollout of each engagement strategy. It will include specific start and end dates for each strategy, allowing </w:t>
      </w:r>
      <w:r>
        <w:rPr>
          <w:rFonts w:ascii="Times New Roman" w:cs="Times New Roman" w:hAnsi="Times New Roman"/>
          <w:sz w:val="24"/>
          <w:szCs w:val="24"/>
        </w:rPr>
        <w:t>SainCo</w:t>
      </w:r>
      <w:r>
        <w:rPr>
          <w:rFonts w:ascii="Times New Roman" w:cs="Times New Roman" w:hAnsi="Times New Roman"/>
          <w:sz w:val="24"/>
          <w:szCs w:val="24"/>
        </w:rPr>
        <w:t xml:space="preserve"> to monitor progress and make necessary adjustments promptly. For instance, the timeline could encompass the launch of communication enhancements, training programs, and the gradual implementation of rewards systems over specified periods.</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Identifying Specific Goals and Objectives</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will set SMART (Specific, Measurable, Achievable, Relevant, Time-bound) goals and objectives for each phase of the implementation process. For instance, one goal could be to achieve a 20% increase in employee participation in decision-making processes within six months. These clearly defined objectives will provide direction and benchmarks to gauge the success of the engagement strategies at different intervals.</w:t>
      </w:r>
    </w:p>
    <w:p>
      <w:pPr>
        <w:pStyle w:val="style0"/>
        <w:rPr>
          <w:rFonts w:ascii="Times New Roman" w:cs="Times New Roman" w:hAnsi="Times New Roman"/>
          <w:sz w:val="24"/>
          <w:szCs w:val="24"/>
        </w:rPr>
      </w:pPr>
      <w:r>
        <w:rPr>
          <w:rFonts w:ascii="Times New Roman" w:cs="Times New Roman" w:hAnsi="Times New Roman"/>
          <w:sz w:val="24"/>
          <w:szCs w:val="24"/>
        </w:rPr>
        <w:t>Stakeholder Identification and Engagement: Engagement with key stakeholders is crucial to ensure commitment and cooperation throughout the implementation process:</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Identifying Key Stakeholders</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will recognize stakeholders across various levels of the organization. Senior management, HR personnel, department heads, and frontline employees will be engaged in discussions to ensure their perspectives, concerns, and contributions are integrated into the implementation plan.</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Roles and Responsibilities</w:t>
      </w:r>
      <w:r>
        <w:rPr>
          <w:rFonts w:ascii="Times New Roman" w:cs="Times New Roman" w:hAnsi="Times New Roman"/>
          <w:sz w:val="24"/>
          <w:szCs w:val="24"/>
        </w:rPr>
        <w:t>: Defining the specific roles and responsibilities of each stakeholder involved is critical. This clarity ensures that everyone understands their contribution to the implementation process. For example, HR might be responsible for coordinating training programs, while department heads could play a role in cascading information down to their respective teams.</w:t>
      </w:r>
    </w:p>
    <w:p>
      <w:pPr>
        <w:pStyle w:val="style0"/>
        <w:rPr>
          <w:rFonts w:ascii="Times New Roman" w:cs="Times New Roman" w:hAnsi="Times New Roman"/>
          <w:sz w:val="24"/>
          <w:szCs w:val="24"/>
        </w:rPr>
      </w:pPr>
      <w:r>
        <w:rPr>
          <w:rFonts w:ascii="Times New Roman" w:cs="Times New Roman" w:hAnsi="Times New Roman"/>
          <w:sz w:val="24"/>
          <w:szCs w:val="24"/>
        </w:rPr>
        <w:t>Communication Strategy and Training: Effective communication and training are pivotal for successful implementation:</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Comprehensive Communication Plan</w:t>
      </w:r>
      <w:r>
        <w:rPr>
          <w:rFonts w:ascii="Times New Roman" w:cs="Times New Roman" w:hAnsi="Times New Roman"/>
          <w:sz w:val="24"/>
          <w:szCs w:val="24"/>
        </w:rPr>
        <w:t xml:space="preserve">: </w:t>
      </w:r>
      <w:r>
        <w:rPr>
          <w:rFonts w:ascii="Times New Roman" w:cs="Times New Roman" w:hAnsi="Times New Roman"/>
          <w:sz w:val="24"/>
          <w:szCs w:val="24"/>
        </w:rPr>
        <w:t>SainCo</w:t>
      </w:r>
      <w:r>
        <w:rPr>
          <w:rFonts w:ascii="Times New Roman" w:cs="Times New Roman" w:hAnsi="Times New Roman"/>
          <w:sz w:val="24"/>
          <w:szCs w:val="24"/>
        </w:rPr>
        <w:t xml:space="preserve"> will develop a well-structured communication plan detailing how information regarding the new engagement initiatives will be disseminated. The plan will utilize various channels such as company newsletters, intranet portals, team meetings, and workshops. It will ensure that all employees are informed about the strategies, their objectives, and the expected outcomes.</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Training Program Development</w:t>
      </w:r>
      <w:r>
        <w:rPr>
          <w:rFonts w:ascii="Times New Roman" w:cs="Times New Roman" w:hAnsi="Times New Roman"/>
          <w:sz w:val="24"/>
          <w:szCs w:val="24"/>
        </w:rPr>
        <w:t>: A tailored training program will be designed to equip managers and employees with the necessary skills to actively participate in the new initiatives. These programs will focus on communication skills, adaptive leadership, conflict resolution, team building, and any other skills identified as essential for effective engagement.</w:t>
      </w:r>
    </w:p>
    <w:p>
      <w:pPr>
        <w:pStyle w:val="style0"/>
        <w:rPr>
          <w:rFonts w:ascii="Times New Roman" w:cs="Times New Roman" w:hAnsi="Times New Roman"/>
          <w:sz w:val="24"/>
          <w:szCs w:val="24"/>
        </w:rPr>
      </w:pPr>
    </w:p>
    <w:p>
      <w:pPr>
        <w:pStyle w:val="style0"/>
        <w:rPr>
          <w:rFonts w:ascii="Times New Roman" w:cs="Times New Roman" w:hAnsi="Times New Roman"/>
          <w:b/>
          <w:color w:val="000000"/>
          <w:sz w:val="24"/>
          <w:szCs w:val="24"/>
        </w:rPr>
      </w:pPr>
      <w:r>
        <w:rPr>
          <w:rFonts w:ascii="Times New Roman" w:cs="Times New Roman" w:hAnsi="Times New Roman"/>
          <w:b/>
          <w:color w:val="000000"/>
          <w:sz w:val="24"/>
          <w:szCs w:val="24"/>
        </w:rPr>
        <w:t>5.2 Key Stakeholders and Their Roles</w:t>
      </w:r>
    </w:p>
    <w:p>
      <w:pPr>
        <w:pStyle w:val="style0"/>
        <w:rPr>
          <w:rFonts w:ascii="Times New Roman" w:cs="Times New Roman" w:hAnsi="Times New Roman"/>
          <w:sz w:val="24"/>
          <w:szCs w:val="24"/>
        </w:rPr>
      </w:pPr>
      <w:r>
        <w:rPr>
          <w:rFonts w:ascii="Times New Roman" w:cs="Times New Roman" w:hAnsi="Times New Roman"/>
          <w:sz w:val="24"/>
          <w:szCs w:val="24"/>
        </w:rPr>
        <w:t xml:space="preserve">Senior Leadership: The senior leadership at </w:t>
      </w:r>
      <w:r>
        <w:rPr>
          <w:rFonts w:ascii="Times New Roman" w:cs="Times New Roman" w:hAnsi="Times New Roman"/>
          <w:sz w:val="24"/>
          <w:szCs w:val="24"/>
        </w:rPr>
        <w:t>SainCo</w:t>
      </w:r>
      <w:r>
        <w:rPr>
          <w:rFonts w:ascii="Times New Roman" w:cs="Times New Roman" w:hAnsi="Times New Roman"/>
          <w:sz w:val="24"/>
          <w:szCs w:val="24"/>
        </w:rPr>
        <w:t xml:space="preserve"> plays a pivotal role in steering the engagement initiatives:</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Strategic Direction and Resource Allocation</w:t>
      </w:r>
      <w:r>
        <w:rPr>
          <w:rFonts w:ascii="Times New Roman" w:cs="Times New Roman" w:hAnsi="Times New Roman"/>
          <w:sz w:val="24"/>
          <w:szCs w:val="24"/>
        </w:rPr>
        <w:t>: They are responsible for providing strategic guidance, highlighting the significance of employee engagement, and endorsing the resources required for the successful execution of the program. This includes budget allocation, technological support, and structural adjustments necessary for implementation.</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Supporting Middle Management</w:t>
      </w:r>
      <w:r>
        <w:rPr>
          <w:rFonts w:ascii="Times New Roman" w:cs="Times New Roman" w:hAnsi="Times New Roman"/>
          <w:sz w:val="24"/>
          <w:szCs w:val="24"/>
        </w:rPr>
        <w:t xml:space="preserve">: Senior leaders act as advocates for engagement, guiding and empowering middle management in implementing strategies effectively. They provide guidance, encouragement, and necessary assistance to ensure alignment with </w:t>
      </w:r>
      <w:r>
        <w:rPr>
          <w:rFonts w:ascii="Times New Roman" w:cs="Times New Roman" w:hAnsi="Times New Roman"/>
          <w:sz w:val="24"/>
          <w:szCs w:val="24"/>
        </w:rPr>
        <w:t xml:space="preserve">SainCo </w:t>
      </w:r>
      <w:r>
        <w:rPr>
          <w:rFonts w:ascii="Times New Roman" w:cs="Times New Roman" w:hAnsi="Times New Roman"/>
          <w:sz w:val="24"/>
          <w:szCs w:val="24"/>
        </w:rPr>
        <w:t>'s overarching goals.</w:t>
      </w:r>
    </w:p>
    <w:p>
      <w:pPr>
        <w:pStyle w:val="style0"/>
        <w:rPr>
          <w:rFonts w:ascii="Times New Roman" w:cs="Times New Roman" w:hAnsi="Times New Roman"/>
          <w:sz w:val="24"/>
          <w:szCs w:val="24"/>
        </w:rPr>
      </w:pPr>
      <w:r>
        <w:rPr>
          <w:rFonts w:ascii="Times New Roman" w:cs="Times New Roman" w:hAnsi="Times New Roman"/>
          <w:sz w:val="24"/>
          <w:szCs w:val="24"/>
        </w:rPr>
        <w:t>Middle Management: Middle managers are key influencers in fostering engagement at the operational level:</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Cascading Engagement Strategies</w:t>
      </w:r>
      <w:r>
        <w:rPr>
          <w:rFonts w:ascii="Times New Roman" w:cs="Times New Roman" w:hAnsi="Times New Roman"/>
          <w:sz w:val="24"/>
          <w:szCs w:val="24"/>
        </w:rPr>
        <w:t>: They play a crucial role in disseminating the engagement strategies across various levels of the organization. Middle managers ensure that the goals, objectives, and expected outcomes of the engagement initiatives are communicated effectively to their teams.</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Cultural Development and Alignment</w:t>
      </w:r>
      <w:r>
        <w:rPr>
          <w:rFonts w:ascii="Times New Roman" w:cs="Times New Roman" w:hAnsi="Times New Roman"/>
          <w:sz w:val="24"/>
          <w:szCs w:val="24"/>
        </w:rPr>
        <w:t xml:space="preserve">: They are responsible for cultivating an engaged culture within their respective teams. Middle managers align team goals and individual objectives with the broader organizational objectives, emphasizing the importance of employee contributions toward </w:t>
      </w:r>
      <w:r>
        <w:rPr>
          <w:rFonts w:ascii="Times New Roman" w:cs="Times New Roman" w:hAnsi="Times New Roman"/>
          <w:sz w:val="24"/>
          <w:szCs w:val="24"/>
        </w:rPr>
        <w:t xml:space="preserve">SainCo </w:t>
      </w:r>
      <w:r>
        <w:rPr>
          <w:rFonts w:ascii="Times New Roman" w:cs="Times New Roman" w:hAnsi="Times New Roman"/>
          <w:sz w:val="24"/>
          <w:szCs w:val="24"/>
        </w:rPr>
        <w:t>'s success.</w:t>
      </w:r>
    </w:p>
    <w:p>
      <w:pPr>
        <w:pStyle w:val="style0"/>
        <w:rPr>
          <w:rFonts w:ascii="Times New Roman" w:cs="Times New Roman" w:hAnsi="Times New Roman"/>
          <w:sz w:val="24"/>
          <w:szCs w:val="24"/>
        </w:rPr>
      </w:pPr>
      <w:r>
        <w:rPr>
          <w:rFonts w:ascii="Times New Roman" w:cs="Times New Roman" w:hAnsi="Times New Roman"/>
          <w:sz w:val="24"/>
          <w:szCs w:val="24"/>
        </w:rPr>
        <w:t>HR Department: The HR department plays a central role in facilitating and monitoring the engagement strategies:</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Implementation Facilitation</w:t>
      </w:r>
      <w:r>
        <w:rPr>
          <w:rFonts w:ascii="Times New Roman" w:cs="Times New Roman" w:hAnsi="Times New Roman"/>
          <w:sz w:val="24"/>
          <w:szCs w:val="24"/>
        </w:rPr>
        <w:t>: HR oversees the technical aspects of strategy implementation. They are responsible for ensuring that the plans are executed as per the outlined timeline, coordinating with various departments to overcome logistical hurdles, and addressing any operational challenges that may arise.</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Designing Training and Communication Strategies</w:t>
      </w:r>
      <w:r>
        <w:rPr>
          <w:rFonts w:ascii="Times New Roman" w:cs="Times New Roman" w:hAnsi="Times New Roman"/>
          <w:sz w:val="24"/>
          <w:szCs w:val="24"/>
        </w:rPr>
        <w:t xml:space="preserve">: HR collaborates closely with managers to design and execute training programs aimed at equipping employees with the </w:t>
      </w:r>
      <w:r>
        <w:rPr>
          <w:rFonts w:ascii="Times New Roman" w:cs="Times New Roman" w:hAnsi="Times New Roman"/>
          <w:sz w:val="24"/>
          <w:szCs w:val="24"/>
        </w:rPr>
        <w:t>necessary skills to engage effectively. Additionally, they develop comprehensive communication strategies to ensure that the initiatives are communicated clearly and consistently to all employees.</w:t>
      </w:r>
    </w:p>
    <w:p>
      <w:pPr>
        <w:pStyle w:val="style0"/>
        <w:rPr>
          <w:rFonts w:ascii="Times New Roman" w:cs="Times New Roman" w:hAnsi="Times New Roman"/>
          <w:b/>
          <w:color w:val="000000"/>
          <w:sz w:val="24"/>
          <w:szCs w:val="24"/>
        </w:rPr>
      </w:pPr>
      <w:r>
        <w:rPr>
          <w:rFonts w:ascii="Times New Roman" w:cs="Times New Roman" w:hAnsi="Times New Roman"/>
          <w:b/>
          <w:color w:val="000000"/>
          <w:sz w:val="24"/>
          <w:szCs w:val="24"/>
        </w:rPr>
        <w:t>5.3 Addressing Potential Challenges and Mitigation Strategies</w:t>
      </w:r>
    </w:p>
    <w:p>
      <w:pPr>
        <w:pStyle w:val="style0"/>
        <w:rPr>
          <w:rFonts w:ascii="Times New Roman" w:cs="Times New Roman" w:hAnsi="Times New Roman"/>
          <w:sz w:val="24"/>
          <w:szCs w:val="24"/>
        </w:rPr>
      </w:pPr>
      <w:r>
        <w:rPr>
          <w:rFonts w:ascii="Times New Roman" w:cs="Times New Roman" w:hAnsi="Times New Roman"/>
          <w:sz w:val="24"/>
          <w:szCs w:val="24"/>
        </w:rPr>
        <w:t>Resistance to Change: Resistance is natural when implementing new initiatives. Strategies to overcome this could include:</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Effective Communication and Education</w:t>
      </w:r>
      <w:r>
        <w:rPr>
          <w:rFonts w:ascii="Times New Roman" w:cs="Times New Roman" w:hAnsi="Times New Roman"/>
          <w:sz w:val="24"/>
          <w:szCs w:val="24"/>
        </w:rPr>
        <w:t>: Implement a comprehensive communication plan outlining the benefits and rationale behind the engagement initiatives. Engage employees through workshops, town hall meetings, and regular updates to address concerns and educate them about the positive outcomes expected from the changes.</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Involvement and Participation</w:t>
      </w:r>
      <w:r>
        <w:rPr>
          <w:rFonts w:ascii="Times New Roman" w:cs="Times New Roman" w:hAnsi="Times New Roman"/>
          <w:sz w:val="24"/>
          <w:szCs w:val="24"/>
        </w:rPr>
        <w:t>: Encourage employee involvement in the planning and decision-making processes. Seek feedback, incorporate suggestions, and involve employees in designing aspects of the engagement strategies. This participation fosters ownership and diminishes resistance.</w:t>
      </w:r>
    </w:p>
    <w:p>
      <w:pPr>
        <w:pStyle w:val="style0"/>
        <w:rPr>
          <w:rFonts w:ascii="Times New Roman" w:cs="Times New Roman" w:hAnsi="Times New Roman"/>
          <w:sz w:val="24"/>
          <w:szCs w:val="24"/>
        </w:rPr>
      </w:pPr>
      <w:r>
        <w:rPr>
          <w:rFonts w:ascii="Times New Roman" w:cs="Times New Roman" w:hAnsi="Times New Roman"/>
          <w:sz w:val="24"/>
          <w:szCs w:val="24"/>
        </w:rPr>
        <w:t>Lack of Resources: Resource constraints might hinder smooth implementation. Mitigation strategies could involve:</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Resource Optimization</w:t>
      </w:r>
      <w:r>
        <w:rPr>
          <w:rFonts w:ascii="Times New Roman" w:cs="Times New Roman" w:hAnsi="Times New Roman"/>
          <w:sz w:val="24"/>
          <w:szCs w:val="24"/>
        </w:rPr>
        <w:t>: Identify areas where existing resources can be utilized more effectively. Prioritize initiatives based on their impact and feasibility within the available resources to maximize output.</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Seeking Additional Support</w:t>
      </w:r>
      <w:r>
        <w:rPr>
          <w:rFonts w:ascii="Times New Roman" w:cs="Times New Roman" w:hAnsi="Times New Roman"/>
          <w:sz w:val="24"/>
          <w:szCs w:val="24"/>
        </w:rPr>
        <w:t>: If required, explore avenues for additional support or resources. This could involve collaborating with external partners, reallocating budgets, or seeking management approval for additional resources necessary for critical aspects of the engagement plan.</w:t>
      </w:r>
    </w:p>
    <w:p>
      <w:pPr>
        <w:pStyle w:val="style0"/>
        <w:rPr>
          <w:rFonts w:ascii="Times New Roman" w:cs="Times New Roman" w:hAnsi="Times New Roman"/>
          <w:sz w:val="24"/>
          <w:szCs w:val="24"/>
        </w:rPr>
      </w:pPr>
      <w:r>
        <w:rPr>
          <w:rFonts w:ascii="Times New Roman" w:cs="Times New Roman" w:hAnsi="Times New Roman"/>
          <w:sz w:val="24"/>
          <w:szCs w:val="24"/>
        </w:rPr>
        <w:t>Monitoring and Adaptation: Continuous monitoring and adaptation are crucial for the success of engagement initiatives:</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Establish Feedback Mechanisms</w:t>
      </w:r>
      <w:r>
        <w:rPr>
          <w:rFonts w:ascii="Times New Roman" w:cs="Times New Roman" w:hAnsi="Times New Roman"/>
          <w:sz w:val="24"/>
          <w:szCs w:val="24"/>
        </w:rPr>
        <w:t xml:space="preserve">: Implement a structured feedback system to collect regular input from employees regarding their experiences with the new engagement strategies. This feedback loop enables </w:t>
      </w:r>
      <w:r>
        <w:rPr>
          <w:rFonts w:ascii="Times New Roman" w:cs="Times New Roman" w:hAnsi="Times New Roman"/>
          <w:sz w:val="24"/>
          <w:szCs w:val="24"/>
        </w:rPr>
        <w:t>SainCo</w:t>
      </w:r>
      <w:r>
        <w:rPr>
          <w:rFonts w:ascii="Times New Roman" w:cs="Times New Roman" w:hAnsi="Times New Roman"/>
          <w:sz w:val="24"/>
          <w:szCs w:val="24"/>
        </w:rPr>
        <w:t xml:space="preserve"> to identify challenges early and make necessary adjustments.</w:t>
      </w:r>
    </w:p>
    <w:p>
      <w:pPr>
        <w:pStyle w:val="style0"/>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b/>
          <w:bCs/>
          <w:sz w:val="24"/>
          <w:szCs w:val="24"/>
        </w:rPr>
        <w:t>Agile Adaptation</w:t>
      </w:r>
      <w:r>
        <w:rPr>
          <w:rFonts w:ascii="Times New Roman" w:cs="Times New Roman" w:hAnsi="Times New Roman"/>
          <w:sz w:val="24"/>
          <w:szCs w:val="24"/>
        </w:rPr>
        <w:t>: Use the feedback collected to adapt strategies promptly. Remain flexible in modifying the implementation plan based on evolving needs, emerging challenges, or unforeseen obstacles to ensure continuous improvement.</w:t>
      </w:r>
    </w:p>
    <w:bookmarkStart w:id="18" w:name="_Toc153803062"/>
    <w:p>
      <w:pPr>
        <w:pStyle w:val="style2"/>
        <w:rPr>
          <w:rFonts w:ascii="Times New Roman" w:cs="Times New Roman" w:hAnsi="Times New Roman"/>
          <w:b/>
          <w:color w:val="000000"/>
          <w:sz w:val="24"/>
          <w:szCs w:val="24"/>
        </w:rPr>
      </w:pPr>
      <w:r>
        <w:rPr>
          <w:rFonts w:ascii="Times New Roman" w:cs="Times New Roman" w:hAnsi="Times New Roman"/>
          <w:b/>
          <w:color w:val="000000"/>
          <w:sz w:val="24"/>
          <w:szCs w:val="24"/>
        </w:rPr>
        <w:t>6.1 Key Performance Indicators (KPIs) and Metrics</w:t>
      </w:r>
      <w:bookmarkEnd w:id="18"/>
    </w:p>
    <w:p>
      <w:pPr>
        <w:pStyle w:val="style0"/>
        <w:rPr>
          <w:rFonts w:ascii="Times New Roman" w:cs="Times New Roman" w:hAnsi="Times New Roman"/>
          <w:sz w:val="24"/>
          <w:szCs w:val="24"/>
        </w:rPr>
      </w:pPr>
      <w:r>
        <w:rPr>
          <w:rFonts w:ascii="Times New Roman" w:cs="Times New Roman" w:hAnsi="Times New Roman"/>
          <w:sz w:val="24"/>
          <w:szCs w:val="24"/>
        </w:rPr>
        <w:t>Employee Satisfaction Metrics:</w:t>
      </w:r>
    </w:p>
    <w:p>
      <w:pPr>
        <w:pStyle w:val="style0"/>
        <w:rPr>
          <w:rFonts w:ascii="Times New Roman" w:cs="Times New Roman" w:hAnsi="Times New Roman"/>
          <w:sz w:val="24"/>
          <w:szCs w:val="24"/>
        </w:rPr>
      </w:pPr>
      <w:r>
        <w:rPr>
          <w:rFonts w:ascii="Times New Roman" w:cs="Times New Roman" w:hAnsi="Times New Roman"/>
          <w:sz w:val="24"/>
          <w:szCs w:val="24"/>
        </w:rPr>
        <w:t xml:space="preserve"> Regular Surveys: </w:t>
      </w:r>
    </w:p>
    <w:p>
      <w:pPr>
        <w:pStyle w:val="style0"/>
        <w:rPr>
          <w:rFonts w:ascii="Times New Roman" w:cs="Times New Roman" w:hAnsi="Times New Roman"/>
          <w:sz w:val="24"/>
          <w:szCs w:val="24"/>
        </w:rPr>
      </w:pPr>
      <w:r>
        <w:rPr>
          <w:rFonts w:ascii="Times New Roman" w:cs="Times New Roman" w:hAnsi="Times New Roman"/>
          <w:sz w:val="24"/>
          <w:szCs w:val="24"/>
        </w:rPr>
        <w:t xml:space="preserve">• Conducting periodic surveys (quarterly, semi-annually, or annually) to assess employee satisfaction levels. These surveys should encompass diverse aspects such as workplace culture, job roles, work-life balance, and the effectiveness of engagement programs. Utilizing standardized scales or Likert-type questions can quantify responses. </w:t>
      </w:r>
    </w:p>
    <w:p>
      <w:pPr>
        <w:pStyle w:val="style0"/>
        <w:rPr>
          <w:rFonts w:ascii="Times New Roman" w:cs="Times New Roman" w:hAnsi="Times New Roman"/>
          <w:sz w:val="24"/>
          <w:szCs w:val="24"/>
        </w:rPr>
      </w:pPr>
      <w:r>
        <w:rPr>
          <w:rFonts w:ascii="Times New Roman" w:cs="Times New Roman" w:hAnsi="Times New Roman"/>
          <w:sz w:val="24"/>
          <w:szCs w:val="24"/>
        </w:rPr>
        <w:t>• Analysing survey results over time to identify trends, areas for improvement, and correlations between satisfaction and engagement initiatives.</w:t>
      </w:r>
    </w:p>
    <w:p>
      <w:pPr>
        <w:pStyle w:val="style0"/>
        <w:rPr>
          <w:rFonts w:ascii="Times New Roman" w:cs="Times New Roman" w:hAnsi="Times New Roman"/>
          <w:sz w:val="24"/>
          <w:szCs w:val="24"/>
        </w:rPr>
      </w:pPr>
      <w:r>
        <w:rPr>
          <w:rFonts w:ascii="Times New Roman" w:cs="Times New Roman" w:hAnsi="Times New Roman"/>
          <w:sz w:val="24"/>
          <w:szCs w:val="24"/>
        </w:rPr>
        <w:t>Net Promoter Score (NPS):</w:t>
      </w:r>
    </w:p>
    <w:p>
      <w:pPr>
        <w:pStyle w:val="style0"/>
        <w:rPr>
          <w:rFonts w:ascii="Times New Roman" w:cs="Times New Roman" w:hAnsi="Times New Roman"/>
          <w:sz w:val="24"/>
          <w:szCs w:val="24"/>
        </w:rPr>
      </w:pPr>
      <w:r>
        <w:rPr>
          <w:rFonts w:ascii="Times New Roman" w:cs="Times New Roman" w:hAnsi="Times New Roman"/>
          <w:sz w:val="24"/>
          <w:szCs w:val="24"/>
        </w:rPr>
        <w:t xml:space="preserve"> • Implementing an NPS survey to gauge how likely employees are to recommend </w:t>
      </w:r>
      <w:r>
        <w:rPr>
          <w:rFonts w:ascii="Times New Roman" w:cs="Times New Roman" w:hAnsi="Times New Roman"/>
          <w:sz w:val="24"/>
          <w:szCs w:val="24"/>
        </w:rPr>
        <w:t>SainCo</w:t>
      </w:r>
      <w:r>
        <w:rPr>
          <w:rFonts w:ascii="Times New Roman" w:cs="Times New Roman" w:hAnsi="Times New Roman"/>
          <w:sz w:val="24"/>
          <w:szCs w:val="24"/>
        </w:rPr>
        <w:t xml:space="preserve"> as a workplace to others. This scale typically ranges from 0 to 10, with respondents categorized as promoters (9-10), passives (7-8), or detractors (0-6). Calculating the NPS helps in understanding the overall employee sentiment and loyalty.</w:t>
      </w:r>
    </w:p>
    <w:p>
      <w:pPr>
        <w:pStyle w:val="style0"/>
        <w:rPr>
          <w:rFonts w:ascii="Times New Roman" w:cs="Times New Roman" w:hAnsi="Times New Roman"/>
          <w:sz w:val="24"/>
          <w:szCs w:val="24"/>
        </w:rPr>
      </w:pPr>
      <w:r>
        <w:rPr>
          <w:rFonts w:ascii="Times New Roman" w:cs="Times New Roman" w:hAnsi="Times New Roman"/>
          <w:sz w:val="24"/>
          <w:szCs w:val="24"/>
        </w:rPr>
        <w:t xml:space="preserve">Performance and Productivity Indicators: Goal-Aligned Performance Metrics: </w:t>
      </w:r>
    </w:p>
    <w:p>
      <w:pPr>
        <w:pStyle w:val="style0"/>
        <w:rPr>
          <w:rFonts w:ascii="Times New Roman" w:cs="Times New Roman" w:hAnsi="Times New Roman"/>
          <w:sz w:val="24"/>
          <w:szCs w:val="24"/>
        </w:rPr>
      </w:pPr>
      <w:r>
        <w:rPr>
          <w:rFonts w:ascii="Times New Roman" w:cs="Times New Roman" w:hAnsi="Times New Roman"/>
          <w:sz w:val="24"/>
          <w:szCs w:val="24"/>
        </w:rPr>
        <w:t>• Establishing and tracking performance metrics aligned with the objectives of engagement initiatives. For instance, measuring individual or team achievements against predefined goals set in correlation with the engagement programs undertaken. This could involve metrics like sales targets, customer satisfaction ratings, or project completion rates.</w:t>
      </w:r>
    </w:p>
    <w:p>
      <w:pPr>
        <w:pStyle w:val="style0"/>
        <w:rPr>
          <w:rFonts w:ascii="Times New Roman" w:cs="Times New Roman" w:hAnsi="Times New Roman"/>
          <w:sz w:val="24"/>
          <w:szCs w:val="24"/>
        </w:rPr>
      </w:pPr>
      <w:r>
        <w:rPr>
          <w:rFonts w:ascii="Times New Roman" w:cs="Times New Roman" w:hAnsi="Times New Roman"/>
          <w:sz w:val="24"/>
          <w:szCs w:val="24"/>
        </w:rPr>
        <w:t>Productivity Levels:</w:t>
      </w:r>
    </w:p>
    <w:p>
      <w:pPr>
        <w:pStyle w:val="style0"/>
        <w:rPr>
          <w:rFonts w:ascii="Times New Roman" w:cs="Times New Roman" w:hAnsi="Times New Roman"/>
          <w:sz w:val="24"/>
          <w:szCs w:val="24"/>
        </w:rPr>
      </w:pPr>
      <w:r>
        <w:rPr>
          <w:rFonts w:ascii="Times New Roman" w:cs="Times New Roman" w:hAnsi="Times New Roman"/>
          <w:sz w:val="24"/>
          <w:szCs w:val="24"/>
        </w:rPr>
        <w:t xml:space="preserve"> • Comparing productivity metrics before and after the implementation of engagement strategies. This may involve assessing metrics such as output per employee, sales per square foot, or average transaction value. This data helps in evaluating the impact of engagement initiatives on work efficiency and output.</w:t>
      </w:r>
    </w:p>
    <w:p>
      <w:pPr>
        <w:pStyle w:val="style0"/>
        <w:rPr>
          <w:rFonts w:ascii="Times New Roman" w:cs="Times New Roman" w:hAnsi="Times New Roman"/>
          <w:sz w:val="24"/>
          <w:szCs w:val="24"/>
        </w:rPr>
      </w:pPr>
      <w:r>
        <w:rPr>
          <w:rFonts w:ascii="Times New Roman" w:cs="Times New Roman" w:hAnsi="Times New Roman"/>
          <w:sz w:val="24"/>
          <w:szCs w:val="24"/>
        </w:rPr>
        <w:t xml:space="preserve">Employee Retention and Turnover Rates: Retention Metrics: </w:t>
      </w:r>
    </w:p>
    <w:p>
      <w:pPr>
        <w:pStyle w:val="style0"/>
        <w:rPr>
          <w:rFonts w:ascii="Times New Roman" w:cs="Times New Roman" w:hAnsi="Times New Roman"/>
          <w:sz w:val="24"/>
          <w:szCs w:val="24"/>
        </w:rPr>
      </w:pPr>
      <w:r>
        <w:rPr>
          <w:rFonts w:ascii="Times New Roman" w:cs="Times New Roman" w:hAnsi="Times New Roman"/>
          <w:sz w:val="24"/>
          <w:szCs w:val="24"/>
        </w:rPr>
        <w:t>• Monitoring employee retention rates post-engagement strategies' implementation. Retention rates can be measured department-wise or across specific demographics (such as tenure, age group, or job level) to identify potential retention challenges and their correlation with engagement efforts.</w:t>
      </w:r>
    </w:p>
    <w:p>
      <w:pPr>
        <w:pStyle w:val="style0"/>
        <w:rPr>
          <w:rFonts w:ascii="Times New Roman" w:cs="Times New Roman" w:hAnsi="Times New Roman"/>
          <w:sz w:val="24"/>
          <w:szCs w:val="24"/>
        </w:rPr>
      </w:pPr>
      <w:r>
        <w:rPr>
          <w:rFonts w:ascii="Times New Roman" w:cs="Times New Roman" w:hAnsi="Times New Roman"/>
          <w:sz w:val="24"/>
          <w:szCs w:val="24"/>
        </w:rPr>
        <w:t xml:space="preserve">Turnover Rates: </w:t>
      </w:r>
    </w:p>
    <w:p>
      <w:pPr>
        <w:pStyle w:val="style0"/>
        <w:rPr>
          <w:rFonts w:ascii="Times New Roman" w:cs="Times New Roman" w:hAnsi="Times New Roman"/>
          <w:sz w:val="24"/>
          <w:szCs w:val="24"/>
        </w:rPr>
      </w:pPr>
      <w:r>
        <w:rPr>
          <w:rFonts w:ascii="Times New Roman" w:cs="Times New Roman" w:hAnsi="Times New Roman"/>
          <w:sz w:val="24"/>
          <w:szCs w:val="24"/>
        </w:rPr>
        <w:t>• Tracking turnover rates periodically to ascertain if engagement initiatives influence employee retention positively. Comparing pre- and post-implementation turnover rates provides insights into the effectiveness of engagement strategies in retaining talent.</w:t>
      </w:r>
    </w:p>
    <w:p>
      <w:pPr>
        <w:pStyle w:val="style0"/>
        <w:rPr>
          <w:rFonts w:ascii="Times New Roman" w:cs="Times New Roman" w:hAnsi="Times New Roman"/>
          <w:sz w:val="24"/>
          <w:szCs w:val="24"/>
        </w:rPr>
      </w:pPr>
      <w:r>
        <w:rPr>
          <w:rFonts w:ascii="Times New Roman" w:cs="Times New Roman" w:hAnsi="Times New Roman"/>
          <w:sz w:val="24"/>
          <w:szCs w:val="24"/>
        </w:rPr>
        <w:t xml:space="preserve">Feedback and Participation Metrics: Quality of Feedback: </w:t>
      </w:r>
    </w:p>
    <w:p>
      <w:pPr>
        <w:pStyle w:val="style0"/>
        <w:rPr>
          <w:rFonts w:ascii="Times New Roman" w:cs="Times New Roman" w:hAnsi="Times New Roman"/>
          <w:sz w:val="24"/>
          <w:szCs w:val="24"/>
        </w:rPr>
      </w:pPr>
      <w:r>
        <w:rPr>
          <w:rFonts w:ascii="Times New Roman" w:cs="Times New Roman" w:hAnsi="Times New Roman"/>
          <w:sz w:val="24"/>
          <w:szCs w:val="24"/>
        </w:rPr>
        <w:t>• Evaluating the nature and depth of feedback obtained from employees. Analysing the feedback for constructive criticism, actionable suggestions, and patterns aids in understanding the effectiveness and acceptance of implemented engagement strategies.</w:t>
      </w:r>
    </w:p>
    <w:p>
      <w:pPr>
        <w:pStyle w:val="style0"/>
        <w:rPr>
          <w:rFonts w:ascii="Times New Roman" w:cs="Times New Roman" w:hAnsi="Times New Roman"/>
          <w:sz w:val="24"/>
          <w:szCs w:val="24"/>
        </w:rPr>
      </w:pPr>
      <w:r>
        <w:rPr>
          <w:rFonts w:ascii="Times New Roman" w:cs="Times New Roman" w:hAnsi="Times New Roman"/>
          <w:sz w:val="24"/>
          <w:szCs w:val="24"/>
        </w:rPr>
        <w:t xml:space="preserve">Participation Levels: </w:t>
      </w:r>
    </w:p>
    <w:p>
      <w:pPr>
        <w:pStyle w:val="style0"/>
        <w:rPr>
          <w:rFonts w:ascii="Times New Roman" w:cs="Times New Roman" w:hAnsi="Times New Roman"/>
          <w:sz w:val="24"/>
          <w:szCs w:val="24"/>
        </w:rPr>
      </w:pPr>
      <w:r>
        <w:rPr>
          <w:rFonts w:ascii="Times New Roman" w:cs="Times New Roman" w:hAnsi="Times New Roman"/>
          <w:sz w:val="24"/>
          <w:szCs w:val="24"/>
        </w:rPr>
        <w:t>• Measuring the participation rates in engagement-related programs, events, or suggestion schemes. Tracking the number of participants and their engagement levels can highlight the success or areas for improvement in fostering employee involvement.</w:t>
      </w:r>
    </w:p>
    <w:bookmarkStart w:id="19" w:name="_Toc153803063"/>
    <w:p>
      <w:pPr>
        <w:pStyle w:val="style2"/>
        <w:rPr>
          <w:rFonts w:ascii="Times New Roman" w:cs="Times New Roman" w:hAnsi="Times New Roman"/>
          <w:b/>
          <w:color w:val="000000"/>
          <w:sz w:val="24"/>
          <w:szCs w:val="24"/>
        </w:rPr>
      </w:pPr>
      <w:r>
        <w:rPr>
          <w:rFonts w:ascii="Times New Roman" w:cs="Times New Roman" w:hAnsi="Times New Roman"/>
          <w:b/>
          <w:color w:val="000000"/>
          <w:sz w:val="24"/>
          <w:szCs w:val="24"/>
        </w:rPr>
        <w:t>6.2 Framework for Ongoing Evaluation</w:t>
      </w:r>
      <w:bookmarkEnd w:id="19"/>
    </w:p>
    <w:p>
      <w:pPr>
        <w:pStyle w:val="style0"/>
        <w:rPr/>
      </w:pPr>
    </w:p>
    <w:p>
      <w:pPr>
        <w:pStyle w:val="style0"/>
        <w:rPr>
          <w:rFonts w:ascii="Times New Roman" w:cs="Times New Roman" w:hAnsi="Times New Roman"/>
          <w:sz w:val="24"/>
          <w:szCs w:val="24"/>
        </w:rPr>
      </w:pPr>
      <w:r>
        <w:rPr>
          <w:rFonts w:ascii="Times New Roman" w:cs="Times New Roman" w:hAnsi="Times New Roman"/>
          <w:sz w:val="24"/>
          <w:szCs w:val="24"/>
        </w:rPr>
        <w:t xml:space="preserve">Regular Assessments: Periodic Evaluation: Regular and structured evaluations play a pivotal role in assessing the effectiveness of employee engagement initiatives. By employing </w:t>
      </w:r>
      <w:r>
        <w:rPr>
          <w:rFonts w:ascii="Times New Roman" w:cs="Times New Roman" w:hAnsi="Times New Roman"/>
          <w:sz w:val="24"/>
          <w:szCs w:val="24"/>
        </w:rPr>
        <w:t xml:space="preserve">established Key Performance Indicators (KPIs) aligned with </w:t>
      </w:r>
      <w:r>
        <w:rPr>
          <w:rFonts w:ascii="Times New Roman" w:cs="Times New Roman" w:hAnsi="Times New Roman"/>
          <w:sz w:val="24"/>
          <w:szCs w:val="24"/>
        </w:rPr>
        <w:t xml:space="preserve">SainCo </w:t>
      </w:r>
      <w:r>
        <w:rPr>
          <w:rFonts w:ascii="Times New Roman" w:cs="Times New Roman" w:hAnsi="Times New Roman"/>
          <w:sz w:val="24"/>
          <w:szCs w:val="24"/>
        </w:rPr>
        <w:t>'s engagement goals, periodic assessments provide a comprehensive view of employee satisfaction, motivation levels, and participation. These assessments can occur quarterly, bi-annually, or annually, offering consistent insights into the trends and progress of engagement efforts over time. It is essential to maintain a predetermined schedule to ensure the continuity of evaluations and enable a thorough understanding of engagement fluctuations.</w:t>
      </w:r>
    </w:p>
    <w:p>
      <w:pPr>
        <w:pStyle w:val="style0"/>
        <w:rPr>
          <w:rFonts w:ascii="Times New Roman" w:cs="Times New Roman" w:hAnsi="Times New Roman"/>
          <w:sz w:val="24"/>
          <w:szCs w:val="24"/>
        </w:rPr>
      </w:pPr>
      <w:r>
        <w:rPr>
          <w:rFonts w:ascii="Times New Roman" w:cs="Times New Roman" w:hAnsi="Times New Roman"/>
          <w:sz w:val="24"/>
          <w:szCs w:val="24"/>
        </w:rPr>
        <w:t>Feedback Mechanisms: Continuous Feedback Collection: Creating an environment that encourages continuous feedback is critical for fostering open communication and active participation from employees. Implementing various feedback mechanisms, such as suggestion boxes, anonymous surveys, regular team meetings, and dedicated digital platforms, allows employees to voice their opinions comfortably. Ensuring accessibility, anonymity, and regular reminders about these channels contribute to a culture where employees feel valued and heard, fostering a sense of belonging and engagement.</w:t>
      </w:r>
    </w:p>
    <w:p>
      <w:pPr>
        <w:pStyle w:val="style0"/>
        <w:rPr>
          <w:rFonts w:ascii="Times New Roman" w:cs="Times New Roman" w:hAnsi="Times New Roman"/>
          <w:sz w:val="24"/>
          <w:szCs w:val="24"/>
        </w:rPr>
      </w:pPr>
      <w:r>
        <w:rPr>
          <w:rFonts w:ascii="Times New Roman" w:cs="Times New Roman" w:hAnsi="Times New Roman"/>
          <w:sz w:val="24"/>
          <w:szCs w:val="24"/>
        </w:rPr>
        <w:t xml:space="preserve">Review and Adjustment: Data Review: Regularly reviewing and </w:t>
      </w:r>
      <w:r>
        <w:rPr>
          <w:rFonts w:ascii="Times New Roman" w:cs="Times New Roman" w:hAnsi="Times New Roman"/>
          <w:sz w:val="24"/>
          <w:szCs w:val="24"/>
        </w:rPr>
        <w:t>analysing</w:t>
      </w:r>
      <w:r>
        <w:rPr>
          <w:rFonts w:ascii="Times New Roman" w:cs="Times New Roman" w:hAnsi="Times New Roman"/>
          <w:sz w:val="24"/>
          <w:szCs w:val="24"/>
        </w:rPr>
        <w:t xml:space="preserve"> collected data against predefined KPIs is fundamental for assessing the effectiveness of engagement strategies. This process involves assessing the data for patterns, correlations, and trends that indicate areas of success or improvement within the implemented initiatives. It also assists in identifying potential gaps or issues that require attention.</w:t>
      </w:r>
    </w:p>
    <w:p>
      <w:pPr>
        <w:pStyle w:val="style0"/>
        <w:rPr>
          <w:rFonts w:ascii="Times New Roman" w:cs="Times New Roman" w:hAnsi="Times New Roman"/>
          <w:sz w:val="24"/>
          <w:szCs w:val="24"/>
        </w:rPr>
      </w:pPr>
      <w:r>
        <w:rPr>
          <w:rFonts w:ascii="Times New Roman" w:cs="Times New Roman" w:hAnsi="Times New Roman"/>
          <w:sz w:val="24"/>
          <w:szCs w:val="24"/>
        </w:rPr>
        <w:t>Adjustment Strategies: The insights gleaned from the evaluation process inform necessary adjustments to the engagement strategies. This might involve modifying existing initiatives, eliminating ineffective approaches, or introducing new strategies to address identified shortcomings. Flexibility and responsiveness are crucial in adapting to changing employee needs and ensuring the ongoing relevance and effectiveness of the engagement programs.</w:t>
      </w:r>
    </w:p>
    <w:bookmarkStart w:id="20" w:name="_Toc153803064"/>
    <w:p>
      <w:pPr>
        <w:pStyle w:val="style2"/>
        <w:rPr>
          <w:rFonts w:ascii="Times New Roman" w:cs="Times New Roman" w:hAnsi="Times New Roman"/>
          <w:b/>
          <w:color w:val="000000"/>
          <w:sz w:val="24"/>
          <w:szCs w:val="24"/>
        </w:rPr>
      </w:pPr>
      <w:r>
        <w:rPr>
          <w:rFonts w:ascii="Times New Roman" w:cs="Times New Roman" w:hAnsi="Times New Roman"/>
          <w:b/>
          <w:color w:val="000000"/>
          <w:sz w:val="24"/>
          <w:szCs w:val="24"/>
        </w:rPr>
        <w:t>6.3 Continuous Improvement Cycle</w:t>
      </w:r>
      <w:bookmarkEnd w:id="20"/>
    </w:p>
    <w:p>
      <w:pPr>
        <w:pStyle w:val="style0"/>
        <w:rPr>
          <w:rFonts w:ascii="Times New Roman" w:cs="Times New Roman" w:hAnsi="Times New Roman"/>
          <w:sz w:val="24"/>
          <w:szCs w:val="24"/>
        </w:rPr>
      </w:pPr>
      <w:r>
        <w:rPr>
          <w:rFonts w:ascii="Times New Roman" w:cs="Times New Roman" w:hAnsi="Times New Roman"/>
          <w:sz w:val="24"/>
          <w:szCs w:val="24"/>
        </w:rPr>
        <w:t>Data Analysis and Actionable Insights: Extracting Actionable Insights: Conducting comprehensive data analysis helps extract actionable insights from the collected data. It involves delving deeper into the metrics to identify correlations, root causes behind certain trends, and specific areas requiring improvement. These insights guide decision-making and form the basis for creating informed action plans aimed at optimizing engagement strategies.</w:t>
      </w:r>
    </w:p>
    <w:p>
      <w:pPr>
        <w:pStyle w:val="style0"/>
        <w:rPr>
          <w:rFonts w:ascii="Times New Roman" w:cs="Times New Roman" w:hAnsi="Times New Roman"/>
          <w:sz w:val="24"/>
          <w:szCs w:val="24"/>
        </w:rPr>
      </w:pPr>
      <w:r>
        <w:rPr>
          <w:rFonts w:ascii="Times New Roman" w:cs="Times New Roman" w:hAnsi="Times New Roman"/>
          <w:sz w:val="24"/>
          <w:szCs w:val="24"/>
        </w:rPr>
        <w:t xml:space="preserve">Adaptive Strategies: Implementing Iterative Improvement: Utilizing the insights gained, </w:t>
      </w:r>
      <w:r>
        <w:rPr>
          <w:rFonts w:ascii="Times New Roman" w:cs="Times New Roman" w:hAnsi="Times New Roman"/>
          <w:sz w:val="24"/>
          <w:szCs w:val="24"/>
        </w:rPr>
        <w:t>SainCo</w:t>
      </w:r>
      <w:r>
        <w:rPr>
          <w:rFonts w:ascii="Times New Roman" w:cs="Times New Roman" w:hAnsi="Times New Roman"/>
          <w:sz w:val="24"/>
          <w:szCs w:val="24"/>
        </w:rPr>
        <w:t xml:space="preserve"> can adopt an iterative approach to improve existing strategies or introduce new ones. This iterative process involves refining engagement initiatives based on the evolving needs and feedback from employees. By continuously iterating and optimizing, </w:t>
      </w:r>
      <w:r>
        <w:rPr>
          <w:rFonts w:ascii="Times New Roman" w:cs="Times New Roman" w:hAnsi="Times New Roman"/>
          <w:sz w:val="24"/>
          <w:szCs w:val="24"/>
        </w:rPr>
        <w:t>SainCo</w:t>
      </w:r>
      <w:r>
        <w:rPr>
          <w:rFonts w:ascii="Times New Roman" w:cs="Times New Roman" w:hAnsi="Times New Roman"/>
          <w:sz w:val="24"/>
          <w:szCs w:val="24"/>
        </w:rPr>
        <w:t xml:space="preserve"> can ensure that its strategies remain relevant and effective in enhancing employee engagement.</w:t>
      </w:r>
    </w:p>
    <w:p>
      <w:pPr>
        <w:pStyle w:val="style0"/>
        <w:rPr>
          <w:rFonts w:ascii="Times New Roman" w:cs="Times New Roman" w:hAnsi="Times New Roman"/>
          <w:sz w:val="24"/>
          <w:szCs w:val="24"/>
        </w:rPr>
      </w:pPr>
      <w:r>
        <w:rPr>
          <w:rFonts w:ascii="Times New Roman" w:cs="Times New Roman" w:hAnsi="Times New Roman"/>
          <w:sz w:val="24"/>
          <w:szCs w:val="24"/>
        </w:rPr>
        <w:t>Stakeholder Involvement: Promoting Collaborative Approach: Engaging various stakeholders, including senior leadership, middle management, HR personnel, and employees from diverse departments, fosters a collaborative culture around improving engagement initiatives. Involving stakeholders ensures that diverse perspectives are considered, leading to well-rounded strategies that resonate with the entire workforce. This collaborative approach also promotes a sense of ownership and commitment among stakeholders toward the success of the engagement programs.</w:t>
      </w:r>
    </w:p>
    <w:bookmarkStart w:id="21" w:name="_Toc153803065"/>
    <w:p>
      <w:pPr>
        <w:pStyle w:val="style1"/>
        <w:rPr>
          <w:rFonts w:ascii="Times New Roman" w:cs="Times New Roman" w:hAnsi="Times New Roman"/>
          <w:b/>
          <w:bCs/>
          <w:sz w:val="24"/>
          <w:szCs w:val="24"/>
        </w:rPr>
      </w:pPr>
      <w:r>
        <w:rPr>
          <w:rFonts w:ascii="Times New Roman" w:cs="Times New Roman" w:hAnsi="Times New Roman"/>
          <w:b/>
          <w:bCs/>
          <w:sz w:val="24"/>
          <w:szCs w:val="24"/>
        </w:rPr>
        <w:t>7. Ethical Considerations in Employee Engagement Strategies</w:t>
      </w:r>
      <w:bookmarkEnd w:id="21"/>
    </w:p>
    <w:p>
      <w:pPr>
        <w:pStyle w:val="style0"/>
        <w:rPr/>
      </w:pPr>
    </w:p>
    <w:bookmarkStart w:id="22" w:name="_Toc153803066"/>
    <w:p>
      <w:pPr>
        <w:pStyle w:val="style2"/>
        <w:rPr>
          <w:rFonts w:ascii="Times New Roman" w:cs="Times New Roman" w:hAnsi="Times New Roman"/>
          <w:color w:val="000000"/>
          <w:sz w:val="24"/>
          <w:szCs w:val="24"/>
        </w:rPr>
      </w:pPr>
      <w:r>
        <w:rPr>
          <w:rFonts w:ascii="Times New Roman" w:cs="Times New Roman" w:hAnsi="Times New Roman"/>
          <w:b/>
          <w:bCs/>
          <w:color w:val="000000"/>
          <w:sz w:val="24"/>
          <w:szCs w:val="24"/>
        </w:rPr>
        <w:t>7.1 Fairness and Transparency</w:t>
      </w:r>
      <w:bookmarkEnd w:id="22"/>
    </w:p>
    <w:p>
      <w:pPr>
        <w:pStyle w:val="style0"/>
        <w:rPr>
          <w:rFonts w:ascii="Times New Roman" w:cs="Times New Roman" w:hAnsi="Times New Roman"/>
          <w:sz w:val="24"/>
          <w:szCs w:val="24"/>
        </w:rPr>
      </w:pPr>
      <w:r>
        <w:rPr>
          <w:rFonts w:ascii="Times New Roman" w:cs="Times New Roman" w:hAnsi="Times New Roman"/>
          <w:iCs/>
          <w:sz w:val="24"/>
          <w:szCs w:val="24"/>
        </w:rPr>
        <w:t>Equitable Treatment:</w:t>
      </w:r>
    </w:p>
    <w:p>
      <w:pPr>
        <w:pStyle w:val="style0"/>
        <w:numPr>
          <w:ilvl w:val="0"/>
          <w:numId w:val="20"/>
        </w:numPr>
        <w:rPr>
          <w:rFonts w:ascii="Times New Roman" w:cs="Times New Roman" w:hAnsi="Times New Roman"/>
          <w:sz w:val="24"/>
          <w:szCs w:val="24"/>
        </w:rPr>
      </w:pPr>
      <w:r>
        <w:rPr>
          <w:rFonts w:ascii="Times New Roman" w:cs="Times New Roman" w:hAnsi="Times New Roman"/>
          <w:sz w:val="24"/>
          <w:szCs w:val="24"/>
        </w:rPr>
        <w:t>Ensuring that all employees have equal access to engagement programs and opportunities regardless of their position, tenure, or background.</w:t>
      </w:r>
    </w:p>
    <w:p>
      <w:pPr>
        <w:pStyle w:val="style0"/>
        <w:numPr>
          <w:ilvl w:val="0"/>
          <w:numId w:val="20"/>
        </w:numPr>
        <w:rPr>
          <w:rFonts w:ascii="Times New Roman" w:cs="Times New Roman" w:hAnsi="Times New Roman"/>
          <w:sz w:val="24"/>
          <w:szCs w:val="24"/>
        </w:rPr>
      </w:pPr>
      <w:r>
        <w:rPr>
          <w:rFonts w:ascii="Times New Roman" w:cs="Times New Roman" w:hAnsi="Times New Roman"/>
          <w:sz w:val="24"/>
          <w:szCs w:val="24"/>
        </w:rPr>
        <w:t>Implementing initiatives that foster an inclusive work environment where every employee feels valued and respected.</w:t>
      </w:r>
    </w:p>
    <w:p>
      <w:pPr>
        <w:pStyle w:val="style0"/>
        <w:rPr>
          <w:rFonts w:ascii="Times New Roman" w:cs="Times New Roman" w:hAnsi="Times New Roman"/>
          <w:sz w:val="24"/>
          <w:szCs w:val="24"/>
        </w:rPr>
      </w:pPr>
      <w:r>
        <w:rPr>
          <w:rFonts w:ascii="Times New Roman" w:cs="Times New Roman" w:hAnsi="Times New Roman"/>
          <w:iCs/>
          <w:sz w:val="24"/>
          <w:szCs w:val="24"/>
        </w:rPr>
        <w:t>Transparent Communication:</w:t>
      </w:r>
    </w:p>
    <w:p>
      <w:pPr>
        <w:pStyle w:val="style0"/>
        <w:numPr>
          <w:ilvl w:val="0"/>
          <w:numId w:val="21"/>
        </w:numPr>
        <w:rPr>
          <w:rFonts w:ascii="Times New Roman" w:cs="Times New Roman" w:hAnsi="Times New Roman"/>
          <w:sz w:val="24"/>
          <w:szCs w:val="24"/>
        </w:rPr>
      </w:pPr>
      <w:r>
        <w:rPr>
          <w:rFonts w:ascii="Times New Roman" w:cs="Times New Roman" w:hAnsi="Times New Roman"/>
          <w:sz w:val="24"/>
          <w:szCs w:val="24"/>
        </w:rPr>
        <w:t>Providing clear and open communication about the purpose, objectives, and potential outcomes of engagement initiatives.</w:t>
      </w:r>
    </w:p>
    <w:p>
      <w:pPr>
        <w:pStyle w:val="style0"/>
        <w:numPr>
          <w:ilvl w:val="0"/>
          <w:numId w:val="21"/>
        </w:numPr>
        <w:rPr>
          <w:rFonts w:ascii="Times New Roman" w:cs="Times New Roman" w:hAnsi="Times New Roman"/>
          <w:sz w:val="24"/>
          <w:szCs w:val="24"/>
        </w:rPr>
      </w:pPr>
      <w:r>
        <w:rPr>
          <w:rFonts w:ascii="Times New Roman" w:cs="Times New Roman" w:hAnsi="Times New Roman"/>
          <w:sz w:val="24"/>
          <w:szCs w:val="24"/>
        </w:rPr>
        <w:t>Being transparent about the criteria for rewards, recognition, or advancement linked to participation in these programs.</w:t>
      </w:r>
    </w:p>
    <w:p>
      <w:pPr>
        <w:pStyle w:val="style0"/>
        <w:rPr>
          <w:rFonts w:ascii="Times New Roman" w:cs="Times New Roman" w:hAnsi="Times New Roman"/>
          <w:sz w:val="24"/>
          <w:szCs w:val="24"/>
        </w:rPr>
      </w:pPr>
    </w:p>
    <w:bookmarkStart w:id="23" w:name="_Toc153803067"/>
    <w:p>
      <w:pPr>
        <w:pStyle w:val="style2"/>
        <w:rPr>
          <w:rFonts w:ascii="Times New Roman" w:cs="Times New Roman" w:hAnsi="Times New Roman"/>
          <w:b/>
          <w:bCs/>
          <w:color w:val="000000"/>
          <w:sz w:val="24"/>
          <w:szCs w:val="24"/>
        </w:rPr>
      </w:pPr>
      <w:r>
        <w:rPr>
          <w:rFonts w:ascii="Times New Roman" w:cs="Times New Roman" w:hAnsi="Times New Roman"/>
          <w:b/>
          <w:bCs/>
          <w:color w:val="000000"/>
          <w:sz w:val="24"/>
          <w:szCs w:val="24"/>
        </w:rPr>
        <w:t>7.2 Privacy and Data Security</w:t>
      </w:r>
      <w:bookmarkEnd w:id="23"/>
    </w:p>
    <w:p>
      <w:pPr>
        <w:pStyle w:val="style0"/>
        <w:rPr/>
      </w:pPr>
    </w:p>
    <w:p>
      <w:pPr>
        <w:pStyle w:val="style0"/>
        <w:rPr>
          <w:rFonts w:ascii="Times New Roman" w:cs="Times New Roman" w:hAnsi="Times New Roman"/>
          <w:sz w:val="24"/>
          <w:szCs w:val="24"/>
        </w:rPr>
      </w:pPr>
      <w:r>
        <w:rPr>
          <w:rFonts w:ascii="Times New Roman" w:cs="Times New Roman" w:hAnsi="Times New Roman"/>
          <w:iCs/>
          <w:sz w:val="24"/>
          <w:szCs w:val="24"/>
        </w:rPr>
        <w:t>Data Collection and Usage:</w:t>
      </w:r>
    </w:p>
    <w:p>
      <w:pPr>
        <w:pStyle w:val="style0"/>
        <w:numPr>
          <w:ilvl w:val="0"/>
          <w:numId w:val="14"/>
        </w:numPr>
        <w:rPr>
          <w:rFonts w:ascii="Times New Roman" w:cs="Times New Roman" w:hAnsi="Times New Roman"/>
          <w:sz w:val="24"/>
          <w:szCs w:val="24"/>
        </w:rPr>
      </w:pPr>
      <w:r>
        <w:rPr>
          <w:rFonts w:ascii="Times New Roman" w:cs="Times New Roman" w:hAnsi="Times New Roman"/>
          <w:sz w:val="24"/>
          <w:szCs w:val="24"/>
        </w:rPr>
        <w:t>Respecting employee privacy by collecting only necessary data for engagement purposes and ensuring its confidentiality.</w:t>
      </w:r>
    </w:p>
    <w:p>
      <w:pPr>
        <w:pStyle w:val="style0"/>
        <w:numPr>
          <w:ilvl w:val="0"/>
          <w:numId w:val="14"/>
        </w:numPr>
        <w:rPr>
          <w:rFonts w:ascii="Times New Roman" w:cs="Times New Roman" w:hAnsi="Times New Roman"/>
          <w:sz w:val="24"/>
          <w:szCs w:val="24"/>
        </w:rPr>
      </w:pPr>
      <w:r>
        <w:rPr>
          <w:rFonts w:ascii="Times New Roman" w:cs="Times New Roman" w:hAnsi="Times New Roman"/>
          <w:sz w:val="24"/>
          <w:szCs w:val="24"/>
        </w:rPr>
        <w:t>Adhering to data protection laws and regulations while handling sensitive employee information.</w:t>
      </w:r>
    </w:p>
    <w:p>
      <w:pPr>
        <w:pStyle w:val="style0"/>
        <w:rPr>
          <w:rFonts w:ascii="Times New Roman" w:cs="Times New Roman" w:hAnsi="Times New Roman"/>
          <w:sz w:val="24"/>
          <w:szCs w:val="24"/>
        </w:rPr>
      </w:pPr>
      <w:r>
        <w:rPr>
          <w:rFonts w:ascii="Times New Roman" w:cs="Times New Roman" w:hAnsi="Times New Roman"/>
          <w:iCs/>
          <w:sz w:val="24"/>
          <w:szCs w:val="24"/>
        </w:rPr>
        <w:t>Consent and Opt-in Policies:</w:t>
      </w:r>
    </w:p>
    <w:p>
      <w:pPr>
        <w:pStyle w:val="style0"/>
        <w:numPr>
          <w:ilvl w:val="0"/>
          <w:numId w:val="15"/>
        </w:numPr>
        <w:rPr>
          <w:rFonts w:ascii="Times New Roman" w:cs="Times New Roman" w:hAnsi="Times New Roman"/>
          <w:sz w:val="24"/>
          <w:szCs w:val="24"/>
        </w:rPr>
      </w:pPr>
      <w:r>
        <w:rPr>
          <w:rFonts w:ascii="Times New Roman" w:cs="Times New Roman" w:hAnsi="Times New Roman"/>
          <w:sz w:val="24"/>
          <w:szCs w:val="24"/>
        </w:rPr>
        <w:t>Obtaining explicit consent from employees before collecting their personal data for engagement-related activities.</w:t>
      </w:r>
    </w:p>
    <w:p>
      <w:pPr>
        <w:pStyle w:val="style0"/>
        <w:numPr>
          <w:ilvl w:val="0"/>
          <w:numId w:val="15"/>
        </w:numPr>
        <w:rPr>
          <w:rFonts w:ascii="Times New Roman" w:cs="Times New Roman" w:hAnsi="Times New Roman"/>
          <w:sz w:val="24"/>
          <w:szCs w:val="24"/>
        </w:rPr>
      </w:pPr>
      <w:r>
        <w:rPr>
          <w:rFonts w:ascii="Times New Roman" w:cs="Times New Roman" w:hAnsi="Times New Roman"/>
          <w:sz w:val="24"/>
          <w:szCs w:val="24"/>
        </w:rPr>
        <w:t>Offering opt-in options for participation in surveys, feedback mechanisms, or data-sharing initiatives.</w:t>
      </w:r>
    </w:p>
    <w:bookmarkStart w:id="24" w:name="_Toc153803068"/>
    <w:p>
      <w:pPr>
        <w:pStyle w:val="style2"/>
        <w:rPr>
          <w:rFonts w:ascii="Times New Roman" w:cs="Times New Roman" w:hAnsi="Times New Roman"/>
          <w:color w:val="000000"/>
          <w:sz w:val="24"/>
          <w:szCs w:val="24"/>
        </w:rPr>
      </w:pPr>
      <w:r>
        <w:rPr>
          <w:rFonts w:ascii="Times New Roman" w:cs="Times New Roman" w:hAnsi="Times New Roman"/>
          <w:b/>
          <w:bCs/>
          <w:color w:val="000000"/>
          <w:sz w:val="24"/>
          <w:szCs w:val="24"/>
        </w:rPr>
        <w:t>7.3 Inclusivity and Diversity</w:t>
      </w:r>
      <w:bookmarkEnd w:id="24"/>
    </w:p>
    <w:p>
      <w:pPr>
        <w:pStyle w:val="style0"/>
        <w:rPr>
          <w:rFonts w:ascii="Times New Roman" w:cs="Times New Roman" w:hAnsi="Times New Roman"/>
          <w:sz w:val="24"/>
          <w:szCs w:val="24"/>
        </w:rPr>
      </w:pPr>
      <w:r>
        <w:rPr>
          <w:rFonts w:ascii="Times New Roman" w:cs="Times New Roman" w:hAnsi="Times New Roman"/>
          <w:iCs/>
          <w:sz w:val="24"/>
          <w:szCs w:val="24"/>
        </w:rPr>
        <w:t>Inclusive Engagement Initiatives:</w:t>
      </w:r>
    </w:p>
    <w:p>
      <w:pPr>
        <w:pStyle w:val="style0"/>
        <w:numPr>
          <w:ilvl w:val="0"/>
          <w:numId w:val="16"/>
        </w:numPr>
        <w:rPr>
          <w:rFonts w:ascii="Times New Roman" w:cs="Times New Roman" w:hAnsi="Times New Roman"/>
          <w:sz w:val="24"/>
          <w:szCs w:val="24"/>
        </w:rPr>
      </w:pPr>
      <w:r>
        <w:rPr>
          <w:rFonts w:ascii="Times New Roman" w:cs="Times New Roman" w:hAnsi="Times New Roman"/>
          <w:sz w:val="24"/>
          <w:szCs w:val="24"/>
        </w:rPr>
        <w:t xml:space="preserve">Designing engagement strategies that are sensitive to diverse perspectives, cultures, and beliefs within </w:t>
      </w:r>
      <w:r>
        <w:rPr>
          <w:rFonts w:ascii="Times New Roman" w:cs="Times New Roman" w:hAnsi="Times New Roman"/>
          <w:sz w:val="24"/>
          <w:szCs w:val="24"/>
        </w:rPr>
        <w:t>SainCo</w:t>
      </w:r>
      <w:r>
        <w:rPr>
          <w:rFonts w:ascii="Times New Roman" w:cs="Times New Roman" w:hAnsi="Times New Roman"/>
          <w:sz w:val="24"/>
          <w:szCs w:val="24"/>
        </w:rPr>
        <w:t>’</w:t>
      </w:r>
      <w:r>
        <w:rPr>
          <w:rFonts w:ascii="Times New Roman" w:cs="Times New Roman" w:hAnsi="Times New Roman"/>
          <w:sz w:val="24"/>
          <w:szCs w:val="24"/>
        </w:rPr>
        <w:t>s workforce.</w:t>
      </w:r>
    </w:p>
    <w:p>
      <w:pPr>
        <w:pStyle w:val="style0"/>
        <w:numPr>
          <w:ilvl w:val="0"/>
          <w:numId w:val="16"/>
        </w:numPr>
        <w:rPr>
          <w:rFonts w:ascii="Times New Roman" w:cs="Times New Roman" w:hAnsi="Times New Roman"/>
          <w:sz w:val="24"/>
          <w:szCs w:val="24"/>
        </w:rPr>
      </w:pPr>
      <w:r>
        <w:rPr>
          <w:rFonts w:ascii="Times New Roman" w:cs="Times New Roman" w:hAnsi="Times New Roman"/>
          <w:sz w:val="24"/>
          <w:szCs w:val="24"/>
        </w:rPr>
        <w:t>Encouraging the participation of employees from different backgrounds and ensuring their voices are heard and respected.</w:t>
      </w:r>
    </w:p>
    <w:p>
      <w:pPr>
        <w:pStyle w:val="style0"/>
        <w:rPr>
          <w:rFonts w:ascii="Times New Roman" w:cs="Times New Roman" w:hAnsi="Times New Roman"/>
          <w:sz w:val="24"/>
          <w:szCs w:val="24"/>
        </w:rPr>
      </w:pPr>
      <w:r>
        <w:rPr>
          <w:rFonts w:ascii="Times New Roman" w:cs="Times New Roman" w:hAnsi="Times New Roman"/>
          <w:iCs/>
          <w:sz w:val="24"/>
          <w:szCs w:val="24"/>
        </w:rPr>
        <w:t>Avoiding Discrimination:</w:t>
      </w:r>
    </w:p>
    <w:p>
      <w:pPr>
        <w:pStyle w:val="style0"/>
        <w:numPr>
          <w:ilvl w:val="0"/>
          <w:numId w:val="17"/>
        </w:numPr>
        <w:rPr>
          <w:rFonts w:ascii="Times New Roman" w:cs="Times New Roman" w:hAnsi="Times New Roman"/>
          <w:sz w:val="24"/>
          <w:szCs w:val="24"/>
        </w:rPr>
      </w:pPr>
      <w:r>
        <w:rPr>
          <w:rFonts w:ascii="Times New Roman" w:cs="Times New Roman" w:hAnsi="Times New Roman"/>
          <w:sz w:val="24"/>
          <w:szCs w:val="24"/>
        </w:rPr>
        <w:t>Preventing any engagement initiatives or practices that might inadvertently discriminate against certain</w:t>
      </w:r>
      <w:bookmarkStart w:id="25" w:name="_GoBack"/>
      <w:bookmarkEnd w:id="25"/>
      <w:r>
        <w:rPr>
          <w:rFonts w:ascii="Times New Roman" w:cs="Times New Roman" w:hAnsi="Times New Roman"/>
          <w:sz w:val="24"/>
          <w:szCs w:val="24"/>
        </w:rPr>
        <w:t xml:space="preserve"> groups or individuals within the organization.</w:t>
      </w:r>
    </w:p>
    <w:bookmarkStart w:id="26" w:name="_Toc153803069"/>
    <w:p>
      <w:pPr>
        <w:pStyle w:val="style2"/>
        <w:rPr>
          <w:rFonts w:ascii="Times New Roman" w:cs="Times New Roman" w:hAnsi="Times New Roman"/>
          <w:color w:val="000000"/>
          <w:sz w:val="24"/>
          <w:szCs w:val="24"/>
        </w:rPr>
      </w:pPr>
      <w:r>
        <w:rPr>
          <w:rFonts w:ascii="Times New Roman" w:cs="Times New Roman" w:hAnsi="Times New Roman"/>
          <w:b/>
          <w:bCs/>
          <w:color w:val="000000"/>
          <w:sz w:val="24"/>
          <w:szCs w:val="24"/>
        </w:rPr>
        <w:t>7.4 Compliance and Ethical Guidelines</w:t>
      </w:r>
      <w:bookmarkEnd w:id="26"/>
    </w:p>
    <w:p>
      <w:pPr>
        <w:pStyle w:val="style0"/>
        <w:rPr>
          <w:rFonts w:ascii="Times New Roman" w:cs="Times New Roman" w:hAnsi="Times New Roman"/>
          <w:sz w:val="24"/>
          <w:szCs w:val="24"/>
        </w:rPr>
      </w:pPr>
      <w:r>
        <w:rPr>
          <w:rFonts w:ascii="Times New Roman" w:cs="Times New Roman" w:hAnsi="Times New Roman"/>
          <w:iCs/>
          <w:sz w:val="24"/>
          <w:szCs w:val="24"/>
        </w:rPr>
        <w:t>Adherence to Ethical Standards:</w:t>
      </w:r>
    </w:p>
    <w:p>
      <w:pPr>
        <w:pStyle w:val="style0"/>
        <w:numPr>
          <w:ilvl w:val="0"/>
          <w:numId w:val="18"/>
        </w:numPr>
        <w:rPr>
          <w:rFonts w:ascii="Times New Roman" w:cs="Times New Roman" w:hAnsi="Times New Roman"/>
          <w:sz w:val="24"/>
          <w:szCs w:val="24"/>
        </w:rPr>
      </w:pPr>
      <w:r>
        <w:rPr>
          <w:rFonts w:ascii="Times New Roman" w:cs="Times New Roman" w:hAnsi="Times New Roman"/>
          <w:sz w:val="24"/>
          <w:szCs w:val="24"/>
        </w:rPr>
        <w:t xml:space="preserve">Aligning engagement strategies with </w:t>
      </w:r>
      <w:r>
        <w:rPr>
          <w:rFonts w:ascii="Times New Roman" w:cs="Times New Roman" w:hAnsi="Times New Roman"/>
          <w:sz w:val="24"/>
          <w:szCs w:val="24"/>
        </w:rPr>
        <w:t xml:space="preserve">SainCo </w:t>
      </w:r>
      <w:r>
        <w:rPr>
          <w:rFonts w:ascii="Times New Roman" w:cs="Times New Roman" w:hAnsi="Times New Roman"/>
          <w:sz w:val="24"/>
          <w:szCs w:val="24"/>
        </w:rPr>
        <w:t>'s ethical guidelines and corporate values.</w:t>
      </w:r>
    </w:p>
    <w:p>
      <w:pPr>
        <w:pStyle w:val="style0"/>
        <w:numPr>
          <w:ilvl w:val="0"/>
          <w:numId w:val="18"/>
        </w:numPr>
        <w:rPr>
          <w:rFonts w:ascii="Times New Roman" w:cs="Times New Roman" w:hAnsi="Times New Roman"/>
          <w:sz w:val="24"/>
          <w:szCs w:val="24"/>
        </w:rPr>
      </w:pPr>
      <w:r>
        <w:rPr>
          <w:rFonts w:ascii="Times New Roman" w:cs="Times New Roman" w:hAnsi="Times New Roman"/>
          <w:sz w:val="24"/>
          <w:szCs w:val="24"/>
        </w:rPr>
        <w:t>Regularly reviewing engagement programs to ensure they align with industry best practices and ethical standards.</w:t>
      </w:r>
    </w:p>
    <w:p>
      <w:pPr>
        <w:pStyle w:val="style0"/>
        <w:rPr>
          <w:rFonts w:ascii="Times New Roman" w:cs="Times New Roman" w:hAnsi="Times New Roman"/>
          <w:sz w:val="24"/>
          <w:szCs w:val="24"/>
        </w:rPr>
      </w:pPr>
      <w:r>
        <w:rPr>
          <w:rFonts w:ascii="Times New Roman" w:cs="Times New Roman" w:hAnsi="Times New Roman"/>
          <w:iCs/>
          <w:sz w:val="24"/>
          <w:szCs w:val="24"/>
        </w:rPr>
        <w:t>Training and Awareness:</w:t>
      </w:r>
    </w:p>
    <w:p>
      <w:pPr>
        <w:pStyle w:val="style0"/>
        <w:numPr>
          <w:ilvl w:val="0"/>
          <w:numId w:val="19"/>
        </w:numPr>
        <w:rPr>
          <w:rFonts w:ascii="Times New Roman" w:cs="Times New Roman" w:hAnsi="Times New Roman"/>
          <w:sz w:val="24"/>
          <w:szCs w:val="24"/>
        </w:rPr>
      </w:pPr>
      <w:r>
        <w:rPr>
          <w:rFonts w:ascii="Times New Roman" w:cs="Times New Roman" w:hAnsi="Times New Roman"/>
          <w:sz w:val="24"/>
          <w:szCs w:val="24"/>
        </w:rPr>
        <w:t>Providing training to employees and managers on ethical behaviour, privacy policies, and handling sensitive data in engagement-related activities.</w:t>
      </w:r>
    </w:p>
    <w:p>
      <w:pPr>
        <w:pStyle w:val="style0"/>
        <w:rPr>
          <w:rFonts w:ascii="Times New Roman" w:cs="Times New Roman" w:hAnsi="Times New Roman"/>
          <w:sz w:val="24"/>
          <w:szCs w:val="24"/>
        </w:rPr>
      </w:pPr>
    </w:p>
    <w:bookmarkStart w:id="27" w:name="_Toc153803070"/>
    <w:p>
      <w:pPr>
        <w:pStyle w:val="style2"/>
        <w:rPr>
          <w:rFonts w:ascii="Times New Roman" w:cs="Times New Roman" w:hAnsi="Times New Roman"/>
          <w:sz w:val="24"/>
          <w:szCs w:val="24"/>
        </w:rPr>
      </w:pPr>
      <w:r>
        <w:rPr>
          <w:rFonts w:ascii="Times New Roman" w:cs="Times New Roman" w:hAnsi="Times New Roman"/>
          <w:b/>
          <w:bCs/>
          <w:sz w:val="24"/>
          <w:szCs w:val="24"/>
        </w:rPr>
        <w:t>8. Conclusion</w:t>
      </w:r>
      <w:bookmarkEnd w:id="27"/>
    </w:p>
    <w:p>
      <w:pPr>
        <w:pStyle w:val="style0"/>
        <w:rPr>
          <w:rFonts w:ascii="Times New Roman" w:cs="Times New Roman" w:hAnsi="Times New Roman"/>
          <w:sz w:val="24"/>
          <w:szCs w:val="24"/>
        </w:rPr>
      </w:pPr>
      <w:r>
        <w:rPr>
          <w:rFonts w:ascii="Times New Roman" w:cs="Times New Roman" w:hAnsi="Times New Roman"/>
          <w:sz w:val="24"/>
          <w:szCs w:val="24"/>
        </w:rPr>
        <w:t xml:space="preserve">In conclusion, this report has shed light on the imperative role of employee engagement strategies within </w:t>
      </w:r>
      <w:r>
        <w:rPr>
          <w:rFonts w:ascii="Times New Roman" w:cs="Times New Roman" w:hAnsi="Times New Roman"/>
          <w:sz w:val="24"/>
          <w:szCs w:val="24"/>
        </w:rPr>
        <w:t>SainCo</w:t>
      </w:r>
      <w:r>
        <w:rPr>
          <w:rFonts w:ascii="Times New Roman" w:cs="Times New Roman" w:hAnsi="Times New Roman"/>
          <w:sz w:val="24"/>
          <w:szCs w:val="24"/>
        </w:rPr>
        <w:t>, emphasizing the need to transition from traditional management paradigms towards modern performance management frameworks.</w:t>
      </w:r>
    </w:p>
    <w:p>
      <w:pPr>
        <w:pStyle w:val="style0"/>
        <w:rPr>
          <w:rFonts w:ascii="Times New Roman" w:cs="Times New Roman" w:hAnsi="Times New Roman"/>
          <w:sz w:val="24"/>
          <w:szCs w:val="24"/>
        </w:rPr>
      </w:pPr>
      <w:r>
        <w:rPr>
          <w:rFonts w:ascii="Times New Roman" w:cs="Times New Roman" w:hAnsi="Times New Roman"/>
          <w:sz w:val="24"/>
          <w:szCs w:val="24"/>
        </w:rPr>
        <w:t xml:space="preserve">We began by examining </w:t>
      </w:r>
      <w:r>
        <w:rPr>
          <w:rFonts w:ascii="Times New Roman" w:cs="Times New Roman" w:hAnsi="Times New Roman"/>
          <w:sz w:val="24"/>
          <w:szCs w:val="24"/>
        </w:rPr>
        <w:t xml:space="preserve">SainCo </w:t>
      </w:r>
      <w:r>
        <w:rPr>
          <w:rFonts w:ascii="Times New Roman" w:cs="Times New Roman" w:hAnsi="Times New Roman"/>
          <w:sz w:val="24"/>
          <w:szCs w:val="24"/>
        </w:rPr>
        <w:t>'s current state, highlighting the company's established organizational structure, prevalent culture, and existing employee engagement practices. Recognizing both the strengths and weaknesses of these strategies, we delved into the essential elements of successful employee engagement, emphasizing the pivotal role of leadership, communication, and fostering a positive work environment.</w:t>
      </w:r>
    </w:p>
    <w:p>
      <w:pPr>
        <w:pStyle w:val="style0"/>
        <w:rPr>
          <w:rFonts w:ascii="Times New Roman" w:cs="Times New Roman" w:hAnsi="Times New Roman"/>
          <w:sz w:val="24"/>
          <w:szCs w:val="24"/>
        </w:rPr>
      </w:pPr>
      <w:r>
        <w:rPr>
          <w:rFonts w:ascii="Times New Roman" w:cs="Times New Roman" w:hAnsi="Times New Roman"/>
          <w:sz w:val="24"/>
          <w:szCs w:val="24"/>
        </w:rPr>
        <w:t xml:space="preserve">Moreover, we outlined a spectrum of employee engagement strategies tailored to </w:t>
      </w:r>
      <w:r>
        <w:rPr>
          <w:rFonts w:ascii="Times New Roman" w:cs="Times New Roman" w:hAnsi="Times New Roman"/>
          <w:sz w:val="24"/>
          <w:szCs w:val="24"/>
        </w:rPr>
        <w:t xml:space="preserve">SainCo </w:t>
      </w:r>
      <w:r>
        <w:rPr>
          <w:rFonts w:ascii="Times New Roman" w:cs="Times New Roman" w:hAnsi="Times New Roman"/>
          <w:sz w:val="24"/>
          <w:szCs w:val="24"/>
        </w:rPr>
        <w:t xml:space="preserve">'s needs, encompassing methods to bolster inclusivity, feedback mechanisms, skill development programs, and enhancing work-life balance. These strategies, aligned with </w:t>
      </w:r>
      <w:r>
        <w:rPr>
          <w:rFonts w:ascii="Times New Roman" w:cs="Times New Roman" w:hAnsi="Times New Roman"/>
          <w:sz w:val="24"/>
          <w:szCs w:val="24"/>
        </w:rPr>
        <w:t xml:space="preserve">SainCo </w:t>
      </w:r>
      <w:r>
        <w:rPr>
          <w:rFonts w:ascii="Times New Roman" w:cs="Times New Roman" w:hAnsi="Times New Roman"/>
          <w:sz w:val="24"/>
          <w:szCs w:val="24"/>
        </w:rPr>
        <w:t>'s strategic objectives, aim to fortify the company's competitive edge by enhancing productivity, customer satisfaction, and overall performance.</w:t>
      </w:r>
    </w:p>
    <w:p>
      <w:pPr>
        <w:pStyle w:val="style0"/>
        <w:rPr>
          <w:rFonts w:ascii="Times New Roman" w:cs="Times New Roman" w:hAnsi="Times New Roman"/>
          <w:sz w:val="24"/>
          <w:szCs w:val="24"/>
        </w:rPr>
      </w:pPr>
      <w:r>
        <w:rPr>
          <w:rFonts w:ascii="Times New Roman" w:cs="Times New Roman" w:hAnsi="Times New Roman"/>
          <w:sz w:val="24"/>
          <w:szCs w:val="24"/>
        </w:rPr>
        <w:t>Ethical considerations have been at the forefront, ensuring fairness, transparency, and data privacy in all engagement initiatives. Upholding these ethical standards is vital in fostering a work environment where every employee feels valued, respected, and included.</w:t>
      </w:r>
    </w:p>
    <w:p>
      <w:pPr>
        <w:pStyle w:val="style0"/>
        <w:rPr>
          <w:rFonts w:ascii="Times New Roman" w:cs="Times New Roman" w:hAnsi="Times New Roman"/>
          <w:sz w:val="24"/>
          <w:szCs w:val="24"/>
        </w:rPr>
      </w:pPr>
      <w:r>
        <w:rPr>
          <w:rFonts w:ascii="Times New Roman" w:cs="Times New Roman" w:hAnsi="Times New Roman"/>
          <w:sz w:val="24"/>
          <w:szCs w:val="24"/>
        </w:rPr>
        <w:t xml:space="preserve">It is paramount that </w:t>
      </w:r>
      <w:r>
        <w:rPr>
          <w:rFonts w:ascii="Times New Roman" w:cs="Times New Roman" w:hAnsi="Times New Roman"/>
          <w:sz w:val="24"/>
          <w:szCs w:val="24"/>
        </w:rPr>
        <w:t xml:space="preserve">SainCo </w:t>
      </w:r>
      <w:r>
        <w:rPr>
          <w:rFonts w:ascii="Times New Roman" w:cs="Times New Roman" w:hAnsi="Times New Roman"/>
          <w:sz w:val="24"/>
          <w:szCs w:val="24"/>
        </w:rPr>
        <w:t>'s management comprehends the transformative impact that a modernized approach to performance management, centred on robust employee engagement, can have on the organization's success. We strongly recommend a commitment to implementing these strategies and embracing a culture that champions the active involvement and empowerment of its workforce.</w:t>
      </w:r>
    </w:p>
    <w:p>
      <w:pPr>
        <w:pStyle w:val="style0"/>
        <w:rPr>
          <w:rFonts w:ascii="Times New Roman" w:cs="Times New Roman" w:hAnsi="Times New Roman"/>
          <w:sz w:val="24"/>
          <w:szCs w:val="24"/>
        </w:rPr>
      </w:pPr>
      <w:r>
        <w:rPr>
          <w:rFonts w:ascii="Times New Roman" w:cs="Times New Roman" w:hAnsi="Times New Roman"/>
          <w:sz w:val="24"/>
          <w:szCs w:val="24"/>
        </w:rPr>
        <w:t xml:space="preserve">In conclusion, we encourage </w:t>
      </w:r>
      <w:r>
        <w:rPr>
          <w:rFonts w:ascii="Times New Roman" w:cs="Times New Roman" w:hAnsi="Times New Roman"/>
          <w:sz w:val="24"/>
          <w:szCs w:val="24"/>
        </w:rPr>
        <w:t xml:space="preserve">SainCo </w:t>
      </w:r>
      <w:r>
        <w:rPr>
          <w:rFonts w:ascii="Times New Roman" w:cs="Times New Roman" w:hAnsi="Times New Roman"/>
          <w:sz w:val="24"/>
          <w:szCs w:val="24"/>
        </w:rPr>
        <w:t xml:space="preserve">'s leadership to seize the opportunity to create a workplace culture that values and prioritizes employee engagement, as this will not only drive organizational growth but also reinforce </w:t>
      </w:r>
      <w:r>
        <w:rPr>
          <w:rFonts w:ascii="Times New Roman" w:cs="Times New Roman" w:hAnsi="Times New Roman"/>
          <w:sz w:val="24"/>
          <w:szCs w:val="24"/>
        </w:rPr>
        <w:t xml:space="preserve">SainCo </w:t>
      </w:r>
      <w:r>
        <w:rPr>
          <w:rFonts w:ascii="Times New Roman" w:cs="Times New Roman" w:hAnsi="Times New Roman"/>
          <w:sz w:val="24"/>
          <w:szCs w:val="24"/>
        </w:rPr>
        <w:t>'s position as an industry leader committed to its employees' well-being and success.</w:t>
      </w: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p>
      <w:pPr>
        <w:pStyle w:val="style0"/>
        <w:rPr>
          <w:rFonts w:ascii="Times New Roman" w:cs="Times New Roman" w:hAnsi="Times New Roman"/>
          <w:sz w:val="24"/>
          <w:szCs w:val="24"/>
        </w:rPr>
      </w:pPr>
    </w:p>
    <w:bookmarkStart w:id="28" w:name="_Toc153803071"/>
    <w:p>
      <w:pPr>
        <w:pStyle w:val="style1"/>
        <w:rPr>
          <w:rFonts w:ascii="Times New Roman" w:cs="Times New Roman" w:hAnsi="Times New Roman"/>
          <w:b/>
          <w:bCs/>
          <w:sz w:val="24"/>
          <w:szCs w:val="24"/>
        </w:rPr>
      </w:pPr>
      <w:r>
        <w:rPr>
          <w:rFonts w:ascii="Times New Roman" w:cs="Times New Roman" w:hAnsi="Times New Roman"/>
          <w:b/>
          <w:sz w:val="24"/>
          <w:szCs w:val="24"/>
        </w:rPr>
        <w:t xml:space="preserve">9. </w:t>
      </w:r>
      <w:r>
        <w:rPr>
          <w:rFonts w:ascii="Times New Roman" w:cs="Times New Roman" w:hAnsi="Times New Roman"/>
          <w:b/>
          <w:bCs/>
          <w:sz w:val="24"/>
          <w:szCs w:val="24"/>
        </w:rPr>
        <w:t>References</w:t>
      </w:r>
      <w:bookmarkEnd w:id="28"/>
    </w:p>
    <w:p>
      <w:pPr>
        <w:pStyle w:val="style0"/>
        <w:rPr>
          <w:rFonts w:ascii="Times New Roman" w:cs="Times New Roman" w:hAnsi="Times New Roman"/>
          <w:sz w:val="24"/>
          <w:szCs w:val="24"/>
        </w:rPr>
      </w:pPr>
      <w:r>
        <w:rPr>
          <w:rFonts w:ascii="Times New Roman" w:cs="Times New Roman" w:hAnsi="Times New Roman"/>
          <w:sz w:val="24"/>
          <w:szCs w:val="24"/>
        </w:rPr>
        <w:t xml:space="preserve">Adams, S. (2018). Employee Engagement Strategies: How to Keep Your Team Energized. Business News Daily. </w:t>
      </w:r>
    </w:p>
    <w:p>
      <w:pPr>
        <w:pStyle w:val="style0"/>
        <w:rPr>
          <w:rFonts w:ascii="Times New Roman" w:cs="Times New Roman" w:hAnsi="Times New Roman"/>
          <w:sz w:val="24"/>
          <w:szCs w:val="24"/>
        </w:rPr>
      </w:pPr>
      <w:r>
        <w:rPr>
          <w:rFonts w:ascii="Times New Roman" w:cs="Times New Roman" w:hAnsi="Times New Roman"/>
          <w:sz w:val="24"/>
          <w:szCs w:val="24"/>
        </w:rPr>
        <w:t>Barney, J. B. (1991). Firm Resources and Sustained Competitive Advantage. Journal of Management, 17(1), 99-120.</w:t>
      </w:r>
    </w:p>
    <w:p>
      <w:pPr>
        <w:pStyle w:val="style0"/>
        <w:rPr>
          <w:rFonts w:ascii="Times New Roman" w:cs="Times New Roman" w:hAnsi="Times New Roman"/>
          <w:sz w:val="24"/>
          <w:szCs w:val="24"/>
        </w:rPr>
      </w:pPr>
      <w:r>
        <w:rPr>
          <w:rFonts w:ascii="Times New Roman" w:cs="Times New Roman" w:hAnsi="Times New Roman"/>
          <w:sz w:val="24"/>
          <w:szCs w:val="24"/>
        </w:rPr>
        <w:t>Harter, J. K., Schmidt, F. L., &amp; Hayes, T. L. (2002). Business-Unit-Level Relationship Between Employee Satisfaction, Employee Engagement, and Business Outcomes: A Meta-Analysis. Journal of Applied Psychology, 87(2), 268-279.</w:t>
      </w:r>
    </w:p>
    <w:p>
      <w:pPr>
        <w:pStyle w:val="style0"/>
        <w:rPr>
          <w:rFonts w:ascii="Times New Roman" w:cs="Times New Roman" w:hAnsi="Times New Roman"/>
          <w:sz w:val="24"/>
          <w:szCs w:val="24"/>
        </w:rPr>
      </w:pPr>
      <w:r>
        <w:rPr>
          <w:rFonts w:ascii="Times New Roman" w:cs="Times New Roman" w:hAnsi="Times New Roman"/>
          <w:sz w:val="24"/>
          <w:szCs w:val="24"/>
        </w:rPr>
        <w:t>SainCo</w:t>
      </w:r>
      <w:r>
        <w:rPr>
          <w:rFonts w:ascii="Times New Roman" w:cs="Times New Roman" w:hAnsi="Times New Roman"/>
          <w:sz w:val="24"/>
          <w:szCs w:val="24"/>
        </w:rPr>
        <w:t xml:space="preserve"> PLC. (2022). Annual Report and Financial Statements 2022. </w:t>
      </w:r>
      <w:r>
        <w:rPr>
          <w:rFonts w:ascii="Times New Roman" w:cs="Times New Roman" w:hAnsi="Times New Roman"/>
          <w:sz w:val="24"/>
          <w:szCs w:val="24"/>
        </w:rPr>
        <w:t xml:space="preserve">SainCo </w:t>
      </w:r>
      <w:r>
        <w:rPr>
          <w:rFonts w:ascii="Times New Roman" w:cs="Times New Roman" w:hAnsi="Times New Roman"/>
          <w:sz w:val="24"/>
          <w:szCs w:val="24"/>
        </w:rPr>
        <w:t xml:space="preserve">PLC. </w:t>
      </w:r>
    </w:p>
    <w:p>
      <w:pPr>
        <w:pStyle w:val="style0"/>
        <w:rPr>
          <w:rFonts w:ascii="Times New Roman" w:cs="Times New Roman" w:hAnsi="Times New Roman"/>
          <w:sz w:val="24"/>
          <w:szCs w:val="24"/>
        </w:rPr>
      </w:pPr>
      <w:r>
        <w:rPr>
          <w:rFonts w:ascii="Times New Roman" w:cs="Times New Roman" w:hAnsi="Times New Roman"/>
          <w:sz w:val="24"/>
          <w:szCs w:val="24"/>
        </w:rPr>
        <w:t xml:space="preserve">Walker, J. (2019). The Role of Leadership in Employee Engagement. Harvard Business </w:t>
      </w:r>
    </w:p>
    <w:p>
      <w:pPr>
        <w:pStyle w:val="style0"/>
        <w:rPr>
          <w:rFonts w:ascii="Times New Roman" w:cs="Times New Roman" w:hAnsi="Times New Roman"/>
          <w:sz w:val="24"/>
          <w:szCs w:val="24"/>
        </w:rPr>
      </w:pPr>
      <w:r>
        <w:rPr>
          <w:rFonts w:ascii="Times New Roman" w:cs="Times New Roman" w:hAnsi="Times New Roman"/>
          <w:sz w:val="24"/>
          <w:szCs w:val="24"/>
        </w:rPr>
        <w:t xml:space="preserve">Buckingham, M., &amp; Coffman, C. (1999). </w:t>
      </w:r>
      <w:r>
        <w:rPr>
          <w:rFonts w:ascii="Times New Roman" w:cs="Times New Roman" w:hAnsi="Times New Roman"/>
          <w:i/>
          <w:iCs/>
          <w:sz w:val="24"/>
          <w:szCs w:val="24"/>
        </w:rPr>
        <w:t>First, Break All the Rules: What the World's Greatest Managers Do Differently.</w:t>
      </w:r>
      <w:r>
        <w:rPr>
          <w:rFonts w:ascii="Times New Roman" w:cs="Times New Roman" w:hAnsi="Times New Roman"/>
          <w:sz w:val="24"/>
          <w:szCs w:val="24"/>
        </w:rPr>
        <w:t xml:space="preserve"> Simon &amp; Schuster.</w:t>
      </w:r>
    </w:p>
    <w:p>
      <w:pPr>
        <w:pStyle w:val="style0"/>
        <w:rPr>
          <w:rFonts w:ascii="Times New Roman" w:cs="Times New Roman" w:hAnsi="Times New Roman"/>
          <w:sz w:val="24"/>
          <w:szCs w:val="24"/>
        </w:rPr>
      </w:pPr>
      <w:r>
        <w:rPr>
          <w:rFonts w:ascii="Times New Roman" w:cs="Times New Roman" w:hAnsi="Times New Roman"/>
          <w:sz w:val="24"/>
          <w:szCs w:val="24"/>
        </w:rPr>
        <w:t xml:space="preserve">Saks, A. M. (2019). </w:t>
      </w:r>
      <w:r>
        <w:rPr>
          <w:rFonts w:ascii="Times New Roman" w:cs="Times New Roman" w:hAnsi="Times New Roman"/>
          <w:i/>
          <w:iCs/>
          <w:sz w:val="24"/>
          <w:szCs w:val="24"/>
        </w:rPr>
        <w:t>Antecedents and Consequences of Employee Engagement.</w:t>
      </w:r>
      <w:r>
        <w:rPr>
          <w:rFonts w:ascii="Times New Roman" w:cs="Times New Roman" w:hAnsi="Times New Roman"/>
          <w:sz w:val="24"/>
          <w:szCs w:val="24"/>
        </w:rPr>
        <w:t xml:space="preserve"> Emerald Publishing Limited</w:t>
      </w:r>
    </w:p>
    <w:p>
      <w:pPr>
        <w:pStyle w:val="style0"/>
        <w:rPr>
          <w:rFonts w:ascii="Times New Roman" w:cs="Times New Roman" w:hAnsi="Times New Roman"/>
          <w:sz w:val="24"/>
          <w:szCs w:val="24"/>
        </w:rPr>
      </w:pPr>
      <w:r>
        <w:rPr>
          <w:rFonts w:ascii="Times New Roman" w:cs="Times New Roman" w:hAnsi="Times New Roman"/>
          <w:sz w:val="24"/>
          <w:szCs w:val="24"/>
        </w:rPr>
        <w:t xml:space="preserve">Macey, W. H., &amp; Schneider, B. (2008). The Meaning of Employee Engagement. </w:t>
      </w:r>
      <w:r>
        <w:rPr>
          <w:rFonts w:ascii="Times New Roman" w:cs="Times New Roman" w:hAnsi="Times New Roman"/>
          <w:i/>
          <w:iCs/>
          <w:sz w:val="24"/>
          <w:szCs w:val="24"/>
        </w:rPr>
        <w:t>Industrial and Organizational Psychology, 1</w:t>
      </w:r>
      <w:r>
        <w:rPr>
          <w:rFonts w:ascii="Times New Roman" w:cs="Times New Roman" w:hAnsi="Times New Roman"/>
          <w:sz w:val="24"/>
          <w:szCs w:val="24"/>
        </w:rPr>
        <w:t>(1), 3-30.</w:t>
      </w:r>
    </w:p>
    <w:p>
      <w:pPr>
        <w:pStyle w:val="style0"/>
        <w:rPr>
          <w:rFonts w:ascii="Times New Roman" w:cs="Times New Roman" w:hAnsi="Times New Roman"/>
          <w:sz w:val="24"/>
          <w:szCs w:val="24"/>
        </w:rPr>
      </w:pPr>
      <w:r>
        <w:rPr>
          <w:rFonts w:ascii="Times New Roman" w:cs="Times New Roman" w:hAnsi="Times New Roman"/>
          <w:sz w:val="24"/>
          <w:szCs w:val="24"/>
        </w:rPr>
        <w:t xml:space="preserve">Rich, B. L., Lepine, J. A., &amp; Crawford, E. R. (2010). Job Engagement: Antecedents and Effects on Job Performance. </w:t>
      </w:r>
      <w:r>
        <w:rPr>
          <w:rFonts w:ascii="Times New Roman" w:cs="Times New Roman" w:hAnsi="Times New Roman"/>
          <w:i/>
          <w:iCs/>
          <w:sz w:val="24"/>
          <w:szCs w:val="24"/>
        </w:rPr>
        <w:t>Academy of Management Journal, 53</w:t>
      </w:r>
      <w:r>
        <w:rPr>
          <w:rFonts w:ascii="Times New Roman" w:cs="Times New Roman" w:hAnsi="Times New Roman"/>
          <w:sz w:val="24"/>
          <w:szCs w:val="24"/>
        </w:rPr>
        <w:t>(3), 617-635.</w:t>
      </w:r>
    </w:p>
    <w:p>
      <w:pPr>
        <w:pStyle w:val="style0"/>
        <w:rPr>
          <w:rFonts w:ascii="Times New Roman" w:cs="Times New Roman" w:hAnsi="Times New Roman"/>
          <w:sz w:val="24"/>
          <w:szCs w:val="24"/>
        </w:rPr>
      </w:pPr>
      <w:r>
        <w:rPr>
          <w:rFonts w:ascii="Times New Roman" w:cs="Times New Roman" w:hAnsi="Times New Roman"/>
          <w:sz w:val="24"/>
          <w:szCs w:val="24"/>
        </w:rPr>
        <w:t xml:space="preserve">CIPD. (2018). Employee Engagement: An Evidence Review. </w:t>
      </w:r>
      <w:r>
        <w:rPr>
          <w:rFonts w:ascii="Times New Roman" w:cs="Times New Roman" w:hAnsi="Times New Roman"/>
          <w:i/>
          <w:iCs/>
          <w:sz w:val="24"/>
          <w:szCs w:val="24"/>
        </w:rPr>
        <w:t>Chartered Institute of Personnel and Development.</w:t>
      </w:r>
      <w:r>
        <w:rPr>
          <w:rFonts w:ascii="Times New Roman" w:cs="Times New Roman" w:hAnsi="Times New Roman"/>
          <w:sz w:val="24"/>
          <w:szCs w:val="24"/>
        </w:rPr>
        <w:t xml:space="preserve"> </w:t>
      </w:r>
    </w:p>
    <w:p>
      <w:pPr>
        <w:pStyle w:val="style0"/>
        <w:rPr>
          <w:rFonts w:ascii="Times New Roman" w:cs="Times New Roman" w:hAnsi="Times New Roman"/>
          <w:sz w:val="24"/>
          <w:szCs w:val="24"/>
        </w:rPr>
      </w:pPr>
      <w:r>
        <w:rPr>
          <w:rFonts w:ascii="Times New Roman" w:cs="Times New Roman" w:hAnsi="Times New Roman"/>
          <w:sz w:val="24"/>
          <w:szCs w:val="24"/>
        </w:rPr>
        <w:t xml:space="preserve">Gallup. (n.d.). Gallup Q12 Employee Engagement Survey. </w:t>
      </w:r>
    </w:p>
    <w:p>
      <w:pPr>
        <w:pStyle w:val="style0"/>
        <w:rPr>
          <w:rFonts w:ascii="Times New Roman" w:cs="Times New Roman" w:hAnsi="Times New Roman"/>
          <w:sz w:val="24"/>
          <w:szCs w:val="24"/>
        </w:rPr>
      </w:pPr>
      <w:r>
        <w:rPr>
          <w:rFonts w:ascii="Times New Roman" w:cs="Times New Roman" w:hAnsi="Times New Roman"/>
          <w:sz w:val="24"/>
          <w:szCs w:val="24"/>
        </w:rPr>
        <w:t xml:space="preserve">Corporate Leadership Council. (2004). Driving Performance and Retention through Employee Engagement. </w:t>
      </w:r>
    </w:p>
    <w:p>
      <w:pPr>
        <w:pStyle w:val="style0"/>
        <w:rPr>
          <w:rFonts w:ascii="Times New Roman" w:cs="Times New Roman" w:hAnsi="Times New Roman"/>
          <w:sz w:val="24"/>
          <w:szCs w:val="24"/>
        </w:rPr>
      </w:pPr>
      <w:r>
        <w:rPr>
          <w:rFonts w:ascii="Times New Roman" w:cs="Times New Roman" w:hAnsi="Times New Roman"/>
          <w:sz w:val="24"/>
          <w:szCs w:val="24"/>
        </w:rPr>
        <w:t xml:space="preserve">Hakanen, J. J., &amp; Schaufeli, W. B. (2012). Do burnout and work engagement predict depressive symptoms and life satisfaction? </w:t>
      </w:r>
      <w:r>
        <w:rPr>
          <w:rFonts w:ascii="Times New Roman" w:cs="Times New Roman" w:hAnsi="Times New Roman"/>
          <w:i/>
          <w:iCs/>
          <w:sz w:val="24"/>
          <w:szCs w:val="24"/>
        </w:rPr>
        <w:t>Journal of Affective Disorders, 141</w:t>
      </w:r>
      <w:r>
        <w:rPr>
          <w:rFonts w:ascii="Times New Roman" w:cs="Times New Roman" w:hAnsi="Times New Roman"/>
          <w:sz w:val="24"/>
          <w:szCs w:val="24"/>
        </w:rPr>
        <w:t>(2-3), 415-424.</w:t>
      </w:r>
    </w:p>
    <w:p>
      <w:pPr>
        <w:pStyle w:val="style0"/>
        <w:rPr>
          <w:rFonts w:ascii="Times New Roman" w:cs="Times New Roman" w:hAnsi="Times New Roman"/>
          <w:sz w:val="24"/>
          <w:szCs w:val="24"/>
        </w:rPr>
      </w:pPr>
      <w:r>
        <w:rPr>
          <w:rFonts w:ascii="Times New Roman" w:cs="Times New Roman" w:hAnsi="Times New Roman"/>
          <w:sz w:val="24"/>
          <w:szCs w:val="24"/>
        </w:rPr>
        <w:t xml:space="preserve">PwC. (2020). From Promise to Impact: How to Make Employee Engagement Happen. </w:t>
      </w:r>
    </w:p>
    <w:p>
      <w:pPr>
        <w:pStyle w:val="style0"/>
        <w:rPr>
          <w:rFonts w:ascii="Times New Roman" w:cs="Times New Roman" w:hAnsi="Times New Roman"/>
          <w:sz w:val="24"/>
          <w:szCs w:val="24"/>
        </w:rPr>
      </w:pPr>
      <w:r>
        <w:rPr>
          <w:rFonts w:ascii="Times New Roman" w:cs="Times New Roman" w:hAnsi="Times New Roman"/>
          <w:sz w:val="24"/>
          <w:szCs w:val="24"/>
        </w:rPr>
        <w:t xml:space="preserve">Xanthopoulou, D., Bakker, A. B., Demerouti, E., &amp; Schaufeli, W. B. (2009). Work Engagement and Financial Returns: A Diary Study on the Role of Job and Personal Resources. </w:t>
      </w:r>
      <w:r>
        <w:rPr>
          <w:rFonts w:ascii="Times New Roman" w:cs="Times New Roman" w:hAnsi="Times New Roman"/>
          <w:i/>
          <w:iCs/>
          <w:sz w:val="24"/>
          <w:szCs w:val="24"/>
        </w:rPr>
        <w:t>Journal of Occupational and Organizational Psychology, 82</w:t>
      </w:r>
      <w:r>
        <w:rPr>
          <w:rFonts w:ascii="Times New Roman" w:cs="Times New Roman" w:hAnsi="Times New Roman"/>
          <w:sz w:val="24"/>
          <w:szCs w:val="24"/>
        </w:rPr>
        <w:t>(1), 183-200.</w:t>
      </w:r>
    </w:p>
    <w:p>
      <w:pPr>
        <w:pStyle w:val="style0"/>
        <w:rPr>
          <w:rFonts w:ascii="Times New Roman" w:cs="Times New Roman" w:hAnsi="Times New Roman"/>
          <w:sz w:val="24"/>
          <w:szCs w:val="24"/>
        </w:rPr>
      </w:pPr>
      <w:r>
        <w:rPr>
          <w:rFonts w:ascii="Times New Roman" w:cs="Times New Roman" w:hAnsi="Times New Roman"/>
          <w:sz w:val="24"/>
          <w:szCs w:val="24"/>
        </w:rPr>
        <w:t xml:space="preserve">Harter, J. K. (2020). </w:t>
      </w:r>
      <w:r>
        <w:rPr>
          <w:rFonts w:ascii="Times New Roman" w:cs="Times New Roman" w:hAnsi="Times New Roman"/>
          <w:i/>
          <w:iCs/>
          <w:sz w:val="24"/>
          <w:szCs w:val="24"/>
        </w:rPr>
        <w:t>It's the Manager: Gallup finds the quality of managers and team leaders is the single biggest factor in your organization's long-term success.</w:t>
      </w:r>
      <w:r>
        <w:rPr>
          <w:rFonts w:ascii="Times New Roman" w:cs="Times New Roman" w:hAnsi="Times New Roman"/>
          <w:sz w:val="24"/>
          <w:szCs w:val="24"/>
        </w:rPr>
        <w:t xml:space="preserve"> Gallup Press.</w:t>
      </w:r>
    </w:p>
    <w:p>
      <w:pPr>
        <w:pStyle w:val="style0"/>
        <w:rPr>
          <w:rFonts w:ascii="Times New Roman" w:cs="Times New Roman" w:hAnsi="Times New Roman"/>
          <w:sz w:val="24"/>
          <w:szCs w:val="24"/>
        </w:rPr>
      </w:pPr>
      <w:r>
        <w:rPr>
          <w:rFonts w:ascii="Times New Roman" w:cs="Times New Roman" w:hAnsi="Times New Roman"/>
          <w:sz w:val="24"/>
          <w:szCs w:val="24"/>
        </w:rPr>
        <w:t xml:space="preserve">Maslach, C., Schaufeli, W. B., &amp; Leiter, M. P. (2001). Job Burnout. In S. T. Fiske, D. L. Schacter, &amp; C. Zahn-Waxler (Eds.), </w:t>
      </w:r>
      <w:r>
        <w:rPr>
          <w:rFonts w:ascii="Times New Roman" w:cs="Times New Roman" w:hAnsi="Times New Roman"/>
          <w:i/>
          <w:iCs/>
          <w:sz w:val="24"/>
          <w:szCs w:val="24"/>
        </w:rPr>
        <w:t>Annual Review of Psychology, 52</w:t>
      </w:r>
      <w:r>
        <w:rPr>
          <w:rFonts w:ascii="Times New Roman" w:cs="Times New Roman" w:hAnsi="Times New Roman"/>
          <w:sz w:val="24"/>
          <w:szCs w:val="24"/>
        </w:rPr>
        <w:t>(1), 397-422.</w:t>
      </w:r>
    </w:p>
    <w:p>
      <w:pPr>
        <w:pStyle w:val="style0"/>
        <w:rPr>
          <w:rFonts w:ascii="Times New Roman" w:cs="Times New Roman" w:hAnsi="Times New Roman"/>
          <w:sz w:val="24"/>
          <w:szCs w:val="24"/>
        </w:rPr>
      </w:pPr>
      <w:r>
        <w:rPr>
          <w:rFonts w:ascii="Times New Roman" w:cs="Times New Roman" w:hAnsi="Times New Roman"/>
          <w:sz w:val="24"/>
          <w:szCs w:val="24"/>
        </w:rPr>
        <w:t xml:space="preserve">Bakker, A. B., &amp; Demerouti, E. (2007). The Job Demands-Resources model: State of the art. </w:t>
      </w:r>
      <w:r>
        <w:rPr>
          <w:rFonts w:ascii="Times New Roman" w:cs="Times New Roman" w:hAnsi="Times New Roman"/>
          <w:i/>
          <w:iCs/>
          <w:sz w:val="24"/>
          <w:szCs w:val="24"/>
        </w:rPr>
        <w:t>Journal of Managerial Psychology, 22</w:t>
      </w:r>
      <w:r>
        <w:rPr>
          <w:rFonts w:ascii="Times New Roman" w:cs="Times New Roman" w:hAnsi="Times New Roman"/>
          <w:sz w:val="24"/>
          <w:szCs w:val="24"/>
        </w:rPr>
        <w:t>(3), 309-328.</w:t>
      </w:r>
    </w:p>
    <w:p>
      <w:pPr>
        <w:pStyle w:val="style0"/>
        <w:rPr>
          <w:rFonts w:ascii="Times New Roman" w:cs="Times New Roman" w:hAnsi="Times New Roman"/>
          <w:sz w:val="24"/>
          <w:szCs w:val="24"/>
        </w:rPr>
      </w:pPr>
      <w:r>
        <w:rPr>
          <w:rFonts w:ascii="Times New Roman" w:cs="Times New Roman" w:hAnsi="Times New Roman"/>
          <w:sz w:val="24"/>
          <w:szCs w:val="24"/>
        </w:rPr>
        <w:t xml:space="preserve">Macey, W. H., Schneider, B., Barbera, K. M., &amp; Young, S. A. (2009). Employee Engagement: Tools for Analysis, Practice, and Competitive Advantage. </w:t>
      </w:r>
      <w:r>
        <w:rPr>
          <w:rFonts w:ascii="Times New Roman" w:cs="Times New Roman" w:hAnsi="Times New Roman"/>
          <w:i/>
          <w:iCs/>
          <w:sz w:val="24"/>
          <w:szCs w:val="24"/>
        </w:rPr>
        <w:t>John Wiley &amp; Sons.</w:t>
      </w:r>
    </w:p>
    <w:sectPr>
      <w:footerReference w:type="default" r:id="rId2"/>
      <w:pgSz w:w="11906" w:h="16838" w:orient="portrait"/>
      <w:pgMar w:top="1440" w:right="1440" w:bottom="1440" w:left="1440" w:header="708" w:footer="708" w:gutter="0"/>
      <w:pgBorders w:zOrder="front" w:display="allPage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3"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00002FF" w:usb1="4000ACFF" w:usb2="00000001" w:usb3="00000000" w:csb0="0000019F" w:csb1="00000000"/>
  </w:font>
  <w:font w:name="Calibri Light">
    <w:altName w:val="Calibri Light"/>
    <w:panose1 w:val="020f0302020002030204"/>
    <w:charset w:val="00"/>
    <w:family w:val="swiss"/>
    <w:pitch w:val="variable"/>
    <w:sig w:usb0="A00002EF" w:usb1="4000207B" w:usb2="00000000" w:usb3="00000000" w:csb0="0000009F" w:csb1="00000000"/>
  </w:font>
  <w:font w:name="Segoe UI">
    <w:altName w:val="Segoe UI"/>
    <w:panose1 w:val="020b0502040002020203"/>
    <w:charset w:val="00"/>
    <w:family w:val="swiss"/>
    <w:pitch w:val="variable"/>
    <w:sig w:usb0="E4002EFF" w:usb1="C000E47F"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1</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4D8EB89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
    <w:nsid w:val="00000001"/>
    <w:multiLevelType w:val="multilevel"/>
    <w:tmpl w:val="F2D8F67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2">
    <w:nsid w:val="00000002"/>
    <w:multiLevelType w:val="multilevel"/>
    <w:tmpl w:val="4DBA471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3">
    <w:nsid w:val="00000003"/>
    <w:multiLevelType w:val="multilevel"/>
    <w:tmpl w:val="76CAB19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4">
    <w:nsid w:val="00000004"/>
    <w:multiLevelType w:val="multilevel"/>
    <w:tmpl w:val="0B9A6A2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5">
    <w:nsid w:val="00000005"/>
    <w:multiLevelType w:val="multilevel"/>
    <w:tmpl w:val="CACEF15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6">
    <w:nsid w:val="00000006"/>
    <w:multiLevelType w:val="multilevel"/>
    <w:tmpl w:val="0840CB10"/>
    <w:lvl w:ilvl="0">
      <w:start w:val="1"/>
      <w:numFmt w:val="decimal"/>
      <w:lvlText w:val="%1."/>
      <w:lvlJc w:val="left"/>
      <w:pPr>
        <w:ind w:left="720" w:hanging="360"/>
      </w:pPr>
      <w:rPr>
        <w:rFonts w:hint="default"/>
        <w:b/>
        <w:color w:val="2e74b5"/>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
    <w:nsid w:val="00000007"/>
    <w:multiLevelType w:val="multilevel"/>
    <w:tmpl w:val="A0CEAC3C"/>
    <w:lvl w:ilvl="0">
      <w:start w:val="5"/>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
    <w:nsid w:val="00000008"/>
    <w:multiLevelType w:val="multilevel"/>
    <w:tmpl w:val="D4A8C904"/>
    <w:lvl w:ilvl="0">
      <w:start w:val="1"/>
      <w:numFmt w:val="decimal"/>
      <w:lvlText w:val="%1."/>
      <w:lvlJc w:val="left"/>
      <w:pPr>
        <w:tabs>
          <w:tab w:val="left" w:leader="none" w:pos="720"/>
        </w:tabs>
        <w:ind w:left="720" w:hanging="360"/>
      </w:p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
    <w:nsid w:val="00000009"/>
    <w:multiLevelType w:val="multilevel"/>
    <w:tmpl w:val="19CAB82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0">
    <w:nsid w:val="0000000A"/>
    <w:multiLevelType w:val="multilevel"/>
    <w:tmpl w:val="C9E055A0"/>
    <w:lvl w:ilvl="0">
      <w:start w:val="1"/>
      <w:numFmt w:val="decimal"/>
      <w:lvlText w:val="%1."/>
      <w:lvlJc w:val="left"/>
      <w:pPr>
        <w:tabs>
          <w:tab w:val="left" w:leader="none" w:pos="720"/>
        </w:tabs>
        <w:ind w:left="720" w:hanging="360"/>
      </w:p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
    <w:nsid w:val="0000000B"/>
    <w:multiLevelType w:val="multilevel"/>
    <w:tmpl w:val="B35AF67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2">
    <w:nsid w:val="0000000C"/>
    <w:multiLevelType w:val="hybridMultilevel"/>
    <w:tmpl w:val="7CAA2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000000D"/>
    <w:multiLevelType w:val="multilevel"/>
    <w:tmpl w:val="3124BF9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4">
    <w:nsid w:val="0000000E"/>
    <w:multiLevelType w:val="multilevel"/>
    <w:tmpl w:val="4AE6CD4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5">
    <w:nsid w:val="0000000F"/>
    <w:multiLevelType w:val="multilevel"/>
    <w:tmpl w:val="8D9C0EA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6">
    <w:nsid w:val="00000010"/>
    <w:multiLevelType w:val="multilevel"/>
    <w:tmpl w:val="B988359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7">
    <w:nsid w:val="00000011"/>
    <w:multiLevelType w:val="multilevel"/>
    <w:tmpl w:val="B072837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8">
    <w:nsid w:val="00000012"/>
    <w:multiLevelType w:val="multilevel"/>
    <w:tmpl w:val="A91E7E6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9">
    <w:nsid w:val="00000013"/>
    <w:multiLevelType w:val="multilevel"/>
    <w:tmpl w:val="471C7D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00000014"/>
    <w:multiLevelType w:val="multilevel"/>
    <w:tmpl w:val="50AA1D9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21">
    <w:nsid w:val="00000015"/>
    <w:multiLevelType w:val="multilevel"/>
    <w:tmpl w:val="1870D72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22">
    <w:nsid w:val="00000016"/>
    <w:multiLevelType w:val="multilevel"/>
    <w:tmpl w:val="B5005DD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num w:numId="1">
    <w:abstractNumId w:val="6"/>
  </w:num>
  <w:num w:numId="2">
    <w:abstractNumId w:val="22"/>
  </w:num>
  <w:num w:numId="3">
    <w:abstractNumId w:val="4"/>
  </w:num>
  <w:num w:numId="4">
    <w:abstractNumId w:val="16"/>
  </w:num>
  <w:num w:numId="5">
    <w:abstractNumId w:val="14"/>
  </w:num>
  <w:num w:numId="6">
    <w:abstractNumId w:val="9"/>
  </w:num>
  <w:num w:numId="7">
    <w:abstractNumId w:val="17"/>
  </w:num>
  <w:num w:numId="8">
    <w:abstractNumId w:val="1"/>
  </w:num>
  <w:num w:numId="9">
    <w:abstractNumId w:val="0"/>
  </w:num>
  <w:num w:numId="10">
    <w:abstractNumId w:val="20"/>
  </w:num>
  <w:num w:numId="11">
    <w:abstractNumId w:val="10"/>
  </w:num>
  <w:num w:numId="12">
    <w:abstractNumId w:val="8"/>
  </w:num>
  <w:num w:numId="13">
    <w:abstractNumId w:val="7"/>
  </w:num>
  <w:num w:numId="14">
    <w:abstractNumId w:val="15"/>
  </w:num>
  <w:num w:numId="15">
    <w:abstractNumId w:val="21"/>
  </w:num>
  <w:num w:numId="16">
    <w:abstractNumId w:val="18"/>
  </w:num>
  <w:num w:numId="17">
    <w:abstractNumId w:val="3"/>
  </w:num>
  <w:num w:numId="18">
    <w:abstractNumId w:val="13"/>
  </w:num>
  <w:num w:numId="19">
    <w:abstractNumId w:val="11"/>
  </w:num>
  <w:num w:numId="20">
    <w:abstractNumId w:val="2"/>
  </w:num>
  <w:num w:numId="21">
    <w:abstractNumId w:val="5"/>
  </w:num>
  <w:num w:numId="22">
    <w:abstractNumId w:val="12"/>
  </w:num>
  <w:num w:numId="23">
    <w:abstractNumId w:val="19"/>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GB" w:bidi="ar-SA" w:eastAsia="en-US"/>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104"/>
    <w:qFormat/>
    <w:uiPriority w:val="9"/>
    <w:pPr>
      <w:keepNext/>
      <w:keepLines/>
      <w:spacing w:before="240" w:after="0"/>
      <w:outlineLvl w:val="0"/>
    </w:pPr>
    <w:rPr>
      <w:rFonts w:ascii="Calibri Light" w:cs="宋体" w:eastAsia="宋体" w:hAnsi="Calibri Light"/>
      <w:color w:val="2e74b5"/>
      <w:sz w:val="32"/>
      <w:szCs w:val="32"/>
    </w:rPr>
  </w:style>
  <w:style w:type="paragraph" w:styleId="style2">
    <w:name w:val="heading 2"/>
    <w:basedOn w:val="style0"/>
    <w:next w:val="style0"/>
    <w:link w:val="style4105"/>
    <w:qFormat/>
    <w:uiPriority w:val="9"/>
    <w:pPr>
      <w:keepNext/>
      <w:keepLines/>
      <w:spacing w:before="40" w:after="0"/>
      <w:outlineLvl w:val="1"/>
    </w:pPr>
    <w:rPr>
      <w:rFonts w:ascii="Calibri Light" w:cs="宋体" w:eastAsia="宋体" w:hAnsi="Calibri Light"/>
      <w:color w:val="2e74b5"/>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customStyle="1" w:styleId="style4097">
    <w:name w:val="Grid Table Light"/>
    <w:basedOn w:val="style105"/>
    <w:next w:val="style4097"/>
    <w:uiPriority w:val="40"/>
    <w:pPr>
      <w:spacing w:after="0" w:lineRule="auto" w:line="240"/>
    </w:pP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tcBorders/>
    </w:tcPr>
  </w:style>
  <w:style w:type="table" w:customStyle="1" w:styleId="style4098">
    <w:name w:val="Plain Table 1"/>
    <w:basedOn w:val="style105"/>
    <w:next w:val="style4098"/>
    <w:uiPriority w:val="41"/>
    <w:pPr>
      <w:spacing w:after="0" w:lineRule="auto" w:line="240"/>
    </w:pP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pPr/>
      <w:rPr>
        <w:b/>
        <w:bCs/>
      </w:rPr>
      <w:tcPr>
        <w:tcBorders/>
      </w:tcPr>
    </w:tblStylePr>
    <w:tblStylePr w:type="lastRow">
      <w:pPr/>
      <w:rPr>
        <w:b/>
        <w:bCs/>
      </w:rPr>
      <w:tblPr/>
      <w:tcPr>
        <w:tcBorders>
          <w:top w:val="double" w:sz="4" w:space="0" w:color="bfbfbf"/>
        </w:tcBorders>
      </w:tcPr>
    </w:tblStylePr>
    <w:tblStylePr w:type="band1Horz">
      <w:pPr/>
      <w:tblPr/>
      <w:tcPr>
        <w:tcBorders/>
        <w:shd w:val="clear" w:color="auto" w:fill="f2f2f2"/>
      </w:tcPr>
    </w:tblStylePr>
    <w:tblStylePr w:type="firstCol">
      <w:pPr/>
      <w:rPr>
        <w:b/>
        <w:bCs/>
      </w:rPr>
      <w:tcPr>
        <w:tcBorders/>
      </w:tcPr>
    </w:tblStylePr>
    <w:tblStylePr w:type="lastCol">
      <w:pPr/>
      <w:rPr>
        <w:b/>
        <w:bCs/>
      </w:rPr>
      <w:tcPr>
        <w:tcBorders/>
      </w:tcPr>
    </w:tblStylePr>
    <w:tblStylePr w:type="band1Vert">
      <w:pPr/>
      <w:tblPr/>
      <w:tcPr>
        <w:tcBorders/>
        <w:shd w:val="clear" w:color="auto" w:fill="f2f2f2"/>
      </w:tcPr>
    </w:tblStylePr>
    <w:tcPr>
      <w:tcBorders/>
    </w:tcPr>
  </w:style>
  <w:style w:type="table" w:customStyle="1" w:styleId="style4099">
    <w:name w:val="Grid Table 1 Light Accent 4"/>
    <w:basedOn w:val="style105"/>
    <w:next w:val="style4099"/>
    <w:uiPriority w:val="46"/>
    <w:pPr>
      <w:spacing w:after="0" w:lineRule="auto" w:line="240"/>
    </w:pPr>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pPr/>
      <w:rPr>
        <w:b/>
        <w:bCs/>
      </w:rPr>
      <w:tblPr/>
      <w:tcPr>
        <w:tcBorders>
          <w:bottom w:val="single" w:sz="12" w:space="0" w:color="ffd966"/>
        </w:tcBorders>
      </w:tcPr>
    </w:tblStylePr>
    <w:tblStylePr w:type="lastRow">
      <w:pPr/>
      <w:rPr>
        <w:b/>
        <w:bCs/>
      </w:rPr>
      <w:tblPr/>
      <w:tcPr>
        <w:tcBorders>
          <w:top w:val="double" w:sz="2" w:space="0" w:color="ffd966"/>
        </w:tcBorders>
      </w:tcPr>
    </w:tblStylePr>
    <w:tblStylePr w:type="firstCol">
      <w:pPr/>
      <w:rPr>
        <w:b/>
        <w:bCs/>
      </w:rPr>
      <w:tcPr>
        <w:tcBorders/>
      </w:tcPr>
    </w:tblStylePr>
    <w:tblStylePr w:type="lastCol">
      <w:pPr/>
      <w:rPr>
        <w:b/>
        <w:bCs/>
      </w:rPr>
      <w:tcPr>
        <w:tcBorders/>
      </w:tcPr>
    </w:tblStylePr>
    <w:tcPr>
      <w:tcBorders/>
    </w:tcPr>
  </w:style>
  <w:style w:type="table" w:customStyle="1" w:styleId="style4100">
    <w:name w:val="Plain Table 4"/>
    <w:basedOn w:val="style105"/>
    <w:next w:val="style4100"/>
    <w:uiPriority w:val="44"/>
    <w:pPr>
      <w:spacing w:after="0" w:lineRule="auto" w:line="240"/>
    </w:pPr>
    <w:rPr/>
    <w:tblPr>
      <w:tblStyleRowBandSize w:val="1"/>
      <w:tblStyleColBandSize w:val="1"/>
    </w:tblPr>
    <w:tblStylePr w:type="firstRow">
      <w:pPr/>
      <w:rPr>
        <w:b/>
        <w:bCs/>
      </w:rPr>
      <w:tcPr>
        <w:tcBorders/>
      </w:tcPr>
    </w:tblStylePr>
    <w:tblStylePr w:type="lastRow">
      <w:pPr/>
      <w:rPr>
        <w:b/>
        <w:bCs/>
      </w:rPr>
      <w:tcPr>
        <w:tcBorders/>
      </w:tcPr>
    </w:tblStylePr>
    <w:tblStylePr w:type="band1Horz">
      <w:pPr/>
      <w:tblPr/>
      <w:tcPr>
        <w:tcBorders/>
        <w:shd w:val="clear" w:color="auto" w:fill="f2f2f2"/>
      </w:tcPr>
    </w:tblStylePr>
    <w:tblStylePr w:type="firstCol">
      <w:pPr/>
      <w:rPr>
        <w:b/>
        <w:bCs/>
      </w:rPr>
      <w:tcPr>
        <w:tcBorders/>
      </w:tcPr>
    </w:tblStylePr>
    <w:tblStylePr w:type="lastCol">
      <w:pPr/>
      <w:rPr>
        <w:b/>
        <w:bCs/>
      </w:rPr>
      <w:tcPr>
        <w:tcBorders/>
      </w:tcPr>
    </w:tblStylePr>
    <w:tblStylePr w:type="band1Vert">
      <w:pPr/>
      <w:tblPr/>
      <w:tcPr>
        <w:tcBorders/>
        <w:shd w:val="clear" w:color="auto" w:fill="f2f2f2"/>
      </w:tcPr>
    </w:tblStylePr>
    <w:tcPr>
      <w:tcBorders/>
    </w:tcPr>
  </w:style>
  <w:style w:type="table" w:customStyle="1" w:styleId="style4101">
    <w:name w:val="Plain Table 2"/>
    <w:basedOn w:val="style105"/>
    <w:next w:val="style4101"/>
    <w:uiPriority w:val="42"/>
    <w:pPr>
      <w:spacing w:after="0" w:lineRule="auto" w:line="240"/>
    </w:pPr>
    <w:rPr/>
    <w:tblPr>
      <w:tblStyleRowBandSize w:val="1"/>
      <w:tblStyleColBandSize w:val="1"/>
      <w:tblBorders>
        <w:top w:val="single" w:sz="4" w:space="0" w:color="7f7f7f"/>
        <w:bottom w:val="single" w:sz="4" w:space="0" w:color="7f7f7f"/>
      </w:tblBorders>
    </w:tblPr>
    <w:tblStylePr w:type="firstRow">
      <w:pPr/>
      <w:rPr>
        <w:b/>
        <w:bCs/>
      </w:rPr>
      <w:tblPr/>
      <w:tcPr>
        <w:tcBorders>
          <w:bottom w:val="single" w:sz="4" w:space="0" w:color="7f7f7f"/>
        </w:tcBorders>
      </w:tcPr>
    </w:tblStylePr>
    <w:tblStylePr w:type="lastRow">
      <w:pPr/>
      <w:rPr>
        <w:b/>
        <w:bCs/>
      </w:rPr>
      <w:tblPr/>
      <w:tcPr>
        <w:tcBorders>
          <w:top w:val="single" w:sz="4" w:space="0" w:color="7f7f7f"/>
        </w:tcBorders>
      </w:tcPr>
    </w:tblStylePr>
    <w:tblStylePr w:type="band1Horz">
      <w:pPr/>
      <w:tblPr/>
      <w:tcPr>
        <w:tcBorders>
          <w:top w:val="single" w:sz="4" w:space="0" w:color="7f7f7f"/>
          <w:bottom w:val="single" w:sz="4" w:space="0" w:color="7f7f7f"/>
        </w:tcBorders>
      </w:tcPr>
    </w:tblStylePr>
    <w:tblStylePr w:type="firstCol">
      <w:pPr/>
      <w:rPr>
        <w:b/>
        <w:bCs/>
      </w:rPr>
      <w:tcPr>
        <w:tcBorders/>
      </w:tcPr>
    </w:tblStylePr>
    <w:tblStylePr w:type="lastCol">
      <w:pPr/>
      <w:rPr>
        <w:b/>
        <w:bCs/>
      </w:rPr>
      <w:tcPr>
        <w:tcBorders/>
      </w:tcPr>
    </w:tblStylePr>
    <w:tblStylePr w:type="band1Vert">
      <w:pPr/>
      <w:tblPr/>
      <w:tcPr>
        <w:tcBorders>
          <w:left w:val="single" w:sz="4" w:space="0" w:color="7f7f7f"/>
          <w:right w:val="single" w:sz="4" w:space="0" w:color="7f7f7f"/>
        </w:tcBorders>
      </w:tcPr>
    </w:tblStylePr>
    <w:tblStylePr w:type="band2Vert">
      <w:pPr/>
      <w:tblPr/>
      <w:tcPr>
        <w:tcBorders>
          <w:left w:val="single" w:sz="4" w:space="0" w:color="7f7f7f"/>
          <w:right w:val="single" w:sz="4" w:space="0" w:color="7f7f7f"/>
        </w:tcBorders>
      </w:tcPr>
    </w:tblStylePr>
    <w:tcPr>
      <w:tcBorders/>
    </w:tcPr>
  </w:style>
  <w:style w:type="paragraph" w:styleId="style31">
    <w:name w:val="header"/>
    <w:basedOn w:val="style0"/>
    <w:next w:val="style31"/>
    <w:link w:val="style4102"/>
    <w:uiPriority w:val="99"/>
    <w:pPr>
      <w:tabs>
        <w:tab w:val="center" w:leader="none" w:pos="4513"/>
        <w:tab w:val="right" w:leader="none" w:pos="9026"/>
      </w:tabs>
      <w:spacing w:after="0" w:lineRule="auto" w:line="240"/>
    </w:pPr>
    <w:rPr/>
  </w:style>
  <w:style w:type="character" w:customStyle="1" w:styleId="style4102">
    <w:name w:val="Header Char_80488706-3ed7-4e23-a90c-9679dd106c9f"/>
    <w:basedOn w:val="style65"/>
    <w:next w:val="style4102"/>
    <w:link w:val="style31"/>
    <w:uiPriority w:val="99"/>
  </w:style>
  <w:style w:type="paragraph" w:styleId="style32">
    <w:name w:val="footer"/>
    <w:basedOn w:val="style0"/>
    <w:next w:val="style32"/>
    <w:link w:val="style4103"/>
    <w:uiPriority w:val="99"/>
    <w:pPr>
      <w:tabs>
        <w:tab w:val="center" w:leader="none" w:pos="4513"/>
        <w:tab w:val="right" w:leader="none" w:pos="9026"/>
      </w:tabs>
      <w:spacing w:after="0" w:lineRule="auto" w:line="240"/>
    </w:pPr>
    <w:rPr/>
  </w:style>
  <w:style w:type="character" w:customStyle="1" w:styleId="style4103">
    <w:name w:val="Footer Char_498b5e4b-ea7a-46c3-bbe6-46993ca47db5"/>
    <w:basedOn w:val="style65"/>
    <w:next w:val="style4103"/>
    <w:link w:val="style32"/>
    <w:uiPriority w:val="99"/>
  </w:style>
  <w:style w:type="paragraph" w:styleId="style179">
    <w:name w:val="List Paragraph"/>
    <w:basedOn w:val="style0"/>
    <w:next w:val="style179"/>
    <w:qFormat/>
    <w:uiPriority w:val="34"/>
    <w:pPr>
      <w:ind w:left="720"/>
      <w:contextualSpacing/>
    </w:pPr>
    <w:rPr/>
  </w:style>
  <w:style w:type="character" w:customStyle="1" w:styleId="style4104">
    <w:name w:val="Heading 1 Char_96abc91e-5ffe-494a-b400-00694e5f709f"/>
    <w:basedOn w:val="style65"/>
    <w:next w:val="style4104"/>
    <w:link w:val="style1"/>
    <w:uiPriority w:val="9"/>
    <w:rPr>
      <w:rFonts w:ascii="Calibri Light" w:cs="宋体" w:eastAsia="宋体" w:hAnsi="Calibri Light"/>
      <w:color w:val="2e74b5"/>
      <w:sz w:val="32"/>
      <w:szCs w:val="32"/>
    </w:rPr>
  </w:style>
  <w:style w:type="character" w:customStyle="1" w:styleId="style4105">
    <w:name w:val="Heading 2 Char_9ab36d9e-2ad9-4712-9da0-5722effea8cb"/>
    <w:basedOn w:val="style65"/>
    <w:next w:val="style4105"/>
    <w:link w:val="style2"/>
    <w:uiPriority w:val="9"/>
    <w:rPr>
      <w:rFonts w:ascii="Calibri Light" w:cs="宋体" w:eastAsia="宋体" w:hAnsi="Calibri Light"/>
      <w:color w:val="2e74b5"/>
      <w:sz w:val="26"/>
      <w:szCs w:val="26"/>
    </w:rPr>
  </w:style>
  <w:style w:type="paragraph" w:styleId="style153">
    <w:name w:val="Balloon Text"/>
    <w:basedOn w:val="style0"/>
    <w:next w:val="style153"/>
    <w:link w:val="style4106"/>
    <w:uiPriority w:val="99"/>
    <w:pPr>
      <w:spacing w:after="0" w:lineRule="auto" w:line="240"/>
    </w:pPr>
    <w:rPr>
      <w:rFonts w:ascii="Segoe UI" w:cs="Segoe UI" w:hAnsi="Segoe UI"/>
      <w:sz w:val="18"/>
      <w:szCs w:val="18"/>
    </w:rPr>
  </w:style>
  <w:style w:type="character" w:customStyle="1" w:styleId="style4106">
    <w:name w:val="Balloon Text Char"/>
    <w:basedOn w:val="style65"/>
    <w:next w:val="style4106"/>
    <w:link w:val="style153"/>
    <w:uiPriority w:val="99"/>
    <w:rPr>
      <w:rFonts w:ascii="Segoe UI" w:cs="Segoe UI" w:hAnsi="Segoe UI"/>
      <w:sz w:val="18"/>
      <w:szCs w:val="18"/>
    </w:rPr>
  </w:style>
  <w:style w:type="paragraph" w:styleId="style266">
    <w:name w:val="TOC Heading"/>
    <w:basedOn w:val="style1"/>
    <w:next w:val="style0"/>
    <w:qFormat/>
    <w:uiPriority w:val="39"/>
    <w:pPr>
      <w:outlineLvl w:val="9"/>
    </w:pPr>
    <w:rPr>
      <w:lang w:val="en-US"/>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563c1"/>
      <w:u w:val="single"/>
    </w:rPr>
  </w:style>
  <w:style w:type="paragraph" w:styleId="style62">
    <w:name w:val="Title"/>
    <w:basedOn w:val="style0"/>
    <w:next w:val="style0"/>
    <w:link w:val="style4107"/>
    <w:qFormat/>
    <w:uiPriority w:val="10"/>
    <w:pPr>
      <w:spacing w:after="0" w:lineRule="auto" w:line="216"/>
      <w:contextualSpacing/>
    </w:pPr>
    <w:rPr>
      <w:rFonts w:ascii="Calibri Light" w:cs="宋体" w:eastAsia="宋体" w:hAnsi="Calibri Light"/>
      <w:color w:val="404040"/>
      <w:spacing w:val="-10"/>
      <w:kern w:val="28"/>
      <w:sz w:val="56"/>
      <w:szCs w:val="56"/>
      <w:lang w:val="en-US"/>
    </w:rPr>
  </w:style>
  <w:style w:type="character" w:customStyle="1" w:styleId="style4107">
    <w:name w:val="Title Char_1b6a6807-75ce-4e01-80a7-a1b7dc226794"/>
    <w:basedOn w:val="style65"/>
    <w:next w:val="style4107"/>
    <w:link w:val="style62"/>
    <w:uiPriority w:val="10"/>
    <w:rPr>
      <w:rFonts w:ascii="Calibri Light" w:cs="宋体" w:eastAsia="宋体" w:hAnsi="Calibri Light"/>
      <w:color w:val="404040"/>
      <w:spacing w:val="-10"/>
      <w:kern w:val="28"/>
      <w:sz w:val="56"/>
      <w:szCs w:val="56"/>
      <w:lang w:val="en-US"/>
    </w:rPr>
  </w:style>
  <w:style w:type="paragraph" w:styleId="style74">
    <w:name w:val="Subtitle"/>
    <w:basedOn w:val="style0"/>
    <w:next w:val="style0"/>
    <w:link w:val="style4108"/>
    <w:qFormat/>
    <w:uiPriority w:val="11"/>
    <w:pPr>
      <w:numPr>
        <w:ilvl w:val="1"/>
        <w:numId w:val="0"/>
      </w:numPr>
    </w:pPr>
    <w:rPr>
      <w:rFonts w:cs="Times New Roman" w:eastAsia="宋体"/>
      <w:color w:val="5a5a5a"/>
      <w:spacing w:val="15"/>
      <w:lang w:val="en-US"/>
    </w:rPr>
  </w:style>
  <w:style w:type="character" w:customStyle="1" w:styleId="style4108">
    <w:name w:val="Subtitle Char"/>
    <w:basedOn w:val="style65"/>
    <w:next w:val="style4108"/>
    <w:link w:val="style74"/>
    <w:uiPriority w:val="11"/>
    <w:rPr>
      <w:rFonts w:cs="Times New Roman" w:eastAsia="宋体"/>
      <w:color w:val="5a5a5a"/>
      <w:spacing w:val="15"/>
      <w:lang w:val="en-US"/>
    </w:rPr>
  </w:style>
  <w:style w:type="paragraph" w:styleId="style157">
    <w:name w:val="No Spacing"/>
    <w:next w:val="style157"/>
    <w:link w:val="style4109"/>
    <w:qFormat/>
    <w:uiPriority w:val="1"/>
    <w:pPr>
      <w:spacing w:after="0" w:lineRule="auto" w:line="240"/>
    </w:pPr>
    <w:rPr>
      <w:rFonts w:eastAsia="宋体"/>
      <w:lang w:val="en-US"/>
    </w:rPr>
  </w:style>
  <w:style w:type="character" w:customStyle="1" w:styleId="style4109">
    <w:name w:val="No Spacing Char"/>
    <w:basedOn w:val="style65"/>
    <w:next w:val="style4109"/>
    <w:link w:val="style157"/>
    <w:uiPriority w:val="1"/>
    <w:rPr>
      <w:rFonts w:eastAsia="宋体"/>
      <w:lang w:val="en-U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64273-4BDE-4C0E-A06D-64F084ABF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5522</Words>
  <Pages>18</Pages>
  <Characters>36776</Characters>
  <Application>WPS Office</Application>
  <DocSecurity>0</DocSecurity>
  <Paragraphs>341</Paragraphs>
  <ScaleCrop>false</ScaleCrop>
  <LinksUpToDate>false</LinksUpToDate>
  <CharactersWithSpaces>42098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2023-12-18T14:44:00Z</dcterms:created>
  <dc:creator>Irfana</dc:creator>
  <lastModifiedBy>M2010J19SI</lastModifiedBy>
  <dcterms:modified xsi:type="dcterms:W3CDTF">2024-01-02T21:56:05Z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7960869b7ea0446f9694664a31031648</vt:lpwstr>
  </property>
</Properties>
</file>