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4E43C" w14:textId="40A7A34E" w:rsidR="00686A21" w:rsidRDefault="00284A22" w:rsidP="00686A21">
      <w:pPr>
        <w:spacing w:before="200" w:line="360" w:lineRule="auto"/>
        <w:jc w:val="center"/>
        <w:rPr>
          <w:rFonts w:ascii="Times New Roman" w:eastAsia="Times New Roman" w:hAnsi="Times New Roman" w:cs="Times New Roman"/>
          <w:b/>
          <w:bCs/>
          <w:sz w:val="32"/>
          <w:szCs w:val="24"/>
          <w:lang w:val="en-GB"/>
        </w:rPr>
      </w:pPr>
      <w:r>
        <w:rPr>
          <w:rFonts w:ascii="Times New Roman" w:eastAsia="Times New Roman" w:hAnsi="Times New Roman" w:cs="Times New Roman"/>
          <w:b/>
          <w:bCs/>
          <w:sz w:val="32"/>
          <w:szCs w:val="24"/>
          <w:lang w:val="en-GB"/>
        </w:rPr>
        <w:t>BMIH6001</w:t>
      </w:r>
    </w:p>
    <w:p w14:paraId="3D63D684" w14:textId="7699CC8D" w:rsidR="00284A22" w:rsidRDefault="00284A22" w:rsidP="00686A21">
      <w:pPr>
        <w:spacing w:before="200" w:line="360" w:lineRule="auto"/>
        <w:jc w:val="center"/>
        <w:rPr>
          <w:rFonts w:ascii="Times New Roman" w:eastAsia="Times New Roman" w:hAnsi="Times New Roman" w:cs="Times New Roman"/>
          <w:b/>
          <w:bCs/>
          <w:sz w:val="32"/>
          <w:szCs w:val="24"/>
          <w:lang w:val="en-GB"/>
        </w:rPr>
      </w:pPr>
      <w:r>
        <w:rPr>
          <w:rFonts w:ascii="Times New Roman" w:eastAsia="Times New Roman" w:hAnsi="Times New Roman" w:cs="Times New Roman"/>
          <w:b/>
          <w:bCs/>
          <w:sz w:val="32"/>
          <w:szCs w:val="24"/>
          <w:lang w:val="en-GB"/>
        </w:rPr>
        <w:t>Student ID:2243006</w:t>
      </w:r>
    </w:p>
    <w:p w14:paraId="66E003AB" w14:textId="2DD48BA6" w:rsidR="00284A22" w:rsidRPr="00686A21" w:rsidRDefault="00284A22" w:rsidP="00686A21">
      <w:pPr>
        <w:spacing w:before="200" w:line="360" w:lineRule="auto"/>
        <w:jc w:val="center"/>
        <w:rPr>
          <w:rFonts w:ascii="Times New Roman" w:eastAsia="Times New Roman" w:hAnsi="Times New Roman" w:cs="Times New Roman"/>
          <w:b/>
          <w:bCs/>
          <w:sz w:val="32"/>
          <w:szCs w:val="24"/>
          <w:lang w:val="en-GB"/>
        </w:rPr>
      </w:pPr>
      <w:r>
        <w:rPr>
          <w:rFonts w:ascii="Times New Roman" w:eastAsia="Times New Roman" w:hAnsi="Times New Roman" w:cs="Times New Roman"/>
          <w:b/>
          <w:bCs/>
          <w:sz w:val="32"/>
          <w:szCs w:val="24"/>
          <w:lang w:val="en-GB"/>
        </w:rPr>
        <w:t xml:space="preserve">Student </w:t>
      </w:r>
      <w:r w:rsidR="00FE502B">
        <w:rPr>
          <w:rFonts w:ascii="Times New Roman" w:eastAsia="Times New Roman" w:hAnsi="Times New Roman" w:cs="Times New Roman"/>
          <w:b/>
          <w:bCs/>
          <w:sz w:val="32"/>
          <w:szCs w:val="24"/>
          <w:lang w:val="en-GB"/>
        </w:rPr>
        <w:t xml:space="preserve">Name: </w:t>
      </w:r>
      <w:r>
        <w:rPr>
          <w:rFonts w:ascii="Times New Roman" w:eastAsia="Times New Roman" w:hAnsi="Times New Roman" w:cs="Times New Roman"/>
          <w:b/>
          <w:bCs/>
          <w:sz w:val="32"/>
          <w:szCs w:val="24"/>
          <w:lang w:val="en-GB"/>
        </w:rPr>
        <w:t>Cristina Croitoru</w:t>
      </w:r>
    </w:p>
    <w:p w14:paraId="4594CF87" w14:textId="0403353E" w:rsidR="00686A21" w:rsidRPr="00686A21" w:rsidRDefault="00FE502B" w:rsidP="00FE502B">
      <w:pPr>
        <w:spacing w:before="200" w:line="360" w:lineRule="auto"/>
        <w:rPr>
          <w:rFonts w:ascii="Times New Roman" w:eastAsia="Times New Roman" w:hAnsi="Times New Roman" w:cs="Times New Roman"/>
          <w:b/>
          <w:bCs/>
          <w:sz w:val="32"/>
          <w:szCs w:val="24"/>
          <w:lang w:val="en-GB"/>
        </w:rPr>
      </w:pPr>
      <w:r>
        <w:rPr>
          <w:rFonts w:ascii="Times New Roman" w:eastAsia="Times New Roman" w:hAnsi="Times New Roman" w:cs="Times New Roman"/>
          <w:b/>
          <w:bCs/>
          <w:sz w:val="32"/>
          <w:szCs w:val="24"/>
          <w:lang w:val="en-GB"/>
        </w:rPr>
        <w:t xml:space="preserve">                            Module tutor: Jessica Newport </w:t>
      </w:r>
    </w:p>
    <w:p w14:paraId="78EA4016" w14:textId="77777777" w:rsidR="00686A21" w:rsidRPr="00686A21" w:rsidRDefault="00686A21" w:rsidP="00686A21">
      <w:pPr>
        <w:spacing w:before="200" w:line="360" w:lineRule="auto"/>
        <w:jc w:val="center"/>
        <w:rPr>
          <w:rFonts w:ascii="Times New Roman" w:eastAsia="Times New Roman" w:hAnsi="Times New Roman" w:cs="Times New Roman"/>
          <w:b/>
          <w:bCs/>
          <w:sz w:val="32"/>
          <w:szCs w:val="24"/>
          <w:lang w:val="en-GB"/>
        </w:rPr>
      </w:pPr>
    </w:p>
    <w:p w14:paraId="4DA98839" w14:textId="77777777" w:rsidR="00686A21" w:rsidRPr="00686A21" w:rsidRDefault="00686A21" w:rsidP="00686A21">
      <w:pPr>
        <w:spacing w:before="200" w:line="360" w:lineRule="auto"/>
        <w:jc w:val="center"/>
        <w:rPr>
          <w:rFonts w:ascii="Times New Roman" w:eastAsia="Times New Roman" w:hAnsi="Times New Roman" w:cs="Times New Roman"/>
          <w:b/>
          <w:bCs/>
          <w:sz w:val="32"/>
          <w:szCs w:val="24"/>
          <w:lang w:val="en-GB"/>
        </w:rPr>
      </w:pPr>
    </w:p>
    <w:p w14:paraId="7BDBD2D6" w14:textId="77777777" w:rsidR="00686A21" w:rsidRPr="00686A21" w:rsidRDefault="00686A21" w:rsidP="00686A21">
      <w:pPr>
        <w:spacing w:before="200" w:line="360" w:lineRule="auto"/>
        <w:jc w:val="center"/>
        <w:rPr>
          <w:rFonts w:ascii="Times New Roman" w:eastAsia="Times New Roman" w:hAnsi="Times New Roman" w:cs="Times New Roman"/>
          <w:b/>
          <w:bCs/>
          <w:sz w:val="32"/>
          <w:szCs w:val="24"/>
          <w:lang w:val="en-GB"/>
        </w:rPr>
      </w:pPr>
    </w:p>
    <w:p w14:paraId="00000001" w14:textId="1CFB5D7D" w:rsidR="00606BFC" w:rsidRPr="00686A21" w:rsidRDefault="00686A21" w:rsidP="00686A21">
      <w:pPr>
        <w:spacing w:before="200" w:line="360" w:lineRule="auto"/>
        <w:jc w:val="center"/>
        <w:rPr>
          <w:rFonts w:ascii="Times New Roman" w:eastAsia="Times New Roman" w:hAnsi="Times New Roman" w:cs="Times New Roman"/>
          <w:sz w:val="32"/>
          <w:szCs w:val="24"/>
          <w:lang w:val="en-GB"/>
        </w:rPr>
      </w:pPr>
      <w:r w:rsidRPr="00686A21">
        <w:rPr>
          <w:rFonts w:ascii="Times New Roman" w:eastAsia="Times New Roman" w:hAnsi="Times New Roman" w:cs="Times New Roman"/>
          <w:b/>
          <w:bCs/>
          <w:sz w:val="32"/>
          <w:szCs w:val="24"/>
          <w:lang w:val="en-GB"/>
        </w:rPr>
        <w:t>SUSTAINABILITY IN HOSPITALITY: EVALUATING THE EFFICACY OF FOOD WASTE REDUCTION STRATEGIES IN ACHIEVING OPERATIONAL AND ENVIRONMENTAL GOALS</w:t>
      </w:r>
    </w:p>
    <w:p w14:paraId="00000002"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lang w:val="en-GB"/>
        </w:rPr>
        <w:br w:type="page"/>
      </w:r>
    </w:p>
    <w:p w14:paraId="00000003" w14:textId="77777777" w:rsidR="00606BFC" w:rsidRPr="00686A21" w:rsidRDefault="005E20AA">
      <w:pPr>
        <w:spacing w:before="200" w:line="360" w:lineRule="auto"/>
        <w:jc w:val="center"/>
        <w:rPr>
          <w:rFonts w:ascii="Times New Roman" w:eastAsia="Times New Roman" w:hAnsi="Times New Roman" w:cs="Times New Roman"/>
          <w:b/>
          <w:bCs/>
          <w:sz w:val="24"/>
          <w:szCs w:val="24"/>
          <w:lang w:val="en-GB"/>
        </w:rPr>
      </w:pPr>
      <w:r w:rsidRPr="00686A21">
        <w:rPr>
          <w:rFonts w:ascii="Times New Roman" w:eastAsia="Times New Roman" w:hAnsi="Times New Roman" w:cs="Times New Roman"/>
          <w:b/>
          <w:bCs/>
          <w:sz w:val="24"/>
          <w:szCs w:val="24"/>
          <w:lang w:val="en-GB"/>
        </w:rPr>
        <w:lastRenderedPageBreak/>
        <w:t>Abstract</w:t>
      </w:r>
    </w:p>
    <w:p w14:paraId="5CD73FDA" w14:textId="77777777" w:rsidR="00BB6F09" w:rsidRPr="00BB6F09" w:rsidRDefault="00BB6F09" w:rsidP="00BB6F09">
      <w:pPr>
        <w:pStyle w:val="NormalWeb"/>
        <w:spacing w:before="240" w:beforeAutospacing="0" w:after="240" w:afterAutospacing="0" w:line="360" w:lineRule="auto"/>
        <w:jc w:val="both"/>
        <w:rPr>
          <w:lang w:val="en-GB"/>
        </w:rPr>
      </w:pPr>
      <w:r w:rsidRPr="00BB6F09">
        <w:rPr>
          <w:color w:val="000000"/>
          <w:lang w:val="en-GB"/>
        </w:rPr>
        <w:t>Overproduction, poor forecasting, and buffet-like models of service have led to food waste being one of the most urgent sustainability issues in the international hospitality industry, resulting in large quantities of preventable waste. In addition to increasing operational costs, this also leads to a significant amount of greenhouse gas emissions and puts hotels under increasing pressure to meet their environmental goals and stakeholder demands. With increasing pressure on hotels to be more transparent and accountable to their guests and regulators, several initiatives aimed at reducing waste are being proposed by hotels as one of the steps towards being responsible towards the environment.</w:t>
      </w:r>
    </w:p>
    <w:p w14:paraId="48B9688F" w14:textId="77777777" w:rsidR="00BB6F09" w:rsidRPr="00BB6F09" w:rsidRDefault="00BB6F09" w:rsidP="00BB6F09">
      <w:pPr>
        <w:pStyle w:val="NormalWeb"/>
        <w:spacing w:before="240" w:beforeAutospacing="0" w:after="240" w:afterAutospacing="0" w:line="360" w:lineRule="auto"/>
        <w:jc w:val="both"/>
        <w:rPr>
          <w:lang w:val="en-GB"/>
        </w:rPr>
      </w:pPr>
      <w:r w:rsidRPr="00BB6F09">
        <w:rPr>
          <w:color w:val="000000"/>
          <w:lang w:val="en-GB"/>
        </w:rPr>
        <w:t>The paper is a systematic review of the modern literature that attempts to assess the efficacy of the existing food-waste-reduction strategies. Major strategies that have been identified are the adoption of smart inventory solutions, behavioural interventions led by staff, menu engineering, local sourcing, and circular solutions, which are composting and food redistribution. A PESTLE analysis is also included in the research in order to review the influence that the forces of politics, economy, social, technological, legal, and environmental have on the adoption and success of such initiatives in the settings of various types of hotels and in various regions.</w:t>
      </w:r>
    </w:p>
    <w:p w14:paraId="00000005" w14:textId="20D9C62D" w:rsidR="00606BFC" w:rsidRPr="00BB6F09" w:rsidRDefault="00BB6F09" w:rsidP="00BB6F09">
      <w:pPr>
        <w:pStyle w:val="NormalWeb"/>
        <w:spacing w:before="240" w:beforeAutospacing="0" w:after="240" w:afterAutospacing="0" w:line="360" w:lineRule="auto"/>
        <w:jc w:val="both"/>
      </w:pPr>
      <w:r w:rsidRPr="00BB6F09">
        <w:rPr>
          <w:color w:val="000000"/>
          <w:lang w:val="en-GB"/>
        </w:rPr>
        <w:t>It has been found that big hotel chains have achieved some quantifiable successes based on the investment in digital tools and also in organising sustainability programmes. Small independent hotels still have a long way to go to overcome a number of obstacles that are associated with cost, staffing, training and adherence with various regulations. Most interventions have potential, but their effectiveness is discouraged by the lack of consistency in the measurement of data, involvement of other employees, and operational impairments. The research finally ends by suggesting that better collaboration between the industries, increased access to scalable technologies, enhancing staff engagement, and standardised reporting are the way to make food-waste management in the hospitality industry more lasting.</w:t>
      </w:r>
      <w:r w:rsidR="005E20AA" w:rsidRPr="00686A21">
        <w:rPr>
          <w:lang w:val="en-GB"/>
        </w:rPr>
        <w:br w:type="page"/>
      </w:r>
    </w:p>
    <w:sdt>
      <w:sdtPr>
        <w:rPr>
          <w:rFonts w:ascii="Arial" w:eastAsia="Arial" w:hAnsi="Arial" w:cs="Arial"/>
          <w:color w:val="auto"/>
          <w:sz w:val="22"/>
          <w:szCs w:val="22"/>
        </w:rPr>
        <w:id w:val="-1753808527"/>
        <w:docPartObj>
          <w:docPartGallery w:val="Table of Contents"/>
          <w:docPartUnique/>
        </w:docPartObj>
      </w:sdtPr>
      <w:sdtEndPr>
        <w:rPr>
          <w:b/>
          <w:bCs/>
          <w:noProof/>
        </w:rPr>
      </w:sdtEndPr>
      <w:sdtContent>
        <w:p w14:paraId="201DEEFA" w14:textId="6BE50348" w:rsidR="004E270B" w:rsidRPr="004E270B" w:rsidRDefault="004E270B" w:rsidP="004E270B">
          <w:pPr>
            <w:pStyle w:val="TOCHeading"/>
            <w:spacing w:line="360" w:lineRule="auto"/>
            <w:jc w:val="center"/>
            <w:rPr>
              <w:rFonts w:ascii="Times New Roman" w:hAnsi="Times New Roman" w:cs="Times New Roman"/>
              <w:b/>
              <w:color w:val="000000" w:themeColor="text1"/>
              <w:sz w:val="24"/>
            </w:rPr>
          </w:pPr>
          <w:r w:rsidRPr="004E270B">
            <w:rPr>
              <w:rFonts w:ascii="Times New Roman" w:hAnsi="Times New Roman" w:cs="Times New Roman"/>
              <w:b/>
              <w:color w:val="000000" w:themeColor="text1"/>
              <w:sz w:val="24"/>
            </w:rPr>
            <w:t>Table of Contents</w:t>
          </w:r>
        </w:p>
        <w:p w14:paraId="4570B599"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220936777" w:history="1">
            <w:r w:rsidRPr="004E270B">
              <w:rPr>
                <w:rStyle w:val="Hyperlink"/>
                <w:rFonts w:ascii="Times New Roman" w:hAnsi="Times New Roman" w:cs="Times New Roman"/>
                <w:noProof/>
                <w:sz w:val="24"/>
                <w:lang w:val="en-GB"/>
              </w:rPr>
              <w:t>1. Introduction</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_Toc220936777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4</w:t>
            </w:r>
            <w:r w:rsidRPr="004E270B">
              <w:rPr>
                <w:rFonts w:ascii="Times New Roman" w:hAnsi="Times New Roman" w:cs="Times New Roman"/>
                <w:noProof/>
                <w:webHidden/>
                <w:sz w:val="24"/>
              </w:rPr>
              <w:fldChar w:fldCharType="end"/>
            </w:r>
          </w:hyperlink>
        </w:p>
        <w:p w14:paraId="0FF3813B"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78" w:history="1">
            <w:r w:rsidRPr="004E270B">
              <w:rPr>
                <w:rStyle w:val="Hyperlink"/>
                <w:rFonts w:ascii="Times New Roman" w:hAnsi="Times New Roman" w:cs="Times New Roman"/>
                <w:noProof/>
                <w:sz w:val="24"/>
                <w:lang w:val="en-GB"/>
              </w:rPr>
              <w:t>2. Literature Review</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_Toc220936778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4</w:t>
            </w:r>
            <w:r w:rsidRPr="004E270B">
              <w:rPr>
                <w:rFonts w:ascii="Times New Roman" w:hAnsi="Times New Roman" w:cs="Times New Roman"/>
                <w:noProof/>
                <w:webHidden/>
                <w:sz w:val="24"/>
              </w:rPr>
              <w:fldChar w:fldCharType="end"/>
            </w:r>
          </w:hyperlink>
        </w:p>
        <w:p w14:paraId="0BB17553"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79" w:history="1">
            <w:r w:rsidRPr="004E270B">
              <w:rPr>
                <w:rStyle w:val="Hyperlink"/>
                <w:rFonts w:ascii="Times New Roman" w:hAnsi="Times New Roman" w:cs="Times New Roman"/>
                <w:noProof/>
                <w:sz w:val="24"/>
                <w:lang w:val="en-GB"/>
              </w:rPr>
              <w:t>2.1 Technology and Smart Inventory Systems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_Toc220936779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4</w:t>
            </w:r>
            <w:r w:rsidRPr="004E270B">
              <w:rPr>
                <w:rFonts w:ascii="Times New Roman" w:hAnsi="Times New Roman" w:cs="Times New Roman"/>
                <w:noProof/>
                <w:webHidden/>
                <w:sz w:val="24"/>
              </w:rPr>
              <w:fldChar w:fldCharType="end"/>
            </w:r>
          </w:hyperlink>
        </w:p>
        <w:p w14:paraId="31EEB02B"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0" w:history="1">
            <w:r w:rsidRPr="004E270B">
              <w:rPr>
                <w:rStyle w:val="Hyperlink"/>
                <w:rFonts w:ascii="Times New Roman" w:hAnsi="Times New Roman" w:cs="Times New Roman"/>
                <w:noProof/>
                <w:sz w:val="24"/>
                <w:lang w:val="en-GB"/>
              </w:rPr>
              <w:t>2.2 Behavioural and Staff-Driven Measures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_Toc220936780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5</w:t>
            </w:r>
            <w:r w:rsidRPr="004E270B">
              <w:rPr>
                <w:rFonts w:ascii="Times New Roman" w:hAnsi="Times New Roman" w:cs="Times New Roman"/>
                <w:noProof/>
                <w:webHidden/>
                <w:sz w:val="24"/>
              </w:rPr>
              <w:fldChar w:fldCharType="end"/>
            </w:r>
          </w:hyperlink>
        </w:p>
        <w:p w14:paraId="2CE9323F"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1" w:history="1">
            <w:r w:rsidRPr="004E270B">
              <w:rPr>
                <w:rStyle w:val="Hyperlink"/>
                <w:rFonts w:ascii="Times New Roman" w:hAnsi="Times New Roman" w:cs="Times New Roman"/>
                <w:noProof/>
                <w:sz w:val="24"/>
                <w:lang w:val="en-GB"/>
              </w:rPr>
              <w:t>2.3 Menu Engineering, Portion Control, and Service Style</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_Toc220936781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5</w:t>
            </w:r>
            <w:r w:rsidRPr="004E270B">
              <w:rPr>
                <w:rFonts w:ascii="Times New Roman" w:hAnsi="Times New Roman" w:cs="Times New Roman"/>
                <w:noProof/>
                <w:webHidden/>
                <w:sz w:val="24"/>
              </w:rPr>
              <w:fldChar w:fldCharType="end"/>
            </w:r>
          </w:hyperlink>
        </w:p>
        <w:p w14:paraId="09395F73"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2" w:history="1">
            <w:r w:rsidRPr="004E270B">
              <w:rPr>
                <w:rStyle w:val="Hyperlink"/>
                <w:rFonts w:ascii="Times New Roman" w:hAnsi="Times New Roman" w:cs="Times New Roman"/>
                <w:noProof/>
                <w:sz w:val="24"/>
                <w:lang w:val="en-GB"/>
              </w:rPr>
              <w:t>2.4 Procurement Strategies and Local Sourcing</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_Toc220936782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5</w:t>
            </w:r>
            <w:r w:rsidRPr="004E270B">
              <w:rPr>
                <w:rFonts w:ascii="Times New Roman" w:hAnsi="Times New Roman" w:cs="Times New Roman"/>
                <w:noProof/>
                <w:webHidden/>
                <w:sz w:val="24"/>
              </w:rPr>
              <w:fldChar w:fldCharType="end"/>
            </w:r>
          </w:hyperlink>
        </w:p>
        <w:p w14:paraId="790F79F8"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3" w:history="1">
            <w:r w:rsidRPr="004E270B">
              <w:rPr>
                <w:rStyle w:val="Hyperlink"/>
                <w:rFonts w:ascii="Times New Roman" w:hAnsi="Times New Roman" w:cs="Times New Roman"/>
                <w:noProof/>
                <w:sz w:val="24"/>
                <w:lang w:val="en-GB"/>
              </w:rPr>
              <w:t>2.5 Composting, Food Redistribution, and Circular Solutions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_Toc220936783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6</w:t>
            </w:r>
            <w:r w:rsidRPr="004E270B">
              <w:rPr>
                <w:rFonts w:ascii="Times New Roman" w:hAnsi="Times New Roman" w:cs="Times New Roman"/>
                <w:noProof/>
                <w:webHidden/>
                <w:sz w:val="24"/>
              </w:rPr>
              <w:fldChar w:fldCharType="end"/>
            </w:r>
          </w:hyperlink>
        </w:p>
        <w:p w14:paraId="61C70BF6"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4" w:history="1">
            <w:r w:rsidRPr="004E270B">
              <w:rPr>
                <w:rStyle w:val="Hyperlink"/>
                <w:rFonts w:ascii="Times New Roman" w:hAnsi="Times New Roman" w:cs="Times New Roman"/>
                <w:noProof/>
                <w:sz w:val="24"/>
                <w:lang w:val="en-GB"/>
              </w:rPr>
              <w:t>2.6 Financial Implications and Barriers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_Toc220936784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6</w:t>
            </w:r>
            <w:r w:rsidRPr="004E270B">
              <w:rPr>
                <w:rFonts w:ascii="Times New Roman" w:hAnsi="Times New Roman" w:cs="Times New Roman"/>
                <w:noProof/>
                <w:webHidden/>
                <w:sz w:val="24"/>
              </w:rPr>
              <w:fldChar w:fldCharType="end"/>
            </w:r>
          </w:hyperlink>
        </w:p>
        <w:p w14:paraId="2C22D9B9"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85" w:history="1">
            <w:r w:rsidRPr="004E270B">
              <w:rPr>
                <w:rStyle w:val="Hyperlink"/>
                <w:rFonts w:ascii="Times New Roman" w:hAnsi="Times New Roman" w:cs="Times New Roman"/>
                <w:noProof/>
                <w:sz w:val="24"/>
                <w:lang w:val="en-GB"/>
              </w:rPr>
              <w:t>3. Method</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_Toc220936785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7</w:t>
            </w:r>
            <w:r w:rsidRPr="004E270B">
              <w:rPr>
                <w:rFonts w:ascii="Times New Roman" w:hAnsi="Times New Roman" w:cs="Times New Roman"/>
                <w:noProof/>
                <w:webHidden/>
                <w:sz w:val="24"/>
              </w:rPr>
              <w:fldChar w:fldCharType="end"/>
            </w:r>
          </w:hyperlink>
        </w:p>
        <w:p w14:paraId="500763A0"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86" w:history="1">
            <w:r w:rsidRPr="004E270B">
              <w:rPr>
                <w:rStyle w:val="Hyperlink"/>
                <w:rFonts w:ascii="Times New Roman" w:hAnsi="Times New Roman" w:cs="Times New Roman"/>
                <w:noProof/>
                <w:sz w:val="24"/>
                <w:lang w:val="en-GB"/>
              </w:rPr>
              <w:t>4. Theme Impact Analysis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_Toc220936786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7</w:t>
            </w:r>
            <w:r w:rsidRPr="004E270B">
              <w:rPr>
                <w:rFonts w:ascii="Times New Roman" w:hAnsi="Times New Roman" w:cs="Times New Roman"/>
                <w:noProof/>
                <w:webHidden/>
                <w:sz w:val="24"/>
              </w:rPr>
              <w:fldChar w:fldCharType="end"/>
            </w:r>
          </w:hyperlink>
        </w:p>
        <w:p w14:paraId="4685CDA9"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7" w:history="1">
            <w:r w:rsidRPr="004E270B">
              <w:rPr>
                <w:rStyle w:val="Hyperlink"/>
                <w:rFonts w:ascii="Times New Roman" w:hAnsi="Times New Roman" w:cs="Times New Roman"/>
                <w:noProof/>
                <w:sz w:val="24"/>
                <w:lang w:val="en-GB"/>
              </w:rPr>
              <w:t>4.1 Political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_Toc220936787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7</w:t>
            </w:r>
            <w:r w:rsidRPr="004E270B">
              <w:rPr>
                <w:rFonts w:ascii="Times New Roman" w:hAnsi="Times New Roman" w:cs="Times New Roman"/>
                <w:noProof/>
                <w:webHidden/>
                <w:sz w:val="24"/>
              </w:rPr>
              <w:fldChar w:fldCharType="end"/>
            </w:r>
          </w:hyperlink>
        </w:p>
        <w:p w14:paraId="162FB2C0"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8" w:history="1">
            <w:r w:rsidRPr="004E270B">
              <w:rPr>
                <w:rStyle w:val="Hyperlink"/>
                <w:rFonts w:ascii="Times New Roman" w:hAnsi="Times New Roman" w:cs="Times New Roman"/>
                <w:noProof/>
                <w:sz w:val="24"/>
                <w:lang w:val="en-GB"/>
              </w:rPr>
              <w:t>4.2 Economic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_Toc220936788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8</w:t>
            </w:r>
            <w:r w:rsidRPr="004E270B">
              <w:rPr>
                <w:rFonts w:ascii="Times New Roman" w:hAnsi="Times New Roman" w:cs="Times New Roman"/>
                <w:noProof/>
                <w:webHidden/>
                <w:sz w:val="24"/>
              </w:rPr>
              <w:fldChar w:fldCharType="end"/>
            </w:r>
          </w:hyperlink>
        </w:p>
        <w:p w14:paraId="3EE927DF"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89" w:history="1">
            <w:r w:rsidRPr="004E270B">
              <w:rPr>
                <w:rStyle w:val="Hyperlink"/>
                <w:rFonts w:ascii="Times New Roman" w:hAnsi="Times New Roman" w:cs="Times New Roman"/>
                <w:noProof/>
                <w:sz w:val="24"/>
                <w:lang w:val="en-GB"/>
              </w:rPr>
              <w:t>4.3 Social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_Toc220936789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8</w:t>
            </w:r>
            <w:r w:rsidRPr="004E270B">
              <w:rPr>
                <w:rFonts w:ascii="Times New Roman" w:hAnsi="Times New Roman" w:cs="Times New Roman"/>
                <w:noProof/>
                <w:webHidden/>
                <w:sz w:val="24"/>
              </w:rPr>
              <w:fldChar w:fldCharType="end"/>
            </w:r>
          </w:hyperlink>
        </w:p>
        <w:p w14:paraId="11AB71BA"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90" w:history="1">
            <w:r w:rsidRPr="004E270B">
              <w:rPr>
                <w:rStyle w:val="Hyperlink"/>
                <w:rFonts w:ascii="Times New Roman" w:hAnsi="Times New Roman" w:cs="Times New Roman"/>
                <w:noProof/>
                <w:sz w:val="24"/>
                <w:lang w:val="en-GB"/>
              </w:rPr>
              <w:t>4.4 Technological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_Toc220936790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8</w:t>
            </w:r>
            <w:r w:rsidRPr="004E270B">
              <w:rPr>
                <w:rFonts w:ascii="Times New Roman" w:hAnsi="Times New Roman" w:cs="Times New Roman"/>
                <w:noProof/>
                <w:webHidden/>
                <w:sz w:val="24"/>
              </w:rPr>
              <w:fldChar w:fldCharType="end"/>
            </w:r>
          </w:hyperlink>
        </w:p>
        <w:p w14:paraId="7936ACA1"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91" w:history="1">
            <w:r w:rsidRPr="004E270B">
              <w:rPr>
                <w:rStyle w:val="Hyperlink"/>
                <w:rFonts w:ascii="Times New Roman" w:hAnsi="Times New Roman" w:cs="Times New Roman"/>
                <w:noProof/>
                <w:sz w:val="24"/>
                <w:lang w:val="en-GB"/>
              </w:rPr>
              <w:t>4.5 Legal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_Toc220936791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9</w:t>
            </w:r>
            <w:r w:rsidRPr="004E270B">
              <w:rPr>
                <w:rFonts w:ascii="Times New Roman" w:hAnsi="Times New Roman" w:cs="Times New Roman"/>
                <w:noProof/>
                <w:webHidden/>
                <w:sz w:val="24"/>
              </w:rPr>
              <w:fldChar w:fldCharType="end"/>
            </w:r>
          </w:hyperlink>
        </w:p>
        <w:p w14:paraId="4189A84E"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92" w:history="1">
            <w:r w:rsidRPr="004E270B">
              <w:rPr>
                <w:rStyle w:val="Hyperlink"/>
                <w:rFonts w:ascii="Times New Roman" w:hAnsi="Times New Roman" w:cs="Times New Roman"/>
                <w:noProof/>
                <w:sz w:val="24"/>
                <w:lang w:val="en-GB"/>
              </w:rPr>
              <w:t>4.6 Environmental Factors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_Toc220936792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9</w:t>
            </w:r>
            <w:r w:rsidRPr="004E270B">
              <w:rPr>
                <w:rFonts w:ascii="Times New Roman" w:hAnsi="Times New Roman" w:cs="Times New Roman"/>
                <w:noProof/>
                <w:webHidden/>
                <w:sz w:val="24"/>
              </w:rPr>
              <w:fldChar w:fldCharType="end"/>
            </w:r>
          </w:hyperlink>
        </w:p>
        <w:p w14:paraId="590A9013" w14:textId="77777777" w:rsidR="004E270B" w:rsidRPr="004E270B" w:rsidRDefault="004E270B" w:rsidP="004E270B">
          <w:pPr>
            <w:pStyle w:val="TOC2"/>
            <w:tabs>
              <w:tab w:val="right" w:leader="dot" w:pos="9019"/>
            </w:tabs>
            <w:spacing w:line="360" w:lineRule="auto"/>
            <w:rPr>
              <w:rFonts w:ascii="Times New Roman" w:hAnsi="Times New Roman" w:cs="Times New Roman"/>
              <w:noProof/>
              <w:sz w:val="24"/>
            </w:rPr>
          </w:pPr>
          <w:hyperlink w:anchor="_Toc220936793" w:history="1">
            <w:r w:rsidRPr="004E270B">
              <w:rPr>
                <w:rStyle w:val="Hyperlink"/>
                <w:rFonts w:ascii="Times New Roman" w:hAnsi="Times New Roman" w:cs="Times New Roman"/>
                <w:noProof/>
                <w:sz w:val="24"/>
                <w:lang w:val="en-GB"/>
              </w:rPr>
              <w:t>4.7 Industry Responses: Strengths and Limitations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_Toc220936793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10</w:t>
            </w:r>
            <w:r w:rsidRPr="004E270B">
              <w:rPr>
                <w:rFonts w:ascii="Times New Roman" w:hAnsi="Times New Roman" w:cs="Times New Roman"/>
                <w:noProof/>
                <w:webHidden/>
                <w:sz w:val="24"/>
              </w:rPr>
              <w:fldChar w:fldCharType="end"/>
            </w:r>
          </w:hyperlink>
        </w:p>
        <w:p w14:paraId="05461DA5"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94" w:history="1">
            <w:r w:rsidRPr="004E270B">
              <w:rPr>
                <w:rStyle w:val="Hyperlink"/>
                <w:rFonts w:ascii="Times New Roman" w:hAnsi="Times New Roman" w:cs="Times New Roman"/>
                <w:noProof/>
                <w:sz w:val="24"/>
                <w:lang w:val="en-GB"/>
              </w:rPr>
              <w:t>5. Conclusion</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_Toc220936794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10</w:t>
            </w:r>
            <w:r w:rsidRPr="004E270B">
              <w:rPr>
                <w:rFonts w:ascii="Times New Roman" w:hAnsi="Times New Roman" w:cs="Times New Roman"/>
                <w:noProof/>
                <w:webHidden/>
                <w:sz w:val="24"/>
              </w:rPr>
              <w:fldChar w:fldCharType="end"/>
            </w:r>
          </w:hyperlink>
        </w:p>
        <w:p w14:paraId="6DEBF644"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95" w:history="1">
            <w:r w:rsidRPr="004E270B">
              <w:rPr>
                <w:rStyle w:val="Hyperlink"/>
                <w:rFonts w:ascii="Times New Roman" w:hAnsi="Times New Roman" w:cs="Times New Roman"/>
                <w:noProof/>
                <w:sz w:val="24"/>
                <w:lang w:val="en-GB"/>
              </w:rPr>
              <w:t>6. Recommendations</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_Toc220936795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10</w:t>
            </w:r>
            <w:r w:rsidRPr="004E270B">
              <w:rPr>
                <w:rFonts w:ascii="Times New Roman" w:hAnsi="Times New Roman" w:cs="Times New Roman"/>
                <w:noProof/>
                <w:webHidden/>
                <w:sz w:val="24"/>
              </w:rPr>
              <w:fldChar w:fldCharType="end"/>
            </w:r>
          </w:hyperlink>
        </w:p>
        <w:p w14:paraId="105378CE" w14:textId="77777777" w:rsidR="004E270B" w:rsidRPr="004E270B" w:rsidRDefault="004E270B" w:rsidP="004E270B">
          <w:pPr>
            <w:pStyle w:val="TOC1"/>
            <w:tabs>
              <w:tab w:val="right" w:leader="dot" w:pos="9019"/>
            </w:tabs>
            <w:spacing w:line="360" w:lineRule="auto"/>
            <w:rPr>
              <w:rFonts w:ascii="Times New Roman" w:hAnsi="Times New Roman" w:cs="Times New Roman"/>
              <w:noProof/>
              <w:sz w:val="24"/>
            </w:rPr>
          </w:pPr>
          <w:hyperlink w:anchor="_Toc220936796" w:history="1">
            <w:r w:rsidRPr="004E270B">
              <w:rPr>
                <w:rStyle w:val="Hyperlink"/>
                <w:rFonts w:ascii="Times New Roman" w:hAnsi="Times New Roman" w:cs="Times New Roman"/>
                <w:noProof/>
                <w:sz w:val="24"/>
                <w:lang w:val="en-GB"/>
              </w:rPr>
              <w:t>Reference list</w:t>
            </w:r>
            <w:r w:rsidRPr="004E270B">
              <w:rPr>
                <w:rFonts w:ascii="Times New Roman" w:hAnsi="Times New Roman" w:cs="Times New Roman"/>
                <w:noProof/>
                <w:webHidden/>
                <w:sz w:val="24"/>
              </w:rPr>
              <w:tab/>
            </w:r>
            <w:r w:rsidRPr="004E270B">
              <w:rPr>
                <w:rFonts w:ascii="Times New Roman" w:hAnsi="Times New Roman" w:cs="Times New Roman"/>
                <w:noProof/>
                <w:webHidden/>
                <w:sz w:val="24"/>
              </w:rPr>
              <w:fldChar w:fldCharType="begin"/>
            </w:r>
            <w:r w:rsidRPr="004E270B">
              <w:rPr>
                <w:rFonts w:ascii="Times New Roman" w:hAnsi="Times New Roman" w:cs="Times New Roman"/>
                <w:noProof/>
                <w:webHidden/>
                <w:sz w:val="24"/>
              </w:rPr>
              <w:instrText xml:space="preserve"> PAGEREF _Toc220936796 \h </w:instrText>
            </w:r>
            <w:r w:rsidRPr="004E270B">
              <w:rPr>
                <w:rFonts w:ascii="Times New Roman" w:hAnsi="Times New Roman" w:cs="Times New Roman"/>
                <w:noProof/>
                <w:webHidden/>
                <w:sz w:val="24"/>
              </w:rPr>
            </w:r>
            <w:r w:rsidRPr="004E270B">
              <w:rPr>
                <w:rFonts w:ascii="Times New Roman" w:hAnsi="Times New Roman" w:cs="Times New Roman"/>
                <w:noProof/>
                <w:webHidden/>
                <w:sz w:val="24"/>
              </w:rPr>
              <w:fldChar w:fldCharType="separate"/>
            </w:r>
            <w:r w:rsidRPr="004E270B">
              <w:rPr>
                <w:rFonts w:ascii="Times New Roman" w:hAnsi="Times New Roman" w:cs="Times New Roman"/>
                <w:noProof/>
                <w:webHidden/>
                <w:sz w:val="24"/>
              </w:rPr>
              <w:t>12</w:t>
            </w:r>
            <w:r w:rsidRPr="004E270B">
              <w:rPr>
                <w:rFonts w:ascii="Times New Roman" w:hAnsi="Times New Roman" w:cs="Times New Roman"/>
                <w:noProof/>
                <w:webHidden/>
                <w:sz w:val="24"/>
              </w:rPr>
              <w:fldChar w:fldCharType="end"/>
            </w:r>
          </w:hyperlink>
        </w:p>
        <w:p w14:paraId="3765A8B0" w14:textId="6D4E321A" w:rsidR="004E270B" w:rsidRDefault="004E270B">
          <w:r>
            <w:rPr>
              <w:b/>
              <w:bCs/>
              <w:noProof/>
            </w:rPr>
            <w:fldChar w:fldCharType="end"/>
          </w:r>
        </w:p>
      </w:sdtContent>
    </w:sdt>
    <w:p w14:paraId="1890C8A8" w14:textId="77777777" w:rsidR="00686A21" w:rsidRDefault="00686A21">
      <w:pP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00000006" w14:textId="549FFBEE" w:rsidR="00606BFC" w:rsidRPr="00686A21" w:rsidRDefault="005E20AA" w:rsidP="00686A21">
      <w:pPr>
        <w:pStyle w:val="Heading1"/>
        <w:rPr>
          <w:lang w:val="en-GB"/>
        </w:rPr>
      </w:pPr>
      <w:bookmarkStart w:id="0" w:name="_Toc220936777"/>
      <w:r w:rsidRPr="00686A21">
        <w:rPr>
          <w:lang w:val="en-GB"/>
        </w:rPr>
        <w:lastRenderedPageBreak/>
        <w:t>1. Introduction</w:t>
      </w:r>
      <w:bookmarkEnd w:id="0"/>
    </w:p>
    <w:p w14:paraId="00000007"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issue of food waste has become one of the primary sustainability focus areas of the hospitality industry, considering the environmental and economic effects that food waste brings. Hotels cause a lot of waste due to buffet, overproduction, and irregular forecasting (</w:t>
      </w:r>
      <w:proofErr w:type="spellStart"/>
      <w:r w:rsidRPr="00686A21">
        <w:rPr>
          <w:rFonts w:ascii="Times New Roman" w:eastAsia="Times New Roman" w:hAnsi="Times New Roman" w:cs="Times New Roman"/>
          <w:sz w:val="24"/>
          <w:szCs w:val="24"/>
          <w:lang w:val="en-GB"/>
        </w:rPr>
        <w:t>Waaje</w:t>
      </w:r>
      <w:proofErr w:type="spellEnd"/>
      <w:r w:rsidRPr="00686A21">
        <w:rPr>
          <w:rFonts w:ascii="Times New Roman" w:eastAsia="Times New Roman" w:hAnsi="Times New Roman" w:cs="Times New Roman"/>
          <w:sz w:val="24"/>
          <w:szCs w:val="24"/>
          <w:lang w:val="en-GB"/>
        </w:rPr>
        <w:t xml:space="preserve"> et al., 2024). This waste not only costs more, but it also contributes to the emission of greenhouse gases that go against the requirements of globalisation in the quest to reach net-zero goals. With governments, guests and other industry stakeholders focusing more on environmental stewardship, more hotels are called upon to show responsible handling of garbage (Khatter et al., 2019).</w:t>
      </w:r>
    </w:p>
    <w:p w14:paraId="00000008"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significance of the theme is based on increasing environmental control measures and landfill expenses, which compel hotels to engage in operation practises that are more sustainable. Meanwhile, visitors are increasingly concerned about the environment and demand that hotels act transparently and responsibly (Khalil et al., 2022). Hotels have reacted by introducing measures like food-waste-tracking applications, sourcing alliances, composting and menu reform. It is true, though, that, whereas large hotel chains might be able to finance and provide the structures to implement such innovations, smaller hotels might be prevented by some other form of obstacle, preventing them from taking part in the most sophisticated sustainability projects. Therefore, food waste alleviation has emerged as a logical need and a long-term destination of the industry.</w:t>
      </w:r>
    </w:p>
    <w:p w14:paraId="00000009" w14:textId="77777777" w:rsidR="00606BFC" w:rsidRPr="00686A21" w:rsidRDefault="005E20AA" w:rsidP="00686A21">
      <w:pPr>
        <w:pStyle w:val="Heading1"/>
        <w:rPr>
          <w:lang w:val="en-GB"/>
        </w:rPr>
      </w:pPr>
      <w:bookmarkStart w:id="1" w:name="_Toc220936778"/>
      <w:r w:rsidRPr="00686A21">
        <w:rPr>
          <w:lang w:val="en-GB"/>
        </w:rPr>
        <w:t>2. Literature Review</w:t>
      </w:r>
      <w:bookmarkEnd w:id="1"/>
    </w:p>
    <w:p w14:paraId="0000000A" w14:textId="77777777" w:rsidR="00606BFC" w:rsidRPr="00686A21" w:rsidRDefault="005E20AA" w:rsidP="00686A21">
      <w:pPr>
        <w:pStyle w:val="Heading2"/>
        <w:rPr>
          <w:lang w:val="en-GB"/>
        </w:rPr>
      </w:pPr>
      <w:bookmarkStart w:id="2" w:name="_Toc220936779"/>
      <w:r w:rsidRPr="00686A21">
        <w:rPr>
          <w:lang w:val="en-GB"/>
        </w:rPr>
        <w:t>2.1 Technology and Smart Inventory Systems</w:t>
      </w:r>
      <w:bookmarkEnd w:id="2"/>
    </w:p>
    <w:p w14:paraId="0000000B"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One of the most effective solutions to the reduction of food waste is technology-based solutions. The use of intelligent inventory systems, digital tracking tools, and AI-based technologies to track waste minimise them allow obtaining of real-time data on the consumption rates, waste output, and purchasing requirements (</w:t>
      </w:r>
      <w:proofErr w:type="spellStart"/>
      <w:r w:rsidRPr="00686A21">
        <w:rPr>
          <w:rFonts w:ascii="Times New Roman" w:eastAsia="Times New Roman" w:hAnsi="Times New Roman" w:cs="Times New Roman"/>
          <w:sz w:val="24"/>
          <w:szCs w:val="24"/>
          <w:lang w:val="en-GB"/>
        </w:rPr>
        <w:t>Lakhouit</w:t>
      </w:r>
      <w:proofErr w:type="spellEnd"/>
      <w:r w:rsidRPr="00686A21">
        <w:rPr>
          <w:rFonts w:ascii="Times New Roman" w:eastAsia="Times New Roman" w:hAnsi="Times New Roman" w:cs="Times New Roman"/>
          <w:sz w:val="24"/>
          <w:szCs w:val="24"/>
          <w:lang w:val="en-GB"/>
        </w:rPr>
        <w:t xml:space="preserve">, 2025). The tools can assist a hotel in making changes to its ordering and menu planning, and reduce overproduction, particularly in high-waste products like buffets. Most of the hotels which introduce such systems cite that there was a great reduction of waste and greater levels of accuracy in the kitchen forecasting process (Leverenz et al., 2021). Although these are advantages, these small-scale set-ups have had significant challenges in regard to the amount of finances necessary to </w:t>
      </w:r>
      <w:r w:rsidRPr="00686A21">
        <w:rPr>
          <w:rFonts w:ascii="Times New Roman" w:eastAsia="Times New Roman" w:hAnsi="Times New Roman" w:cs="Times New Roman"/>
          <w:sz w:val="24"/>
          <w:szCs w:val="24"/>
          <w:lang w:val="en-GB"/>
        </w:rPr>
        <w:lastRenderedPageBreak/>
        <w:t>utilise advanced technologies. These tools also require continuous staff training as well as system upkeep to provide stable output on top of already scarce resources.</w:t>
      </w:r>
    </w:p>
    <w:p w14:paraId="0000000C" w14:textId="77777777" w:rsidR="00606BFC" w:rsidRPr="00686A21" w:rsidRDefault="005E20AA" w:rsidP="00686A21">
      <w:pPr>
        <w:pStyle w:val="Heading2"/>
        <w:rPr>
          <w:lang w:val="en-GB"/>
        </w:rPr>
      </w:pPr>
      <w:bookmarkStart w:id="3" w:name="_Toc220936780"/>
      <w:r w:rsidRPr="00686A21">
        <w:rPr>
          <w:lang w:val="en-GB"/>
        </w:rPr>
        <w:t>2.2 Behavioural and Staff-Driven Measures</w:t>
      </w:r>
      <w:bookmarkEnd w:id="3"/>
    </w:p>
    <w:p w14:paraId="0000000D" w14:textId="35726020" w:rsidR="00606BFC" w:rsidRPr="00A6298F" w:rsidRDefault="00A6298F">
      <w:pPr>
        <w:spacing w:before="200" w:line="360" w:lineRule="auto"/>
        <w:jc w:val="both"/>
        <w:rPr>
          <w:rFonts w:ascii="Times New Roman" w:eastAsia="Times New Roman" w:hAnsi="Times New Roman" w:cs="Times New Roman"/>
          <w:sz w:val="24"/>
          <w:szCs w:val="24"/>
          <w:lang w:val="en-GB"/>
        </w:rPr>
      </w:pPr>
      <w:r w:rsidRPr="00A6298F">
        <w:rPr>
          <w:rFonts w:ascii="Times New Roman" w:hAnsi="Times New Roman" w:cs="Times New Roman"/>
          <w:color w:val="000000"/>
          <w:sz w:val="24"/>
          <w:szCs w:val="24"/>
          <w:lang w:val="en-GB"/>
        </w:rPr>
        <w:t>The behaviour of employees is a determining factor in the outcomes of food-waste, but its effectiveness depends upon the effectiveness of introducing the sustainable practises into everyday operations. Despite the fact that, according to Cristobal et al. (2018), training in storage, portion control and waste monitoring can lead to the reduction in waste, the given advantages will not be ensured, unless they are backed up with constant audits and managerial reinforcement. Awareness or incentive programmes can be used as effective behavioural interventions but they do not work in circumstances where organisational commitment is not uniform. More importantly, the high rate of turnover in the hospitality industry (Ghani et al., 2022) undermines the long-term achievements, as the constant retraining drains resources and creates artificially. Due to this, any attempt to take measures at the level of the staff is useful but has a fundamental weakness in the absence of structural and cultural stability</w:t>
      </w:r>
      <w:r w:rsidR="005E20AA" w:rsidRPr="00A6298F">
        <w:rPr>
          <w:rFonts w:ascii="Times New Roman" w:eastAsia="Times New Roman" w:hAnsi="Times New Roman" w:cs="Times New Roman"/>
          <w:sz w:val="24"/>
          <w:szCs w:val="24"/>
          <w:lang w:val="en-GB"/>
        </w:rPr>
        <w:t>.</w:t>
      </w:r>
    </w:p>
    <w:p w14:paraId="0000000E" w14:textId="77777777" w:rsidR="00606BFC" w:rsidRPr="00686A21" w:rsidRDefault="005E20AA" w:rsidP="00686A21">
      <w:pPr>
        <w:pStyle w:val="Heading2"/>
        <w:rPr>
          <w:lang w:val="en-GB"/>
        </w:rPr>
      </w:pPr>
      <w:bookmarkStart w:id="4" w:name="_Toc220936781"/>
      <w:r w:rsidRPr="00686A21">
        <w:rPr>
          <w:lang w:val="en-GB"/>
        </w:rPr>
        <w:t>2.3 Menu Engineering, Portion Control, and Service Style</w:t>
      </w:r>
      <w:bookmarkEnd w:id="4"/>
    </w:p>
    <w:p w14:paraId="0000000F" w14:textId="0A9864D9" w:rsidR="00606BFC" w:rsidRPr="00A6298F" w:rsidRDefault="00A6298F" w:rsidP="00A6298F">
      <w:pPr>
        <w:pStyle w:val="NormalWeb"/>
        <w:spacing w:before="200" w:beforeAutospacing="0" w:after="0" w:afterAutospacing="0" w:line="360" w:lineRule="auto"/>
        <w:jc w:val="both"/>
        <w:rPr>
          <w:lang w:val="en-GB"/>
        </w:rPr>
      </w:pPr>
      <w:r w:rsidRPr="00A6298F">
        <w:rPr>
          <w:color w:val="000000"/>
          <w:lang w:val="en-GB"/>
        </w:rPr>
        <w:t xml:space="preserve">Selin (2018) explains that portion control and menu engineering are often perceived as working solutions to cutting food waste, especially in a buffet environment, where overproduction and guest behaviour are the factors that cause surplus. These steps, however, like setting up smaller batches or smaller plate sizes, can only have real significance when they are backed up by effective forecasting and stringent operational control. According to </w:t>
      </w:r>
      <w:proofErr w:type="spellStart"/>
      <w:r w:rsidRPr="00A6298F">
        <w:rPr>
          <w:color w:val="000000"/>
          <w:lang w:val="en-GB"/>
        </w:rPr>
        <w:t>Bendesa</w:t>
      </w:r>
      <w:proofErr w:type="spellEnd"/>
      <w:r w:rsidRPr="00A6298F">
        <w:rPr>
          <w:color w:val="000000"/>
          <w:lang w:val="en-GB"/>
        </w:rPr>
        <w:t xml:space="preserve"> et al. (2022), emphasising menus based on versatile and high-use foods can reduce spoilage but at the same time can reduce menu diversity or creativity when it is too strict. In addition, innovative recipe adaptation can use up excess inventory, but this is only possible when different arrangements between the kitchen and procurement departments are well coordinated, a dynamic that most hotels (particularly small ones) might find hard to maintain</w:t>
      </w:r>
      <w:r w:rsidR="005E20AA" w:rsidRPr="00A6298F">
        <w:rPr>
          <w:lang w:val="en-GB"/>
        </w:rPr>
        <w:t>.</w:t>
      </w:r>
    </w:p>
    <w:p w14:paraId="00000010" w14:textId="77777777" w:rsidR="00606BFC" w:rsidRPr="00686A21" w:rsidRDefault="005E20AA" w:rsidP="00686A21">
      <w:pPr>
        <w:pStyle w:val="Heading2"/>
        <w:rPr>
          <w:lang w:val="en-GB"/>
        </w:rPr>
      </w:pPr>
      <w:bookmarkStart w:id="5" w:name="_Toc220936782"/>
      <w:r w:rsidRPr="00686A21">
        <w:rPr>
          <w:lang w:val="en-GB"/>
        </w:rPr>
        <w:t>2.4 Procurement Strategies and Local Sourcing</w:t>
      </w:r>
      <w:bookmarkEnd w:id="5"/>
    </w:p>
    <w:p w14:paraId="00000011"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Food waste is highly dependent on the procurement practises. Hotels can also use local sourcing and just-in-time inventory systems to ensure they have fresher ingredients and to minimise spoilage. Cooperation with suppliers can lead to less waste in the packaging, as well </w:t>
      </w:r>
      <w:r w:rsidRPr="00686A21">
        <w:rPr>
          <w:rFonts w:ascii="Times New Roman" w:eastAsia="Times New Roman" w:hAnsi="Times New Roman" w:cs="Times New Roman"/>
          <w:sz w:val="24"/>
          <w:szCs w:val="24"/>
          <w:lang w:val="en-GB"/>
        </w:rPr>
        <w:lastRenderedPageBreak/>
        <w:t>as more effective delivery, as well (Wang and Zhu, 2020). Hotels can avoid any surplus by setting priorities on what is in season and matching the orders to the expected demand. Nonetheless, large hotels with constant needs for supply volumes often cannot source locally (</w:t>
      </w:r>
      <w:proofErr w:type="spellStart"/>
      <w:r w:rsidRPr="00686A21">
        <w:rPr>
          <w:rFonts w:ascii="Times New Roman" w:eastAsia="Times New Roman" w:hAnsi="Times New Roman" w:cs="Times New Roman"/>
          <w:sz w:val="24"/>
          <w:szCs w:val="24"/>
          <w:lang w:val="en-GB"/>
        </w:rPr>
        <w:t>Gabarda-Mallorquí</w:t>
      </w:r>
      <w:proofErr w:type="spellEnd"/>
      <w:r w:rsidRPr="00686A21">
        <w:rPr>
          <w:rFonts w:ascii="Times New Roman" w:eastAsia="Times New Roman" w:hAnsi="Times New Roman" w:cs="Times New Roman"/>
          <w:sz w:val="24"/>
          <w:szCs w:val="24"/>
          <w:lang w:val="en-GB"/>
        </w:rPr>
        <w:t>, Garcia and Ribas, 2017). The unreliability of cost and supplier variability seasonally, and the unreliability of suppliers, may mean that a hotel cannot necessarily rely solely on the suppliers locally. This means that the procurement strategies should focus on the sustainability goals and operations.</w:t>
      </w:r>
    </w:p>
    <w:p w14:paraId="00000012" w14:textId="77777777" w:rsidR="00606BFC" w:rsidRPr="00686A21" w:rsidRDefault="005E20AA" w:rsidP="00686A21">
      <w:pPr>
        <w:pStyle w:val="Heading2"/>
        <w:rPr>
          <w:lang w:val="en-GB"/>
        </w:rPr>
      </w:pPr>
      <w:bookmarkStart w:id="6" w:name="_Toc220936783"/>
      <w:r w:rsidRPr="00686A21">
        <w:rPr>
          <w:lang w:val="en-GB"/>
        </w:rPr>
        <w:t>2.5 Composting, Food Redistribution, and Circular Solutions</w:t>
      </w:r>
      <w:bookmarkEnd w:id="6"/>
    </w:p>
    <w:p w14:paraId="00000013"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Composting and food redistribution are downstream methods of waste management, which are prominently in the literature as being important instruments of handling inevitable waste. Hotels can collaborate with food-redistribution charities to give away their excess that is edible food to minimise social and environmental effects (Davies and McGeever, 2022). The development of composting systems helps in transforming waste organic material into material that can be used in hotel landscaping or community gardens to attend to the concept of the circular-based economy. Other hotels resort to on-site composting machine investments, whereas others use the services of an external waste-processing service (</w:t>
      </w:r>
      <w:proofErr w:type="spellStart"/>
      <w:r w:rsidRPr="00686A21">
        <w:rPr>
          <w:rFonts w:ascii="Times New Roman" w:eastAsia="Times New Roman" w:hAnsi="Times New Roman" w:cs="Times New Roman"/>
          <w:sz w:val="24"/>
          <w:szCs w:val="24"/>
          <w:lang w:val="en-GB"/>
        </w:rPr>
        <w:t>Brömssen</w:t>
      </w:r>
      <w:proofErr w:type="spellEnd"/>
      <w:r w:rsidRPr="00686A21">
        <w:rPr>
          <w:rFonts w:ascii="Times New Roman" w:eastAsia="Times New Roman" w:hAnsi="Times New Roman" w:cs="Times New Roman"/>
          <w:sz w:val="24"/>
          <w:szCs w:val="24"/>
          <w:lang w:val="en-GB"/>
        </w:rPr>
        <w:t xml:space="preserve"> and Ström, 2025). However, these solutions are associated with regulatory and logistical problems. Redistribution to minimise food safety issues may be prohibited by food-safety legislation, whereas composting facilities need space, capital, and continued management that many hotels, especially urban or smaller ones, cannot provide.</w:t>
      </w:r>
    </w:p>
    <w:p w14:paraId="00000014" w14:textId="77777777" w:rsidR="00606BFC" w:rsidRPr="00686A21" w:rsidRDefault="005E20AA" w:rsidP="00686A21">
      <w:pPr>
        <w:pStyle w:val="Heading2"/>
        <w:rPr>
          <w:lang w:val="en-GB"/>
        </w:rPr>
      </w:pPr>
      <w:bookmarkStart w:id="7" w:name="_Toc220936784"/>
      <w:r w:rsidRPr="00686A21">
        <w:rPr>
          <w:lang w:val="en-GB"/>
        </w:rPr>
        <w:t>2.6 Financial Implications and Barriers</w:t>
      </w:r>
      <w:bookmarkEnd w:id="7"/>
    </w:p>
    <w:p w14:paraId="00000015"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theme of finances is a constant in literature. As much as waste-reduction programmes may lead to long-term savings, lots of hotels are reluctant to do so because there is confusion about the return on investment (Hussain and Soni, 2024). High technologies, training of the staff, new purchasing systems and all this need initial expenses which are not available to small establishments all the time. Big chain hotels, however, can enjoy economies of scale which they can carry on their systems and habits which small hotels cannot afford (Akbar and Tracogna, 2018). This causes gross imbalances in sustainability performance within the sector. Devoid of monetary resources or even industry backing, most hotels struggle to accept the expenditure of end-to-end food-waste-management systems.</w:t>
      </w:r>
    </w:p>
    <w:p w14:paraId="00000016" w14:textId="77777777" w:rsidR="00606BFC" w:rsidRPr="00686A21" w:rsidRDefault="005E20AA" w:rsidP="00686A21">
      <w:pPr>
        <w:pStyle w:val="Heading1"/>
        <w:rPr>
          <w:lang w:val="en-GB"/>
        </w:rPr>
      </w:pPr>
      <w:bookmarkStart w:id="8" w:name="_Toc220936785"/>
      <w:r w:rsidRPr="00686A21">
        <w:rPr>
          <w:lang w:val="en-GB"/>
        </w:rPr>
        <w:lastRenderedPageBreak/>
        <w:t>3. Method</w:t>
      </w:r>
      <w:bookmarkEnd w:id="8"/>
    </w:p>
    <w:p w14:paraId="00000017"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This study is a qualitative study conducted through a systematic review of the modern literature, industry reports and sustainability frameworks. In order to find the sources that are published in the last several years and can be relevant to the contemporary state of the industry, academic databases, including such sources as ScienceDirect, Google Scholar, and Hospitality and Tourism Complete, have been used (Halevi, Moed and Bar-Ilan, 2017). Search keywords were food waste, sustainability in hospitality, waste management in hotels, and inventory technology. The reviewed sources were analysed to find out some common themes and patterns used in food waste management in hotels.</w:t>
      </w:r>
    </w:p>
    <w:p w14:paraId="00000018"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thematic analysis was applied to group findings based on such areas as technology adoption, behavioural approach, procurement practise, and economic barriers. The approach allowed identifying the advantages and weaknesses of several methods available in the literature sources. In order to facilitate the analysis of the industry, the application of the PESTLE framework interpreted the food waste reduction in a bigger picture, political, economic, social, technological, legal, and environmental environment (</w:t>
      </w:r>
      <w:proofErr w:type="spellStart"/>
      <w:r w:rsidRPr="00686A21">
        <w:rPr>
          <w:rFonts w:ascii="Times New Roman" w:eastAsia="Times New Roman" w:hAnsi="Times New Roman" w:cs="Times New Roman"/>
          <w:sz w:val="24"/>
          <w:szCs w:val="24"/>
          <w:lang w:val="en-GB"/>
        </w:rPr>
        <w:t>Ulubeyli</w:t>
      </w:r>
      <w:proofErr w:type="spellEnd"/>
      <w:r w:rsidRPr="00686A21">
        <w:rPr>
          <w:rFonts w:ascii="Times New Roman" w:eastAsia="Times New Roman" w:hAnsi="Times New Roman" w:cs="Times New Roman"/>
          <w:sz w:val="24"/>
          <w:szCs w:val="24"/>
          <w:lang w:val="en-GB"/>
        </w:rPr>
        <w:t xml:space="preserve"> et al., 2019). The PESTLE analysis has given valuable information about how the operations of the hotel are affected by external forces and how it can determine the viability of the waste-reduction measures. This mixed-methods research design provided a systematic evaluation and a thorough perception of the food waste management in the hospitality industry.</w:t>
      </w:r>
    </w:p>
    <w:p w14:paraId="00000019" w14:textId="77777777" w:rsidR="00606BFC" w:rsidRPr="00686A21" w:rsidRDefault="005E20AA" w:rsidP="00686A21">
      <w:pPr>
        <w:pStyle w:val="Heading1"/>
        <w:rPr>
          <w:lang w:val="en-GB"/>
        </w:rPr>
      </w:pPr>
      <w:bookmarkStart w:id="9" w:name="_Toc220936786"/>
      <w:r w:rsidRPr="00686A21">
        <w:rPr>
          <w:lang w:val="en-GB"/>
        </w:rPr>
        <w:t>4. Theme Impact Analysis</w:t>
      </w:r>
      <w:bookmarkEnd w:id="9"/>
    </w:p>
    <w:p w14:paraId="0000001A" w14:textId="77777777" w:rsidR="00606BFC" w:rsidRPr="00686A21" w:rsidRDefault="005E20AA" w:rsidP="00686A21">
      <w:pPr>
        <w:pStyle w:val="Heading2"/>
        <w:rPr>
          <w:lang w:val="en-GB"/>
        </w:rPr>
      </w:pPr>
      <w:bookmarkStart w:id="10" w:name="_Toc220936787"/>
      <w:r w:rsidRPr="00686A21">
        <w:rPr>
          <w:lang w:val="en-GB"/>
        </w:rPr>
        <w:t>4.1 Political Factors</w:t>
      </w:r>
      <w:bookmarkEnd w:id="10"/>
    </w:p>
    <w:p w14:paraId="0000001B"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politics of an environment can greatly determine the way hotels can put their sustainability strategies into practise. Governments are progressively implementing control measures and policies that contribute to the minimisation of food waste, such as mandatory reporting, limits on landfills and national sustainability goals (</w:t>
      </w:r>
      <w:proofErr w:type="spellStart"/>
      <w:r w:rsidRPr="00686A21">
        <w:rPr>
          <w:rFonts w:ascii="Times New Roman" w:eastAsia="Times New Roman" w:hAnsi="Times New Roman" w:cs="Times New Roman"/>
          <w:sz w:val="24"/>
          <w:szCs w:val="24"/>
          <w:lang w:val="en-GB"/>
        </w:rPr>
        <w:t>Faishal</w:t>
      </w:r>
      <w:proofErr w:type="spellEnd"/>
      <w:r w:rsidRPr="00686A21">
        <w:rPr>
          <w:rFonts w:ascii="Times New Roman" w:eastAsia="Times New Roman" w:hAnsi="Times New Roman" w:cs="Times New Roman"/>
          <w:sz w:val="24"/>
          <w:szCs w:val="24"/>
          <w:lang w:val="en-GB"/>
        </w:rPr>
        <w:t xml:space="preserve"> and </w:t>
      </w:r>
      <w:proofErr w:type="spellStart"/>
      <w:r w:rsidRPr="00686A21">
        <w:rPr>
          <w:rFonts w:ascii="Times New Roman" w:eastAsia="Times New Roman" w:hAnsi="Times New Roman" w:cs="Times New Roman"/>
          <w:sz w:val="24"/>
          <w:szCs w:val="24"/>
          <w:lang w:val="en-GB"/>
        </w:rPr>
        <w:t>Suprapto</w:t>
      </w:r>
      <w:proofErr w:type="spellEnd"/>
      <w:r w:rsidRPr="00686A21">
        <w:rPr>
          <w:rFonts w:ascii="Times New Roman" w:eastAsia="Times New Roman" w:hAnsi="Times New Roman" w:cs="Times New Roman"/>
          <w:sz w:val="24"/>
          <w:szCs w:val="24"/>
          <w:lang w:val="en-GB"/>
        </w:rPr>
        <w:t xml:space="preserve">, 2022). These political forces prompt hotels to consider the idea of sustainability in the process of planning their operations. The use of environmental standards and reporting systems by many international hotel chains is a requirement of the region and a sign of subject optimism towards being more sustainable. Nevertheless, small hotels can hardly comply with the regulatory expectations as they have little financial resources and assistance. In the absence of subsidies or </w:t>
      </w:r>
      <w:r w:rsidRPr="00686A21">
        <w:rPr>
          <w:rFonts w:ascii="Times New Roman" w:eastAsia="Times New Roman" w:hAnsi="Times New Roman" w:cs="Times New Roman"/>
          <w:sz w:val="24"/>
          <w:szCs w:val="24"/>
          <w:lang w:val="en-GB"/>
        </w:rPr>
        <w:lastRenderedPageBreak/>
        <w:t>encouragement, compliance would be a difficult process, and this would restrain the uniformity of industry-wide advancements (</w:t>
      </w:r>
      <w:proofErr w:type="spellStart"/>
      <w:r w:rsidRPr="00686A21">
        <w:rPr>
          <w:rFonts w:ascii="Times New Roman" w:eastAsia="Times New Roman" w:hAnsi="Times New Roman" w:cs="Times New Roman"/>
          <w:sz w:val="24"/>
          <w:szCs w:val="24"/>
          <w:lang w:val="en-GB"/>
        </w:rPr>
        <w:t>Gardetti</w:t>
      </w:r>
      <w:proofErr w:type="spellEnd"/>
      <w:r w:rsidRPr="00686A21">
        <w:rPr>
          <w:rFonts w:ascii="Times New Roman" w:eastAsia="Times New Roman" w:hAnsi="Times New Roman" w:cs="Times New Roman"/>
          <w:sz w:val="24"/>
          <w:szCs w:val="24"/>
          <w:lang w:val="en-GB"/>
        </w:rPr>
        <w:t xml:space="preserve"> and Torres, 2016).</w:t>
      </w:r>
    </w:p>
    <w:p w14:paraId="0000001C" w14:textId="77777777" w:rsidR="00606BFC" w:rsidRPr="00686A21" w:rsidRDefault="005E20AA" w:rsidP="00686A21">
      <w:pPr>
        <w:pStyle w:val="Heading2"/>
        <w:rPr>
          <w:lang w:val="en-GB"/>
        </w:rPr>
      </w:pPr>
      <w:bookmarkStart w:id="11" w:name="_Toc220936788"/>
      <w:r w:rsidRPr="00686A21">
        <w:rPr>
          <w:lang w:val="en-GB"/>
        </w:rPr>
        <w:t>4.2 Economic Factors</w:t>
      </w:r>
      <w:bookmarkEnd w:id="11"/>
    </w:p>
    <w:p w14:paraId="0000001D"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Hotels have direct financial effects of food waste, since ingredients, labour, energy and disposal of wasted products all increase the operating costs. A lean supply chain also has a significant economic gain as it will allow hotels to lower procurement costs and enhance efficiency in their kitchens (Al-</w:t>
      </w:r>
      <w:proofErr w:type="spellStart"/>
      <w:r w:rsidRPr="00686A21">
        <w:rPr>
          <w:rFonts w:ascii="Times New Roman" w:eastAsia="Times New Roman" w:hAnsi="Times New Roman" w:cs="Times New Roman"/>
          <w:sz w:val="24"/>
          <w:szCs w:val="24"/>
          <w:lang w:val="en-GB"/>
        </w:rPr>
        <w:t>Aomar</w:t>
      </w:r>
      <w:proofErr w:type="spellEnd"/>
      <w:r w:rsidRPr="00686A21">
        <w:rPr>
          <w:rFonts w:ascii="Times New Roman" w:eastAsia="Times New Roman" w:hAnsi="Times New Roman" w:cs="Times New Roman"/>
          <w:sz w:val="24"/>
          <w:szCs w:val="24"/>
          <w:lang w:val="en-GB"/>
        </w:rPr>
        <w:t xml:space="preserve"> and Hussain, 2018). Methods like portioning, improved predictability and computerised inventory can save a lot of money wasted unnecessarily. But the main obstacle still is the initial lengthy costs of installations, especially to independent hotels that have small budgets. Most of these small facilities are not willing to invest in technologies or new systems without knowing how this would save them money (Lovins et al., 2020). Hotel chains have more resources and have well-established sustainability departments, so larger chains are more likely to realise increased efficiency and reduction of costs through waste management.</w:t>
      </w:r>
    </w:p>
    <w:p w14:paraId="0000001E" w14:textId="77777777" w:rsidR="00606BFC" w:rsidRPr="00686A21" w:rsidRDefault="005E20AA" w:rsidP="00686A21">
      <w:pPr>
        <w:pStyle w:val="Heading2"/>
        <w:rPr>
          <w:lang w:val="en-GB"/>
        </w:rPr>
      </w:pPr>
      <w:bookmarkStart w:id="12" w:name="_Toc220936789"/>
      <w:r w:rsidRPr="00686A21">
        <w:rPr>
          <w:lang w:val="en-GB"/>
        </w:rPr>
        <w:t>4.3 Social Factors</w:t>
      </w:r>
      <w:bookmarkEnd w:id="12"/>
    </w:p>
    <w:p w14:paraId="0000001F"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Hotel sustainability strategies are driven by social expectations. Environmental responsibility and the desire to find hotels that practise sustainability are quite important to modern travellers who are more willing to explore such businesses. Hotels featuring their attempts to provide food to underprivileged communities or reduce waste in buffets will be able to build brand equity and attract environmentally conscious patrons (Selin, 2018). Some of the changes, however, like introducing less variety in buffets or changing portion sizes, might be met with adversity unless they are conveyed in the right manner. The communication between the guests and the sustainability goals is delicate and needs a delicate approach and action. To prevent perceptions of greenwashing, there must be authentic communication to eliminate a lack of trust and image destruction of the hotel (</w:t>
      </w:r>
      <w:proofErr w:type="spellStart"/>
      <w:r w:rsidRPr="00686A21">
        <w:rPr>
          <w:rFonts w:ascii="Times New Roman" w:eastAsia="Times New Roman" w:hAnsi="Times New Roman" w:cs="Times New Roman"/>
          <w:sz w:val="24"/>
          <w:szCs w:val="24"/>
          <w:lang w:val="en-GB"/>
        </w:rPr>
        <w:t>Alyahia</w:t>
      </w:r>
      <w:proofErr w:type="spellEnd"/>
      <w:r w:rsidRPr="00686A21">
        <w:rPr>
          <w:rFonts w:ascii="Times New Roman" w:eastAsia="Times New Roman" w:hAnsi="Times New Roman" w:cs="Times New Roman"/>
          <w:sz w:val="24"/>
          <w:szCs w:val="24"/>
          <w:lang w:val="en-GB"/>
        </w:rPr>
        <w:t xml:space="preserve"> et al., 2024).</w:t>
      </w:r>
    </w:p>
    <w:p w14:paraId="00000020" w14:textId="77777777" w:rsidR="00606BFC" w:rsidRPr="00686A21" w:rsidRDefault="005E20AA" w:rsidP="00686A21">
      <w:pPr>
        <w:pStyle w:val="Heading2"/>
        <w:rPr>
          <w:lang w:val="en-GB"/>
        </w:rPr>
      </w:pPr>
      <w:bookmarkStart w:id="13" w:name="_Toc220936790"/>
      <w:r w:rsidRPr="00686A21">
        <w:rPr>
          <w:lang w:val="en-GB"/>
        </w:rPr>
        <w:t>4.4 Technological Factors</w:t>
      </w:r>
      <w:bookmarkEnd w:id="13"/>
    </w:p>
    <w:p w14:paraId="00000021"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In food waste minimisation, technological innovation is very important. Digital tracking systems, smart kitchen devices, and AI-powered prediction systems allow hotels to gain insight into their waste patterns, increase their accuracy on ordering, and make changes to the menu </w:t>
      </w:r>
      <w:r w:rsidRPr="00686A21">
        <w:rPr>
          <w:rFonts w:ascii="Times New Roman" w:eastAsia="Times New Roman" w:hAnsi="Times New Roman" w:cs="Times New Roman"/>
          <w:sz w:val="24"/>
          <w:szCs w:val="24"/>
          <w:lang w:val="en-GB"/>
        </w:rPr>
        <w:lastRenderedPageBreak/>
        <w:t>planning. Such systems are used to minimise excessive production and ensure more efficient operations (Dennis, 2017). The adoption of technology is, however, costly and needs regular training. The infrastructure or technical ability of some hotels to apply advanced solutions is missing. This generates an uneven distribution of improvement within the industry due to the large chain hotels and smaller independent properties having a technological difference between them (</w:t>
      </w:r>
      <w:proofErr w:type="spellStart"/>
      <w:r w:rsidRPr="00686A21">
        <w:rPr>
          <w:rFonts w:ascii="Times New Roman" w:eastAsia="Times New Roman" w:hAnsi="Times New Roman" w:cs="Times New Roman"/>
          <w:sz w:val="24"/>
          <w:szCs w:val="24"/>
          <w:lang w:val="en-GB"/>
        </w:rPr>
        <w:t>Bilgihan</w:t>
      </w:r>
      <w:proofErr w:type="spellEnd"/>
      <w:r w:rsidRPr="00686A21">
        <w:rPr>
          <w:rFonts w:ascii="Times New Roman" w:eastAsia="Times New Roman" w:hAnsi="Times New Roman" w:cs="Times New Roman"/>
          <w:sz w:val="24"/>
          <w:szCs w:val="24"/>
          <w:lang w:val="en-GB"/>
        </w:rPr>
        <w:t xml:space="preserve"> and Wang, 2016).</w:t>
      </w:r>
    </w:p>
    <w:p w14:paraId="00000022" w14:textId="77777777" w:rsidR="00606BFC" w:rsidRPr="00686A21" w:rsidRDefault="005E20AA" w:rsidP="00686A21">
      <w:pPr>
        <w:pStyle w:val="Heading2"/>
        <w:rPr>
          <w:lang w:val="en-GB"/>
        </w:rPr>
      </w:pPr>
      <w:bookmarkStart w:id="14" w:name="_Toc220936791"/>
      <w:r w:rsidRPr="00686A21">
        <w:rPr>
          <w:lang w:val="en-GB"/>
        </w:rPr>
        <w:t>4.5 Legal Factors</w:t>
      </w:r>
      <w:bookmarkEnd w:id="14"/>
    </w:p>
    <w:p w14:paraId="00000023"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Laws are direct factors influencing the manner in which hotels manage food waste. Food safety regulations also have an impact on redistribution since hotels need to guarantee that the food given is of high quality. The waste-disposal laws also determine how hotels dispose of the organic waste and may need certain procedures or a licence to dispose of the compost or waste-processing machines (Hussain and Soni, 2024). Although these regulations can guarantee that products are safe to the consumer and that the environment is not endangered, they might also increase the complexity and discourage involvement in redistribution or composting programmes. The hotel has to manoeuvre through these requirements to avoid legal exposure and operate with fewer problems.</w:t>
      </w:r>
    </w:p>
    <w:p w14:paraId="00000024" w14:textId="77777777" w:rsidR="00606BFC" w:rsidRPr="00686A21" w:rsidRDefault="005E20AA" w:rsidP="00686A21">
      <w:pPr>
        <w:pStyle w:val="Heading2"/>
        <w:rPr>
          <w:lang w:val="en-GB"/>
        </w:rPr>
      </w:pPr>
      <w:bookmarkStart w:id="15" w:name="_Toc220936792"/>
      <w:r w:rsidRPr="00686A21">
        <w:rPr>
          <w:lang w:val="en-GB"/>
        </w:rPr>
        <w:t>4.6 Environmental Factors</w:t>
      </w:r>
      <w:bookmarkEnd w:id="15"/>
    </w:p>
    <w:p w14:paraId="00000025"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Reduction of food waste is critical to minimise the environmental impact of the hotel. Reduction of waste will help decrease the environmental footprint of the company in terms of emissions of greenhouse gases, net-zero pledges, and resource utilisation (Tang, Mai and Li, 2023). Hotels practising sustainable buying, composing, and better waste-monitoring mechanisms learn that there is effective environmental guardianship. The impact of significant levels on the environment is, however, not achievable without intensive, long-term approaches in various areas of operations. There are other challenges that present before some of the hotels to implement such wide-scale changes because of the scarcity of resources, lack of consistent monitoring or commitment by the management (Krämer and Engell, 2018). Moreover, localised environmental reporting within the industry makes it less transparent and slows down the overall improvement.</w:t>
      </w:r>
    </w:p>
    <w:p w14:paraId="00000026" w14:textId="77777777" w:rsidR="00606BFC" w:rsidRPr="00686A21" w:rsidRDefault="005E20AA" w:rsidP="00686A21">
      <w:pPr>
        <w:pStyle w:val="Heading2"/>
        <w:rPr>
          <w:lang w:val="en-GB"/>
        </w:rPr>
      </w:pPr>
      <w:bookmarkStart w:id="16" w:name="_Toc220936793"/>
      <w:r w:rsidRPr="00686A21">
        <w:rPr>
          <w:lang w:val="en-GB"/>
        </w:rPr>
        <w:lastRenderedPageBreak/>
        <w:t>4.7 Industry Responses: Strengths and Limitations</w:t>
      </w:r>
      <w:bookmarkEnd w:id="16"/>
    </w:p>
    <w:p w14:paraId="00000027"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There are mixed reactions from industries towards food waste minimisation. The hotel chains have put in place wide-ranging sustainability programmes, including waste audits, collaboration with redistribution organisations, and investments in intelligent technology (Monika, Shashwat and </w:t>
      </w:r>
      <w:proofErr w:type="spellStart"/>
      <w:r w:rsidRPr="00686A21">
        <w:rPr>
          <w:rFonts w:ascii="Times New Roman" w:eastAsia="Times New Roman" w:hAnsi="Times New Roman" w:cs="Times New Roman"/>
          <w:sz w:val="24"/>
          <w:szCs w:val="24"/>
          <w:lang w:val="en-GB"/>
        </w:rPr>
        <w:t>Bhartwal</w:t>
      </w:r>
      <w:proofErr w:type="spellEnd"/>
      <w:r w:rsidRPr="00686A21">
        <w:rPr>
          <w:rFonts w:ascii="Times New Roman" w:eastAsia="Times New Roman" w:hAnsi="Times New Roman" w:cs="Times New Roman"/>
          <w:sz w:val="24"/>
          <w:szCs w:val="24"/>
          <w:lang w:val="en-GB"/>
        </w:rPr>
        <w:t>, 2024). Such initiatives have already translated into quantifiable improvements both in waste minimisation and efficiency. Small boutique hotels tend to embrace low-cost strategies, such as the adjustment of portions, flexible menu, and staff-training programme. Although the use of these strategies is effective, it might not be able to provide the same magnitude of effect as the technological solutions employed by larger chains. The positive aspects of the contemporary industry reactions range from raised awareness to enhanced guest interaction and the elaboration of innovative solutions (Khan, 2024). Nonetheless, there are weaknesses facing the entire potential of food-waste-management programmes in the hospitality industry because of such barriers as insufficient finances, insufficient infrastructure, ad hoc training, and regulatory burdens.</w:t>
      </w:r>
    </w:p>
    <w:p w14:paraId="00000028" w14:textId="77777777" w:rsidR="00606BFC" w:rsidRPr="00686A21" w:rsidRDefault="005E20AA" w:rsidP="00686A21">
      <w:pPr>
        <w:pStyle w:val="Heading1"/>
        <w:rPr>
          <w:lang w:val="en-GB"/>
        </w:rPr>
      </w:pPr>
      <w:bookmarkStart w:id="17" w:name="_Toc220936794"/>
      <w:r w:rsidRPr="00686A21">
        <w:rPr>
          <w:lang w:val="en-GB"/>
        </w:rPr>
        <w:t>5. Conclusion</w:t>
      </w:r>
      <w:bookmarkEnd w:id="17"/>
    </w:p>
    <w:p w14:paraId="00000029"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Food waste is one of the sustainability issues as it continues to have a tremendous economic, environmental and operational impact in the hospitality industry. Despite the variety of strategies that hotels have implemented to boost their competitiveness, including integration of technologies, employee training, menu engineering and improving procurement, there is a significant difference in the quality of these tools in different hotels. Small hotels have financial and infrastructural impediments which restrain their capacity to adopt advanced solutions. It requires increased access to technology, regular monitoring, worker participation, and increased cooperation within the industry to be successful in the long run.</w:t>
      </w:r>
    </w:p>
    <w:p w14:paraId="0000002A" w14:textId="77777777" w:rsidR="00606BFC" w:rsidRPr="00686A21" w:rsidRDefault="005E20AA" w:rsidP="00686A21">
      <w:pPr>
        <w:pStyle w:val="Heading1"/>
        <w:rPr>
          <w:lang w:val="en-GB"/>
        </w:rPr>
      </w:pPr>
      <w:bookmarkStart w:id="18" w:name="_Toc220936795"/>
      <w:r w:rsidRPr="00686A21">
        <w:rPr>
          <w:lang w:val="en-GB"/>
        </w:rPr>
        <w:t>6. Recommendations</w:t>
      </w:r>
      <w:bookmarkEnd w:id="18"/>
    </w:p>
    <w:p w14:paraId="0000002B"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The first step that should be undertaken by the hotels is through standardisation of the measurement and reporting system, which will ensure that food waste is monitored and other inefficiencies in the operations are identified. Regular data gathering will allow for more informed and enhanced adherence to new regulatory documents (</w:t>
      </w:r>
      <w:proofErr w:type="spellStart"/>
      <w:r w:rsidRPr="00686A21">
        <w:rPr>
          <w:rFonts w:ascii="Times New Roman" w:eastAsia="Times New Roman" w:hAnsi="Times New Roman" w:cs="Times New Roman"/>
          <w:sz w:val="24"/>
          <w:szCs w:val="24"/>
          <w:lang w:val="en-GB"/>
        </w:rPr>
        <w:t>Chianumba</w:t>
      </w:r>
      <w:proofErr w:type="spellEnd"/>
      <w:r w:rsidRPr="00686A21">
        <w:rPr>
          <w:rFonts w:ascii="Times New Roman" w:eastAsia="Times New Roman" w:hAnsi="Times New Roman" w:cs="Times New Roman"/>
          <w:sz w:val="24"/>
          <w:szCs w:val="24"/>
          <w:lang w:val="en-GB"/>
        </w:rPr>
        <w:t xml:space="preserve"> et al., 2024). There is also the need to invest in low-cost and scalable digital tools, particularly among small </w:t>
      </w:r>
      <w:r w:rsidRPr="00686A21">
        <w:rPr>
          <w:rFonts w:ascii="Times New Roman" w:eastAsia="Times New Roman" w:hAnsi="Times New Roman" w:cs="Times New Roman"/>
          <w:sz w:val="24"/>
          <w:szCs w:val="24"/>
          <w:lang w:val="en-GB"/>
        </w:rPr>
        <w:lastRenderedPageBreak/>
        <w:t>hotels. The government and industry organisations might contribute to it by providing funds (grants and subsidies) or providing common access to technology platforms.</w:t>
      </w:r>
    </w:p>
    <w:p w14:paraId="0000002C"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Training of human resources should become part of hotel culture. Frequent workshops, orientation programmes and reward plans are used to strengthen responsible behaviours so as to mitigate high staff turnover situations (Roque and Ramos, 2019). Additional consistency in food-waste management is facilitated by clear directions of operations and monitoring.</w:t>
      </w:r>
    </w:p>
    <w:p w14:paraId="0000002D"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Service style and menu engineering should be increased. It is possible to save the amount of waste in the hotels by offering more compact buffet trays, cooking smaller portions, and creating a menu that encourages the flexibility in the use of the ingredients (</w:t>
      </w:r>
      <w:proofErr w:type="spellStart"/>
      <w:r w:rsidRPr="00686A21">
        <w:rPr>
          <w:rFonts w:ascii="Times New Roman" w:eastAsia="Times New Roman" w:hAnsi="Times New Roman" w:cs="Times New Roman"/>
          <w:sz w:val="24"/>
          <w:szCs w:val="24"/>
          <w:lang w:val="en-GB"/>
        </w:rPr>
        <w:t>Linassi</w:t>
      </w:r>
      <w:proofErr w:type="spellEnd"/>
      <w:r w:rsidRPr="00686A21">
        <w:rPr>
          <w:rFonts w:ascii="Times New Roman" w:eastAsia="Times New Roman" w:hAnsi="Times New Roman" w:cs="Times New Roman"/>
          <w:sz w:val="24"/>
          <w:szCs w:val="24"/>
          <w:lang w:val="en-GB"/>
        </w:rPr>
        <w:t>, Alberton and Marinho, 2016). Sustainability can also be increased with seasonal and local menu planning, as well as guest experience.</w:t>
      </w:r>
    </w:p>
    <w:p w14:paraId="0000002E"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A more efficient supply chain can be strengthened through better collaboration with suppliers, local farmers, municipal waste solutions and redistribution organisations, helping to use routes that are circular, including composting and anaerobic digestion (Berti and Mulligan, 2016). Teamwork enables the hotels to surmount their individualistic boundaries and be included in collective sustainability programmes.</w:t>
      </w:r>
    </w:p>
    <w:p w14:paraId="0000002F" w14:textId="77777777" w:rsidR="00606BFC" w:rsidRPr="00686A21" w:rsidRDefault="005E20AA">
      <w:pPr>
        <w:spacing w:before="20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Communication with the guests ought to be open and supportive instead of selfish. Nudges can be behavioural, significant and online communications, which can work to change consumption habits without reducing satisfaction (Warren, Becken and Coghlan, 2019). Lastly, sustainability-related certifications and industry networks should be sought after, and involvement of hotels in these programmes will reinforce goodwill and exchange of best practises. The collective endeavours will contribute to making the hospitality industry successful in reducing food waste on a more efficient, scalable, and sustainable level.</w:t>
      </w:r>
      <w:r w:rsidRPr="00686A21">
        <w:rPr>
          <w:lang w:val="en-GB"/>
        </w:rPr>
        <w:br w:type="page"/>
      </w:r>
    </w:p>
    <w:p w14:paraId="00000030" w14:textId="77777777" w:rsidR="00606BFC" w:rsidRPr="00686A21" w:rsidRDefault="005E20AA" w:rsidP="00686A21">
      <w:pPr>
        <w:pStyle w:val="Heading1"/>
        <w:rPr>
          <w:lang w:val="en-GB"/>
        </w:rPr>
      </w:pPr>
      <w:bookmarkStart w:id="19" w:name="_Toc220936796"/>
      <w:r w:rsidRPr="00686A21">
        <w:rPr>
          <w:lang w:val="en-GB"/>
        </w:rPr>
        <w:lastRenderedPageBreak/>
        <w:t>Reference list</w:t>
      </w:r>
      <w:bookmarkEnd w:id="19"/>
    </w:p>
    <w:p w14:paraId="00000031"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Akbar, Y.H. and Tracogna, A. (2018). The sharing economy and the future of the hotel industry: Transaction cost theory and platform economics. </w:t>
      </w:r>
      <w:r w:rsidRPr="00686A21">
        <w:rPr>
          <w:rFonts w:ascii="Times New Roman" w:eastAsia="Times New Roman" w:hAnsi="Times New Roman" w:cs="Times New Roman"/>
          <w:i/>
          <w:iCs/>
          <w:sz w:val="24"/>
          <w:szCs w:val="24"/>
          <w:lang w:val="en-GB"/>
        </w:rPr>
        <w:t>International Journal of Hospitality Management</w:t>
      </w:r>
      <w:r w:rsidRPr="00686A21">
        <w:rPr>
          <w:rFonts w:ascii="Times New Roman" w:eastAsia="Times New Roman" w:hAnsi="Times New Roman" w:cs="Times New Roman"/>
          <w:sz w:val="24"/>
          <w:szCs w:val="24"/>
          <w:lang w:val="en-GB"/>
        </w:rPr>
        <w:t xml:space="preserve">, [online] 71, pp.91–101.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://doi.org/10.1016/j.ijhm.2017.12.004.</w:t>
      </w:r>
    </w:p>
    <w:p w14:paraId="00000032"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Al-</w:t>
      </w:r>
      <w:proofErr w:type="spellStart"/>
      <w:r w:rsidRPr="00686A21">
        <w:rPr>
          <w:rFonts w:ascii="Times New Roman" w:eastAsia="Times New Roman" w:hAnsi="Times New Roman" w:cs="Times New Roman"/>
          <w:sz w:val="24"/>
          <w:szCs w:val="24"/>
          <w:lang w:val="en-GB"/>
        </w:rPr>
        <w:t>Aomar</w:t>
      </w:r>
      <w:proofErr w:type="spellEnd"/>
      <w:r w:rsidRPr="00686A21">
        <w:rPr>
          <w:rFonts w:ascii="Times New Roman" w:eastAsia="Times New Roman" w:hAnsi="Times New Roman" w:cs="Times New Roman"/>
          <w:sz w:val="24"/>
          <w:szCs w:val="24"/>
          <w:lang w:val="en-GB"/>
        </w:rPr>
        <w:t xml:space="preserve">, R. and Hussain, M. (2018). An assessment of adopting lean techniques in the construct of hotel supply chain. </w:t>
      </w:r>
      <w:r w:rsidRPr="00686A21">
        <w:rPr>
          <w:rFonts w:ascii="Times New Roman" w:eastAsia="Times New Roman" w:hAnsi="Times New Roman" w:cs="Times New Roman"/>
          <w:i/>
          <w:iCs/>
          <w:sz w:val="24"/>
          <w:szCs w:val="24"/>
          <w:lang w:val="en-GB"/>
        </w:rPr>
        <w:t>Tourism Management</w:t>
      </w:r>
      <w:r w:rsidRPr="00686A21">
        <w:rPr>
          <w:rFonts w:ascii="Times New Roman" w:eastAsia="Times New Roman" w:hAnsi="Times New Roman" w:cs="Times New Roman"/>
          <w:sz w:val="24"/>
          <w:szCs w:val="24"/>
          <w:lang w:val="en-GB"/>
        </w:rPr>
        <w:t xml:space="preserve">, 69, pp.553–565.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://doi.org/10.1016/j.tourman.2018.06.030.</w:t>
      </w:r>
    </w:p>
    <w:p w14:paraId="00000033"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Alyahia</w:t>
      </w:r>
      <w:proofErr w:type="spellEnd"/>
      <w:r w:rsidRPr="00686A21">
        <w:rPr>
          <w:rFonts w:ascii="Times New Roman" w:eastAsia="Times New Roman" w:hAnsi="Times New Roman" w:cs="Times New Roman"/>
          <w:sz w:val="24"/>
          <w:szCs w:val="24"/>
          <w:lang w:val="en-GB"/>
        </w:rPr>
        <w:t xml:space="preserve">, M., </w:t>
      </w:r>
      <w:proofErr w:type="spellStart"/>
      <w:r w:rsidRPr="00686A21">
        <w:rPr>
          <w:rFonts w:ascii="Times New Roman" w:eastAsia="Times New Roman" w:hAnsi="Times New Roman" w:cs="Times New Roman"/>
          <w:sz w:val="24"/>
          <w:szCs w:val="24"/>
          <w:lang w:val="en-GB"/>
        </w:rPr>
        <w:t>Azazz</w:t>
      </w:r>
      <w:proofErr w:type="spellEnd"/>
      <w:r w:rsidRPr="00686A21">
        <w:rPr>
          <w:rFonts w:ascii="Times New Roman" w:eastAsia="Times New Roman" w:hAnsi="Times New Roman" w:cs="Times New Roman"/>
          <w:sz w:val="24"/>
          <w:szCs w:val="24"/>
          <w:lang w:val="en-GB"/>
        </w:rPr>
        <w:t xml:space="preserve">, A.M.S., Fayyad, S., Elshaer, I.A. and Mohammad (2024). Greenwashing </w:t>
      </w:r>
      <w:proofErr w:type="spellStart"/>
      <w:r w:rsidRPr="00686A21">
        <w:rPr>
          <w:rFonts w:ascii="Times New Roman" w:eastAsia="Times New Roman" w:hAnsi="Times New Roman" w:cs="Times New Roman"/>
          <w:sz w:val="24"/>
          <w:szCs w:val="24"/>
          <w:lang w:val="en-GB"/>
        </w:rPr>
        <w:t>Behavior</w:t>
      </w:r>
      <w:proofErr w:type="spellEnd"/>
      <w:r w:rsidRPr="00686A21">
        <w:rPr>
          <w:rFonts w:ascii="Times New Roman" w:eastAsia="Times New Roman" w:hAnsi="Times New Roman" w:cs="Times New Roman"/>
          <w:sz w:val="24"/>
          <w:szCs w:val="24"/>
          <w:lang w:val="en-GB"/>
        </w:rPr>
        <w:t xml:space="preserve"> in Hotels Industry: The Role of Green Transparency and Green Authenticity. </w:t>
      </w:r>
      <w:r w:rsidRPr="00686A21">
        <w:rPr>
          <w:rFonts w:ascii="Times New Roman" w:eastAsia="Times New Roman" w:hAnsi="Times New Roman" w:cs="Times New Roman"/>
          <w:i/>
          <w:iCs/>
          <w:sz w:val="24"/>
          <w:szCs w:val="24"/>
          <w:lang w:val="en-GB"/>
        </w:rPr>
        <w:t>Sustainability</w:t>
      </w:r>
      <w:r w:rsidRPr="00686A21">
        <w:rPr>
          <w:rFonts w:ascii="Times New Roman" w:eastAsia="Times New Roman" w:hAnsi="Times New Roman" w:cs="Times New Roman"/>
          <w:sz w:val="24"/>
          <w:szCs w:val="24"/>
          <w:lang w:val="en-GB"/>
        </w:rPr>
        <w:t xml:space="preserve">, [online] 16(3), pp.1050–1050.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://doi.org/10.3390/su16031050.</w:t>
      </w:r>
    </w:p>
    <w:p w14:paraId="00000034"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Bendesa</w:t>
      </w:r>
      <w:proofErr w:type="spellEnd"/>
      <w:r w:rsidRPr="00686A21">
        <w:rPr>
          <w:rFonts w:ascii="Times New Roman" w:eastAsia="Times New Roman" w:hAnsi="Times New Roman" w:cs="Times New Roman"/>
          <w:sz w:val="24"/>
          <w:szCs w:val="24"/>
          <w:lang w:val="en-GB"/>
        </w:rPr>
        <w:t xml:space="preserve">, A.O., Astuti, N.N.S., </w:t>
      </w:r>
      <w:proofErr w:type="spellStart"/>
      <w:r w:rsidRPr="00686A21">
        <w:rPr>
          <w:rFonts w:ascii="Times New Roman" w:eastAsia="Times New Roman" w:hAnsi="Times New Roman" w:cs="Times New Roman"/>
          <w:sz w:val="24"/>
          <w:szCs w:val="24"/>
          <w:lang w:val="en-GB"/>
        </w:rPr>
        <w:t>Astawa</w:t>
      </w:r>
      <w:proofErr w:type="spellEnd"/>
      <w:r w:rsidRPr="00686A21">
        <w:rPr>
          <w:rFonts w:ascii="Times New Roman" w:eastAsia="Times New Roman" w:hAnsi="Times New Roman" w:cs="Times New Roman"/>
          <w:sz w:val="24"/>
          <w:szCs w:val="24"/>
          <w:lang w:val="en-GB"/>
        </w:rPr>
        <w:t xml:space="preserve">, I.K., Susanto, B. and Sarjana, I.M.B. (2022). Food cost efficiency at the Patra Bali Resort &amp; Villas. </w:t>
      </w:r>
      <w:r w:rsidRPr="00686A21">
        <w:rPr>
          <w:rFonts w:ascii="Times New Roman" w:eastAsia="Times New Roman" w:hAnsi="Times New Roman" w:cs="Times New Roman"/>
          <w:i/>
          <w:iCs/>
          <w:sz w:val="24"/>
          <w:szCs w:val="24"/>
          <w:lang w:val="en-GB"/>
        </w:rPr>
        <w:t>Journal of Commerce, Management, and Tourism Studies</w:t>
      </w:r>
      <w:r w:rsidRPr="00686A21">
        <w:rPr>
          <w:rFonts w:ascii="Times New Roman" w:eastAsia="Times New Roman" w:hAnsi="Times New Roman" w:cs="Times New Roman"/>
          <w:sz w:val="24"/>
          <w:szCs w:val="24"/>
          <w:lang w:val="en-GB"/>
        </w:rPr>
        <w:t xml:space="preserve">, [online] 1(1), pp.1–13.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://doi.org/10.58881/jcmts.v1i1.3.</w:t>
      </w:r>
    </w:p>
    <w:p w14:paraId="00000035"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Berti, G. and Mulligan, C. (2016). Competitiveness of Small Farms and Innovative Food Supply Chains: The Role of Food Hubs in Creating Sustainable Regional and Local Food Systems. </w:t>
      </w:r>
      <w:r w:rsidRPr="00686A21">
        <w:rPr>
          <w:rFonts w:ascii="Times New Roman" w:eastAsia="Times New Roman" w:hAnsi="Times New Roman" w:cs="Times New Roman"/>
          <w:i/>
          <w:iCs/>
          <w:sz w:val="24"/>
          <w:szCs w:val="24"/>
          <w:lang w:val="en-GB"/>
        </w:rPr>
        <w:t>Sustainability</w:t>
      </w:r>
      <w:r w:rsidRPr="00686A21">
        <w:rPr>
          <w:rFonts w:ascii="Times New Roman" w:eastAsia="Times New Roman" w:hAnsi="Times New Roman" w:cs="Times New Roman"/>
          <w:sz w:val="24"/>
          <w:szCs w:val="24"/>
          <w:lang w:val="en-GB"/>
        </w:rPr>
        <w:t xml:space="preserve">, [online] 8(7), p.616.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://doi.org/10.3390/su8070616.</w:t>
      </w:r>
    </w:p>
    <w:p w14:paraId="00000036"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Bilgihan</w:t>
      </w:r>
      <w:proofErr w:type="spellEnd"/>
      <w:r w:rsidRPr="00686A21">
        <w:rPr>
          <w:rFonts w:ascii="Times New Roman" w:eastAsia="Times New Roman" w:hAnsi="Times New Roman" w:cs="Times New Roman"/>
          <w:sz w:val="24"/>
          <w:szCs w:val="24"/>
          <w:lang w:val="en-GB"/>
        </w:rPr>
        <w:t xml:space="preserve">, A. and Wang, Y. (2016). Technology induced competitive advantage: a case of US lodging industry. </w:t>
      </w:r>
      <w:r w:rsidRPr="00686A21">
        <w:rPr>
          <w:rFonts w:ascii="Times New Roman" w:eastAsia="Times New Roman" w:hAnsi="Times New Roman" w:cs="Times New Roman"/>
          <w:i/>
          <w:iCs/>
          <w:sz w:val="24"/>
          <w:szCs w:val="24"/>
          <w:lang w:val="en-GB"/>
        </w:rPr>
        <w:t>Journal of Hospitality and Tourism Technology</w:t>
      </w:r>
      <w:r w:rsidRPr="00686A21">
        <w:rPr>
          <w:rFonts w:ascii="Times New Roman" w:eastAsia="Times New Roman" w:hAnsi="Times New Roman" w:cs="Times New Roman"/>
          <w:sz w:val="24"/>
          <w:szCs w:val="24"/>
          <w:lang w:val="en-GB"/>
        </w:rPr>
        <w:t xml:space="preserve">, 7(1), pp.37–59.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://doi.org/10.1108/jhtt-01-2015-0001.</w:t>
      </w:r>
    </w:p>
    <w:p w14:paraId="00000037"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Brömssen</w:t>
      </w:r>
      <w:proofErr w:type="spellEnd"/>
      <w:r w:rsidRPr="00686A21">
        <w:rPr>
          <w:rFonts w:ascii="Times New Roman" w:eastAsia="Times New Roman" w:hAnsi="Times New Roman" w:cs="Times New Roman"/>
          <w:sz w:val="24"/>
          <w:szCs w:val="24"/>
          <w:lang w:val="en-GB"/>
        </w:rPr>
        <w:t xml:space="preserve">, von and Ström, E. (2025). </w:t>
      </w:r>
      <w:r w:rsidRPr="00686A21">
        <w:rPr>
          <w:rFonts w:ascii="Times New Roman" w:eastAsia="Times New Roman" w:hAnsi="Times New Roman" w:cs="Times New Roman"/>
          <w:i/>
          <w:iCs/>
          <w:sz w:val="24"/>
          <w:szCs w:val="24"/>
          <w:lang w:val="en-GB"/>
        </w:rPr>
        <w:t>Waste management practices in hotels</w:t>
      </w:r>
      <w:r w:rsidRPr="00686A21">
        <w:rPr>
          <w:rFonts w:ascii="Times New Roman" w:eastAsia="Times New Roman" w:hAnsi="Times New Roman" w:cs="Times New Roman"/>
          <w:sz w:val="24"/>
          <w:szCs w:val="24"/>
          <w:lang w:val="en-GB"/>
        </w:rPr>
        <w:t>. [online] DIVA. Available at: https://www.diva-portal.org/smash/record.jsf?pid=diva2:1998552 [Accessed 2 Feb. 2026].</w:t>
      </w:r>
    </w:p>
    <w:p w14:paraId="00000038"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Chianumba</w:t>
      </w:r>
      <w:proofErr w:type="spellEnd"/>
      <w:r w:rsidRPr="00686A21">
        <w:rPr>
          <w:rFonts w:ascii="Times New Roman" w:eastAsia="Times New Roman" w:hAnsi="Times New Roman" w:cs="Times New Roman"/>
          <w:sz w:val="24"/>
          <w:szCs w:val="24"/>
          <w:lang w:val="en-GB"/>
        </w:rPr>
        <w:t xml:space="preserve">, E., </w:t>
      </w:r>
      <w:proofErr w:type="spellStart"/>
      <w:r w:rsidRPr="00686A21">
        <w:rPr>
          <w:rFonts w:ascii="Times New Roman" w:eastAsia="Times New Roman" w:hAnsi="Times New Roman" w:cs="Times New Roman"/>
          <w:sz w:val="24"/>
          <w:szCs w:val="24"/>
          <w:lang w:val="en-GB"/>
        </w:rPr>
        <w:t>Ikhalea</w:t>
      </w:r>
      <w:proofErr w:type="spellEnd"/>
      <w:r w:rsidRPr="00686A21">
        <w:rPr>
          <w:rFonts w:ascii="Times New Roman" w:eastAsia="Times New Roman" w:hAnsi="Times New Roman" w:cs="Times New Roman"/>
          <w:sz w:val="24"/>
          <w:szCs w:val="24"/>
          <w:lang w:val="en-GB"/>
        </w:rPr>
        <w:t xml:space="preserve">, N., Mustapha, A., </w:t>
      </w:r>
      <w:proofErr w:type="spellStart"/>
      <w:r w:rsidRPr="00686A21">
        <w:rPr>
          <w:rFonts w:ascii="Times New Roman" w:eastAsia="Times New Roman" w:hAnsi="Times New Roman" w:cs="Times New Roman"/>
          <w:sz w:val="24"/>
          <w:szCs w:val="24"/>
          <w:lang w:val="en-GB"/>
        </w:rPr>
        <w:t>Forkuo</w:t>
      </w:r>
      <w:proofErr w:type="spellEnd"/>
      <w:r w:rsidRPr="00686A21">
        <w:rPr>
          <w:rFonts w:ascii="Times New Roman" w:eastAsia="Times New Roman" w:hAnsi="Times New Roman" w:cs="Times New Roman"/>
          <w:sz w:val="24"/>
          <w:szCs w:val="24"/>
          <w:lang w:val="en-GB"/>
        </w:rPr>
        <w:t xml:space="preserve">, A. and </w:t>
      </w:r>
      <w:proofErr w:type="spellStart"/>
      <w:r w:rsidRPr="00686A21">
        <w:rPr>
          <w:rFonts w:ascii="Times New Roman" w:eastAsia="Times New Roman" w:hAnsi="Times New Roman" w:cs="Times New Roman"/>
          <w:sz w:val="24"/>
          <w:szCs w:val="24"/>
          <w:lang w:val="en-GB"/>
        </w:rPr>
        <w:t>Osamika</w:t>
      </w:r>
      <w:proofErr w:type="spellEnd"/>
      <w:r w:rsidRPr="00686A21">
        <w:rPr>
          <w:rFonts w:ascii="Times New Roman" w:eastAsia="Times New Roman" w:hAnsi="Times New Roman" w:cs="Times New Roman"/>
          <w:sz w:val="24"/>
          <w:szCs w:val="24"/>
          <w:lang w:val="en-GB"/>
        </w:rPr>
        <w:t xml:space="preserve">, D. (2024). Enhancing Corporate Governance and Pharmaceutical Services through Data Analytics and Regulatory Compliance. </w:t>
      </w:r>
      <w:r w:rsidRPr="00686A21">
        <w:rPr>
          <w:rFonts w:ascii="Times New Roman" w:eastAsia="Times New Roman" w:hAnsi="Times New Roman" w:cs="Times New Roman"/>
          <w:i/>
          <w:iCs/>
          <w:sz w:val="24"/>
          <w:szCs w:val="24"/>
          <w:lang w:val="en-GB"/>
        </w:rPr>
        <w:t>Int. j. adv. multidisc. res. stud</w:t>
      </w:r>
      <w:r w:rsidRPr="00686A21">
        <w:rPr>
          <w:rFonts w:ascii="Times New Roman" w:eastAsia="Times New Roman" w:hAnsi="Times New Roman" w:cs="Times New Roman"/>
          <w:sz w:val="24"/>
          <w:szCs w:val="24"/>
          <w:lang w:val="en-GB"/>
        </w:rPr>
        <w:t>, [online] 4(6), pp.1613–1619. Available at: https://www.multiresearchjournal.com/admin/uploads/archives/archive-1744636672.pdf.</w:t>
      </w:r>
    </w:p>
    <w:p w14:paraId="00000039"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lastRenderedPageBreak/>
        <w:t xml:space="preserve">Cristóbal, J., Castellani, V., Manfredi, S. and Sala, S. (2018). Prioritizing and optimizing sustainable measures for food waste prevention and management. </w:t>
      </w:r>
      <w:r w:rsidRPr="00686A21">
        <w:rPr>
          <w:rFonts w:ascii="Times New Roman" w:eastAsia="Times New Roman" w:hAnsi="Times New Roman" w:cs="Times New Roman"/>
          <w:i/>
          <w:iCs/>
          <w:sz w:val="24"/>
          <w:szCs w:val="24"/>
          <w:lang w:val="en-GB"/>
        </w:rPr>
        <w:t>Waste Management</w:t>
      </w:r>
      <w:r w:rsidRPr="00686A21">
        <w:rPr>
          <w:rFonts w:ascii="Times New Roman" w:eastAsia="Times New Roman" w:hAnsi="Times New Roman" w:cs="Times New Roman"/>
          <w:sz w:val="24"/>
          <w:szCs w:val="24"/>
          <w:lang w:val="en-GB"/>
        </w:rPr>
        <w:t xml:space="preserve">, 72, pp.3–16.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://doi.org/10.1016/j.wasman.2017.11.007.</w:t>
      </w:r>
    </w:p>
    <w:p w14:paraId="0000003A"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Davies, A.R. and McGeever, A. (2022). Social innovation for food waste reduction. </w:t>
      </w:r>
      <w:r w:rsidRPr="00686A21">
        <w:rPr>
          <w:rFonts w:ascii="Times New Roman" w:eastAsia="Times New Roman" w:hAnsi="Times New Roman" w:cs="Times New Roman"/>
          <w:i/>
          <w:iCs/>
          <w:sz w:val="24"/>
          <w:szCs w:val="24"/>
          <w:lang w:val="en-GB"/>
        </w:rPr>
        <w:t>Routledge eBooks</w:t>
      </w:r>
      <w:r w:rsidRPr="00686A21">
        <w:rPr>
          <w:rFonts w:ascii="Times New Roman" w:eastAsia="Times New Roman" w:hAnsi="Times New Roman" w:cs="Times New Roman"/>
          <w:sz w:val="24"/>
          <w:szCs w:val="24"/>
          <w:lang w:val="en-GB"/>
        </w:rPr>
        <w:t xml:space="preserve">, pp.209–223.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://doi.org/10.4324/9781003226932-18.</w:t>
      </w:r>
    </w:p>
    <w:p w14:paraId="0000003B"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Dennis, P. (2017). </w:t>
      </w:r>
      <w:r w:rsidRPr="00686A21">
        <w:rPr>
          <w:rFonts w:ascii="Times New Roman" w:eastAsia="Times New Roman" w:hAnsi="Times New Roman" w:cs="Times New Roman"/>
          <w:i/>
          <w:iCs/>
          <w:sz w:val="24"/>
          <w:szCs w:val="24"/>
          <w:lang w:val="en-GB"/>
        </w:rPr>
        <w:t>Lean Production Simplified</w:t>
      </w:r>
      <w:r w:rsidRPr="00686A21">
        <w:rPr>
          <w:rFonts w:ascii="Times New Roman" w:eastAsia="Times New Roman" w:hAnsi="Times New Roman" w:cs="Times New Roman"/>
          <w:sz w:val="24"/>
          <w:szCs w:val="24"/>
          <w:lang w:val="en-GB"/>
        </w:rPr>
        <w:t>. [online] Google Books. Available at: https://books.google.co.in/books?hl=en&amp;lr=&amp;id=Lx-vCgAAQBAJ&amp;oi=fnd&amp;pg=PP1&amp;dq=Such+systems+are+used+to+minimise+excessive+production+and+ensure+more+efficient+operations&amp;ots=0BFle76Qcp&amp;sig=b1ZSDyinQc_JhrKWLNu_pqptbvo [Accessed 2 Feb. 2026].</w:t>
      </w:r>
    </w:p>
    <w:p w14:paraId="0000003C"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Faishal</w:t>
      </w:r>
      <w:proofErr w:type="spellEnd"/>
      <w:r w:rsidRPr="00686A21">
        <w:rPr>
          <w:rFonts w:ascii="Times New Roman" w:eastAsia="Times New Roman" w:hAnsi="Times New Roman" w:cs="Times New Roman"/>
          <w:sz w:val="24"/>
          <w:szCs w:val="24"/>
          <w:lang w:val="en-GB"/>
        </w:rPr>
        <w:t xml:space="preserve">, A. and </w:t>
      </w:r>
      <w:proofErr w:type="spellStart"/>
      <w:r w:rsidRPr="00686A21">
        <w:rPr>
          <w:rFonts w:ascii="Times New Roman" w:eastAsia="Times New Roman" w:hAnsi="Times New Roman" w:cs="Times New Roman"/>
          <w:sz w:val="24"/>
          <w:szCs w:val="24"/>
          <w:lang w:val="en-GB"/>
        </w:rPr>
        <w:t>Suprapto</w:t>
      </w:r>
      <w:proofErr w:type="spellEnd"/>
      <w:r w:rsidRPr="00686A21">
        <w:rPr>
          <w:rFonts w:ascii="Times New Roman" w:eastAsia="Times New Roman" w:hAnsi="Times New Roman" w:cs="Times New Roman"/>
          <w:sz w:val="24"/>
          <w:szCs w:val="24"/>
          <w:lang w:val="en-GB"/>
        </w:rPr>
        <w:t xml:space="preserve"> (2022). Laws and Regulations Regarding Food Waste Management as a Function of Environmental Protection in a Developing Nation. </w:t>
      </w:r>
      <w:r w:rsidRPr="00686A21">
        <w:rPr>
          <w:rFonts w:ascii="Times New Roman" w:eastAsia="Times New Roman" w:hAnsi="Times New Roman" w:cs="Times New Roman"/>
          <w:i/>
          <w:iCs/>
          <w:sz w:val="24"/>
          <w:szCs w:val="24"/>
          <w:lang w:val="en-GB"/>
        </w:rPr>
        <w:t>International Journal of Criminal Justice Sciences</w:t>
      </w:r>
      <w:r w:rsidRPr="00686A21">
        <w:rPr>
          <w:rFonts w:ascii="Times New Roman" w:eastAsia="Times New Roman" w:hAnsi="Times New Roman" w:cs="Times New Roman"/>
          <w:sz w:val="24"/>
          <w:szCs w:val="24"/>
          <w:lang w:val="en-GB"/>
        </w:rPr>
        <w:t>, [online] 17(2), pp.223–237. Available at: https://ijcjs.com/menu-script/index.php/ijcjs/article/view/547.</w:t>
      </w:r>
    </w:p>
    <w:p w14:paraId="0000003D"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Gabarda-Mallorquí</w:t>
      </w:r>
      <w:proofErr w:type="spellEnd"/>
      <w:r w:rsidRPr="00686A21">
        <w:rPr>
          <w:rFonts w:ascii="Times New Roman" w:eastAsia="Times New Roman" w:hAnsi="Times New Roman" w:cs="Times New Roman"/>
          <w:sz w:val="24"/>
          <w:szCs w:val="24"/>
          <w:lang w:val="en-GB"/>
        </w:rPr>
        <w:t xml:space="preserve">, A., Garcia, X. and Ribas, A. (2017). Mass tourism and water efficiency in the hotel industry: A case study. </w:t>
      </w:r>
      <w:r w:rsidRPr="00686A21">
        <w:rPr>
          <w:rFonts w:ascii="Times New Roman" w:eastAsia="Times New Roman" w:hAnsi="Times New Roman" w:cs="Times New Roman"/>
          <w:i/>
          <w:iCs/>
          <w:sz w:val="24"/>
          <w:szCs w:val="24"/>
          <w:lang w:val="en-GB"/>
        </w:rPr>
        <w:t>International Journal of Hospitality Management</w:t>
      </w:r>
      <w:r w:rsidRPr="00686A21">
        <w:rPr>
          <w:rFonts w:ascii="Times New Roman" w:eastAsia="Times New Roman" w:hAnsi="Times New Roman" w:cs="Times New Roman"/>
          <w:sz w:val="24"/>
          <w:szCs w:val="24"/>
          <w:lang w:val="en-GB"/>
        </w:rPr>
        <w:t xml:space="preserve">, [online] 61, pp.82–93.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://doi.org/10.1016/j.ijhm.2016.11.006.</w:t>
      </w:r>
    </w:p>
    <w:p w14:paraId="0000003E"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Gardetti</w:t>
      </w:r>
      <w:proofErr w:type="spellEnd"/>
      <w:r w:rsidRPr="00686A21">
        <w:rPr>
          <w:rFonts w:ascii="Times New Roman" w:eastAsia="Times New Roman" w:hAnsi="Times New Roman" w:cs="Times New Roman"/>
          <w:sz w:val="24"/>
          <w:szCs w:val="24"/>
          <w:lang w:val="en-GB"/>
        </w:rPr>
        <w:t xml:space="preserve">, M. and Torres, A. (2016). </w:t>
      </w:r>
      <w:r w:rsidRPr="00686A21">
        <w:rPr>
          <w:rFonts w:ascii="Times New Roman" w:eastAsia="Times New Roman" w:hAnsi="Times New Roman" w:cs="Times New Roman"/>
          <w:i/>
          <w:iCs/>
          <w:sz w:val="24"/>
          <w:szCs w:val="24"/>
          <w:lang w:val="en-GB"/>
        </w:rPr>
        <w:t>Sustainability in Hospitality</w:t>
      </w:r>
      <w:r w:rsidRPr="00686A21">
        <w:rPr>
          <w:rFonts w:ascii="Times New Roman" w:eastAsia="Times New Roman" w:hAnsi="Times New Roman" w:cs="Times New Roman"/>
          <w:sz w:val="24"/>
          <w:szCs w:val="24"/>
          <w:lang w:val="en-GB"/>
        </w:rPr>
        <w:t>. [online] Google Books. Available at: https://books.google.co.in/books?hl=en&amp;lr=&amp;id=rqo0DwAAQBAJ&amp;oi=fnd&amp;pg=PA1997&amp;dq=small+hotels+can+hardly+comply+with+the+regulatory+expectations+as+they+have+little+financial+resources+and+assistance.+In+the+absence+of+subsidies+or+encouragement [Accessed 2 Feb. 2026].</w:t>
      </w:r>
    </w:p>
    <w:p w14:paraId="0000003F"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Ghani, B., Zada, M., Memon, K.R., Ullah, R., Khattak, A., Han, H., Montes, A.A. and Castillo, L.A. (2022). Challenges and strategies for employee retention in the hospitality industry: A review. </w:t>
      </w:r>
      <w:r w:rsidRPr="00686A21">
        <w:rPr>
          <w:rFonts w:ascii="Times New Roman" w:eastAsia="Times New Roman" w:hAnsi="Times New Roman" w:cs="Times New Roman"/>
          <w:i/>
          <w:iCs/>
          <w:sz w:val="24"/>
          <w:szCs w:val="24"/>
          <w:lang w:val="en-GB"/>
        </w:rPr>
        <w:t>Sustainability</w:t>
      </w:r>
      <w:r w:rsidRPr="00686A21">
        <w:rPr>
          <w:rFonts w:ascii="Times New Roman" w:eastAsia="Times New Roman" w:hAnsi="Times New Roman" w:cs="Times New Roman"/>
          <w:sz w:val="24"/>
          <w:szCs w:val="24"/>
          <w:lang w:val="en-GB"/>
        </w:rPr>
        <w:t xml:space="preserve">, [online] 14(5), pp.1–26.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://doi.org/10.3390/su14052885.</w:t>
      </w:r>
    </w:p>
    <w:p w14:paraId="00000040"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Halevi, G., Moed, H. and Bar-Ilan, J. (2017). Suitability of Google Scholar as a Source of Scientific Information and as a Source of Data for Scientific evaluation—Review of the </w:t>
      </w:r>
      <w:r w:rsidRPr="00686A21">
        <w:rPr>
          <w:rFonts w:ascii="Times New Roman" w:eastAsia="Times New Roman" w:hAnsi="Times New Roman" w:cs="Times New Roman"/>
          <w:sz w:val="24"/>
          <w:szCs w:val="24"/>
          <w:lang w:val="en-GB"/>
        </w:rPr>
        <w:lastRenderedPageBreak/>
        <w:t xml:space="preserve">Literature. </w:t>
      </w:r>
      <w:r w:rsidRPr="00686A21">
        <w:rPr>
          <w:rFonts w:ascii="Times New Roman" w:eastAsia="Times New Roman" w:hAnsi="Times New Roman" w:cs="Times New Roman"/>
          <w:i/>
          <w:iCs/>
          <w:sz w:val="24"/>
          <w:szCs w:val="24"/>
          <w:lang w:val="en-GB"/>
        </w:rPr>
        <w:t xml:space="preserve">Journal of </w:t>
      </w:r>
      <w:proofErr w:type="spellStart"/>
      <w:r w:rsidRPr="00686A21">
        <w:rPr>
          <w:rFonts w:ascii="Times New Roman" w:eastAsia="Times New Roman" w:hAnsi="Times New Roman" w:cs="Times New Roman"/>
          <w:i/>
          <w:iCs/>
          <w:sz w:val="24"/>
          <w:szCs w:val="24"/>
          <w:lang w:val="en-GB"/>
        </w:rPr>
        <w:t>Informetrics</w:t>
      </w:r>
      <w:proofErr w:type="spellEnd"/>
      <w:r w:rsidRPr="00686A21">
        <w:rPr>
          <w:rFonts w:ascii="Times New Roman" w:eastAsia="Times New Roman" w:hAnsi="Times New Roman" w:cs="Times New Roman"/>
          <w:sz w:val="24"/>
          <w:szCs w:val="24"/>
          <w:lang w:val="en-GB"/>
        </w:rPr>
        <w:t xml:space="preserve">, 11(3), pp.823–834.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://doi.org/10.1016/j.joi.2017.06.005.</w:t>
      </w:r>
    </w:p>
    <w:p w14:paraId="00000041"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Hussain, S. and Soni, G. (2024). Sustainable Waste Management Practices in the Hospitality Industry. </w:t>
      </w:r>
      <w:r w:rsidRPr="00686A21">
        <w:rPr>
          <w:rFonts w:ascii="Times New Roman" w:eastAsia="Times New Roman" w:hAnsi="Times New Roman" w:cs="Times New Roman"/>
          <w:i/>
          <w:iCs/>
          <w:sz w:val="24"/>
          <w:szCs w:val="24"/>
          <w:lang w:val="en-GB"/>
        </w:rPr>
        <w:t>Advances in hospitality, tourism and the services industry (AHTSI) book series</w:t>
      </w:r>
      <w:r w:rsidRPr="00686A21">
        <w:rPr>
          <w:rFonts w:ascii="Times New Roman" w:eastAsia="Times New Roman" w:hAnsi="Times New Roman" w:cs="Times New Roman"/>
          <w:sz w:val="24"/>
          <w:szCs w:val="24"/>
          <w:lang w:val="en-GB"/>
        </w:rPr>
        <w:t xml:space="preserve">, [online] pp.91–124.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://doi.org/10.4018/979-8-3693-6110-8.ch005.</w:t>
      </w:r>
    </w:p>
    <w:p w14:paraId="00000042"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Khalil, N., Che Abdullah, S.N., Haron, S.N. and Hamid, M.Y. (2022). A review of green practices and initiatives from stakeholder’s perspectives towards sustainable hotel operations and performance impact. </w:t>
      </w:r>
      <w:r w:rsidRPr="00686A21">
        <w:rPr>
          <w:rFonts w:ascii="Times New Roman" w:eastAsia="Times New Roman" w:hAnsi="Times New Roman" w:cs="Times New Roman"/>
          <w:i/>
          <w:iCs/>
          <w:sz w:val="24"/>
          <w:szCs w:val="24"/>
          <w:lang w:val="en-GB"/>
        </w:rPr>
        <w:t>Journal of Facilities Management</w:t>
      </w:r>
      <w:r w:rsidRPr="00686A21">
        <w:rPr>
          <w:rFonts w:ascii="Times New Roman" w:eastAsia="Times New Roman" w:hAnsi="Times New Roman" w:cs="Times New Roman"/>
          <w:sz w:val="24"/>
          <w:szCs w:val="24"/>
          <w:lang w:val="en-GB"/>
        </w:rPr>
        <w:t xml:space="preserve">, [online] 22(4).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://doi.org/10.1108/jfm-03-2022-0025.</w:t>
      </w:r>
    </w:p>
    <w:p w14:paraId="00000043"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Khan, H.A. (2024). Innovative Services, Processes and Product Design Crucial for Enhancing Customer Experience. </w:t>
      </w:r>
      <w:r w:rsidRPr="00686A21">
        <w:rPr>
          <w:rFonts w:ascii="Times New Roman" w:eastAsia="Times New Roman" w:hAnsi="Times New Roman" w:cs="Times New Roman"/>
          <w:i/>
          <w:iCs/>
          <w:sz w:val="24"/>
          <w:szCs w:val="24"/>
          <w:lang w:val="en-GB"/>
        </w:rPr>
        <w:t>Emerald Publishing Limited eBooks</w:t>
      </w:r>
      <w:r w:rsidRPr="00686A21">
        <w:rPr>
          <w:rFonts w:ascii="Times New Roman" w:eastAsia="Times New Roman" w:hAnsi="Times New Roman" w:cs="Times New Roman"/>
          <w:sz w:val="24"/>
          <w:szCs w:val="24"/>
          <w:lang w:val="en-GB"/>
        </w:rPr>
        <w:t xml:space="preserve">, [online] pp.63–81.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://doi.org/10.1108/978-1-83797-276-020241006.</w:t>
      </w:r>
    </w:p>
    <w:p w14:paraId="00000044"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Khatter, A., McGrath, M., Pyke, J., White, L. and </w:t>
      </w:r>
      <w:proofErr w:type="spellStart"/>
      <w:r w:rsidRPr="00686A21">
        <w:rPr>
          <w:rFonts w:ascii="Times New Roman" w:eastAsia="Times New Roman" w:hAnsi="Times New Roman" w:cs="Times New Roman"/>
          <w:sz w:val="24"/>
          <w:szCs w:val="24"/>
          <w:lang w:val="en-GB"/>
        </w:rPr>
        <w:t>Lockstone</w:t>
      </w:r>
      <w:proofErr w:type="spellEnd"/>
      <w:r w:rsidRPr="00686A21">
        <w:rPr>
          <w:rFonts w:ascii="Times New Roman" w:eastAsia="Times New Roman" w:hAnsi="Times New Roman" w:cs="Times New Roman"/>
          <w:sz w:val="24"/>
          <w:szCs w:val="24"/>
          <w:lang w:val="en-GB"/>
        </w:rPr>
        <w:t xml:space="preserve">-Binney, L. (2019). Analysis of hotels’ environmentally sustainable policies and practices. </w:t>
      </w:r>
      <w:r w:rsidRPr="00686A21">
        <w:rPr>
          <w:rFonts w:ascii="Times New Roman" w:eastAsia="Times New Roman" w:hAnsi="Times New Roman" w:cs="Times New Roman"/>
          <w:i/>
          <w:iCs/>
          <w:sz w:val="24"/>
          <w:szCs w:val="24"/>
          <w:lang w:val="en-GB"/>
        </w:rPr>
        <w:t>International Journal of Contemporary Hospitality Management</w:t>
      </w:r>
      <w:r w:rsidRPr="00686A21">
        <w:rPr>
          <w:rFonts w:ascii="Times New Roman" w:eastAsia="Times New Roman" w:hAnsi="Times New Roman" w:cs="Times New Roman"/>
          <w:sz w:val="24"/>
          <w:szCs w:val="24"/>
          <w:lang w:val="en-GB"/>
        </w:rPr>
        <w:t xml:space="preserve">, 31(6), pp.2394–2410.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://doi.org/10.1108/ijchm-08-2018-0670.</w:t>
      </w:r>
    </w:p>
    <w:p w14:paraId="00000045"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Krämer, S. and Engell, S. (2018). </w:t>
      </w:r>
      <w:r w:rsidRPr="00686A21">
        <w:rPr>
          <w:rFonts w:ascii="Times New Roman" w:eastAsia="Times New Roman" w:hAnsi="Times New Roman" w:cs="Times New Roman"/>
          <w:i/>
          <w:iCs/>
          <w:sz w:val="24"/>
          <w:szCs w:val="24"/>
          <w:lang w:val="en-GB"/>
        </w:rPr>
        <w:t>Resource Efficiency of Processing Plants</w:t>
      </w:r>
      <w:r w:rsidRPr="00686A21">
        <w:rPr>
          <w:rFonts w:ascii="Times New Roman" w:eastAsia="Times New Roman" w:hAnsi="Times New Roman" w:cs="Times New Roman"/>
          <w:sz w:val="24"/>
          <w:szCs w:val="24"/>
          <w:lang w:val="en-GB"/>
        </w:rPr>
        <w:t>. [online] Google Books. Available at: https://books.google.co.in/books?hl=en&amp;lr=&amp;id=5ttRDwAAQBAJ&amp;oi=fnd&amp;pg=PR17&amp;dq=There+are+other+challenges+that+present+before+some+of+the+hotels+to+implement+such+wide-scale+changes+because+of+the+scarcity+of+resources [Accessed 2 Feb. 2026].</w:t>
      </w:r>
    </w:p>
    <w:p w14:paraId="00000046"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Lakhouit</w:t>
      </w:r>
      <w:proofErr w:type="spellEnd"/>
      <w:r w:rsidRPr="00686A21">
        <w:rPr>
          <w:rFonts w:ascii="Times New Roman" w:eastAsia="Times New Roman" w:hAnsi="Times New Roman" w:cs="Times New Roman"/>
          <w:sz w:val="24"/>
          <w:szCs w:val="24"/>
          <w:lang w:val="en-GB"/>
        </w:rPr>
        <w:t xml:space="preserve">, A. (2025). Revolutionizing urban solid waste management with AI and IoT: A review of smart solutions for waste collection, sorting, and recycling. </w:t>
      </w:r>
      <w:r w:rsidRPr="00686A21">
        <w:rPr>
          <w:rFonts w:ascii="Times New Roman" w:eastAsia="Times New Roman" w:hAnsi="Times New Roman" w:cs="Times New Roman"/>
          <w:i/>
          <w:iCs/>
          <w:sz w:val="24"/>
          <w:szCs w:val="24"/>
          <w:lang w:val="en-GB"/>
        </w:rPr>
        <w:t>Results in Engineering</w:t>
      </w:r>
      <w:r w:rsidRPr="00686A21">
        <w:rPr>
          <w:rFonts w:ascii="Times New Roman" w:eastAsia="Times New Roman" w:hAnsi="Times New Roman" w:cs="Times New Roman"/>
          <w:sz w:val="24"/>
          <w:szCs w:val="24"/>
          <w:lang w:val="en-GB"/>
        </w:rPr>
        <w:t xml:space="preserve">, [online] 25, p.104018.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://doi.org/10.1016/j.rineng.2025.104018.</w:t>
      </w:r>
    </w:p>
    <w:p w14:paraId="00000047"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Leverenz, D., Hafner, G., </w:t>
      </w:r>
      <w:proofErr w:type="spellStart"/>
      <w:r w:rsidRPr="00686A21">
        <w:rPr>
          <w:rFonts w:ascii="Times New Roman" w:eastAsia="Times New Roman" w:hAnsi="Times New Roman" w:cs="Times New Roman"/>
          <w:sz w:val="24"/>
          <w:szCs w:val="24"/>
          <w:lang w:val="en-GB"/>
        </w:rPr>
        <w:t>Moussawel</w:t>
      </w:r>
      <w:proofErr w:type="spellEnd"/>
      <w:r w:rsidRPr="00686A21">
        <w:rPr>
          <w:rFonts w:ascii="Times New Roman" w:eastAsia="Times New Roman" w:hAnsi="Times New Roman" w:cs="Times New Roman"/>
          <w:sz w:val="24"/>
          <w:szCs w:val="24"/>
          <w:lang w:val="en-GB"/>
        </w:rPr>
        <w:t xml:space="preserve">, S., </w:t>
      </w:r>
      <w:proofErr w:type="spellStart"/>
      <w:r w:rsidRPr="00686A21">
        <w:rPr>
          <w:rFonts w:ascii="Times New Roman" w:eastAsia="Times New Roman" w:hAnsi="Times New Roman" w:cs="Times New Roman"/>
          <w:sz w:val="24"/>
          <w:szCs w:val="24"/>
          <w:lang w:val="en-GB"/>
        </w:rPr>
        <w:t>Kranert</w:t>
      </w:r>
      <w:proofErr w:type="spellEnd"/>
      <w:r w:rsidRPr="00686A21">
        <w:rPr>
          <w:rFonts w:ascii="Times New Roman" w:eastAsia="Times New Roman" w:hAnsi="Times New Roman" w:cs="Times New Roman"/>
          <w:sz w:val="24"/>
          <w:szCs w:val="24"/>
          <w:lang w:val="en-GB"/>
        </w:rPr>
        <w:t xml:space="preserve">, M., Goossens, Y. and Schmidt, T. (2021). Reducing food waste in hotel kitchens based on self-reported data. </w:t>
      </w:r>
      <w:r w:rsidRPr="00686A21">
        <w:rPr>
          <w:rFonts w:ascii="Times New Roman" w:eastAsia="Times New Roman" w:hAnsi="Times New Roman" w:cs="Times New Roman"/>
          <w:i/>
          <w:iCs/>
          <w:sz w:val="24"/>
          <w:szCs w:val="24"/>
          <w:lang w:val="en-GB"/>
        </w:rPr>
        <w:t>Industrial Marketing Management</w:t>
      </w:r>
      <w:r w:rsidRPr="00686A21">
        <w:rPr>
          <w:rFonts w:ascii="Times New Roman" w:eastAsia="Times New Roman" w:hAnsi="Times New Roman" w:cs="Times New Roman"/>
          <w:sz w:val="24"/>
          <w:szCs w:val="24"/>
          <w:lang w:val="en-GB"/>
        </w:rPr>
        <w:t xml:space="preserve">, 93.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://doi.org/10.1016/j.indmarman.2020.08.008.</w:t>
      </w:r>
    </w:p>
    <w:p w14:paraId="00000048"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lastRenderedPageBreak/>
        <w:t>Linassi</w:t>
      </w:r>
      <w:proofErr w:type="spellEnd"/>
      <w:r w:rsidRPr="00686A21">
        <w:rPr>
          <w:rFonts w:ascii="Times New Roman" w:eastAsia="Times New Roman" w:hAnsi="Times New Roman" w:cs="Times New Roman"/>
          <w:sz w:val="24"/>
          <w:szCs w:val="24"/>
          <w:lang w:val="en-GB"/>
        </w:rPr>
        <w:t xml:space="preserve">, R., Alberton, A. and Marinho, S.V. (2016). Menu engineering and activity-based costing. </w:t>
      </w:r>
      <w:r w:rsidRPr="00686A21">
        <w:rPr>
          <w:rFonts w:ascii="Times New Roman" w:eastAsia="Times New Roman" w:hAnsi="Times New Roman" w:cs="Times New Roman"/>
          <w:i/>
          <w:iCs/>
          <w:sz w:val="24"/>
          <w:szCs w:val="24"/>
          <w:lang w:val="en-GB"/>
        </w:rPr>
        <w:t>International Journal of Contemporary Hospitality Management</w:t>
      </w:r>
      <w:r w:rsidRPr="00686A21">
        <w:rPr>
          <w:rFonts w:ascii="Times New Roman" w:eastAsia="Times New Roman" w:hAnsi="Times New Roman" w:cs="Times New Roman"/>
          <w:sz w:val="24"/>
          <w:szCs w:val="24"/>
          <w:lang w:val="en-GB"/>
        </w:rPr>
        <w:t xml:space="preserve">, [online] 28(7), pp.1417–1440.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://doi.org/10.1108/ijchm-09-2014-0438.</w:t>
      </w:r>
    </w:p>
    <w:p w14:paraId="00000049"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Lovins, A.B., E. Kyle Datta, Feiler, T., </w:t>
      </w:r>
      <w:proofErr w:type="spellStart"/>
      <w:r w:rsidRPr="00686A21">
        <w:rPr>
          <w:rFonts w:ascii="Times New Roman" w:eastAsia="Times New Roman" w:hAnsi="Times New Roman" w:cs="Times New Roman"/>
          <w:sz w:val="24"/>
          <w:szCs w:val="24"/>
          <w:lang w:val="en-GB"/>
        </w:rPr>
        <w:t>Rábago</w:t>
      </w:r>
      <w:proofErr w:type="spellEnd"/>
      <w:r w:rsidRPr="00686A21">
        <w:rPr>
          <w:rFonts w:ascii="Times New Roman" w:eastAsia="Times New Roman" w:hAnsi="Times New Roman" w:cs="Times New Roman"/>
          <w:sz w:val="24"/>
          <w:szCs w:val="24"/>
          <w:lang w:val="en-GB"/>
        </w:rPr>
        <w:t xml:space="preserve">, K.R., Swisher, J.N., Lehmann, A. and Wicker, K. (2020). </w:t>
      </w:r>
      <w:r w:rsidRPr="00686A21">
        <w:rPr>
          <w:rFonts w:ascii="Times New Roman" w:eastAsia="Times New Roman" w:hAnsi="Times New Roman" w:cs="Times New Roman"/>
          <w:i/>
          <w:iCs/>
          <w:sz w:val="24"/>
          <w:szCs w:val="24"/>
          <w:lang w:val="en-GB"/>
        </w:rPr>
        <w:t>Small is Profitable</w:t>
      </w:r>
      <w:r w:rsidRPr="00686A21">
        <w:rPr>
          <w:rFonts w:ascii="Times New Roman" w:eastAsia="Times New Roman" w:hAnsi="Times New Roman" w:cs="Times New Roman"/>
          <w:sz w:val="24"/>
          <w:szCs w:val="24"/>
          <w:lang w:val="en-GB"/>
        </w:rPr>
        <w:t xml:space="preserve">. </w:t>
      </w:r>
      <w:r w:rsidRPr="00686A21">
        <w:rPr>
          <w:rFonts w:ascii="Times New Roman" w:eastAsia="Times New Roman" w:hAnsi="Times New Roman" w:cs="Times New Roman"/>
          <w:i/>
          <w:iCs/>
          <w:sz w:val="24"/>
          <w:szCs w:val="24"/>
          <w:lang w:val="en-GB"/>
        </w:rPr>
        <w:t>Routledge eBooks</w:t>
      </w:r>
      <w:r w:rsidRPr="00686A21">
        <w:rPr>
          <w:rFonts w:ascii="Times New Roman" w:eastAsia="Times New Roman" w:hAnsi="Times New Roman" w:cs="Times New Roman"/>
          <w:sz w:val="24"/>
          <w:szCs w:val="24"/>
          <w:lang w:val="en-GB"/>
        </w:rPr>
        <w:t xml:space="preserve">. Informa.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://doi.org/10.4324/9781315073804.</w:t>
      </w:r>
    </w:p>
    <w:p w14:paraId="0000004A"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Monika, Shashwat, K. and </w:t>
      </w:r>
      <w:proofErr w:type="spellStart"/>
      <w:r w:rsidRPr="00686A21">
        <w:rPr>
          <w:rFonts w:ascii="Times New Roman" w:eastAsia="Times New Roman" w:hAnsi="Times New Roman" w:cs="Times New Roman"/>
          <w:sz w:val="24"/>
          <w:szCs w:val="24"/>
          <w:lang w:val="en-GB"/>
        </w:rPr>
        <w:t>Bhartwal</w:t>
      </w:r>
      <w:proofErr w:type="spellEnd"/>
      <w:r w:rsidRPr="00686A21">
        <w:rPr>
          <w:rFonts w:ascii="Times New Roman" w:eastAsia="Times New Roman" w:hAnsi="Times New Roman" w:cs="Times New Roman"/>
          <w:sz w:val="24"/>
          <w:szCs w:val="24"/>
          <w:lang w:val="en-GB"/>
        </w:rPr>
        <w:t xml:space="preserve">, U. (2024). Technological Solutions for Waste Management in Indian Hotels. </w:t>
      </w:r>
      <w:r w:rsidRPr="00686A21">
        <w:rPr>
          <w:rFonts w:ascii="Times New Roman" w:eastAsia="Times New Roman" w:hAnsi="Times New Roman" w:cs="Times New Roman"/>
          <w:i/>
          <w:iCs/>
          <w:sz w:val="24"/>
          <w:szCs w:val="24"/>
          <w:lang w:val="en-GB"/>
        </w:rPr>
        <w:t>Artificial Intelligence and Communication Techniques in Industry 5.0</w:t>
      </w:r>
      <w:r w:rsidRPr="00686A21">
        <w:rPr>
          <w:rFonts w:ascii="Times New Roman" w:eastAsia="Times New Roman" w:hAnsi="Times New Roman" w:cs="Times New Roman"/>
          <w:sz w:val="24"/>
          <w:szCs w:val="24"/>
          <w:lang w:val="en-GB"/>
        </w:rPr>
        <w:t xml:space="preserve">, pp.318–332.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://doi.org/10.1201/9781003494027-20.</w:t>
      </w:r>
    </w:p>
    <w:p w14:paraId="0000004B"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Roque, H.C. and Ramos, M. (2019). The importance of cultural training in the hospitality sector. </w:t>
      </w:r>
      <w:r w:rsidRPr="00686A21">
        <w:rPr>
          <w:rFonts w:ascii="Times New Roman" w:eastAsia="Times New Roman" w:hAnsi="Times New Roman" w:cs="Times New Roman"/>
          <w:i/>
          <w:iCs/>
          <w:sz w:val="24"/>
          <w:szCs w:val="24"/>
          <w:lang w:val="en-GB"/>
        </w:rPr>
        <w:t>European Journal of Tourism, Hospitality and Recreation</w:t>
      </w:r>
      <w:r w:rsidRPr="00686A21">
        <w:rPr>
          <w:rFonts w:ascii="Times New Roman" w:eastAsia="Times New Roman" w:hAnsi="Times New Roman" w:cs="Times New Roman"/>
          <w:sz w:val="24"/>
          <w:szCs w:val="24"/>
          <w:lang w:val="en-GB"/>
        </w:rPr>
        <w:t xml:space="preserve">, [online] 9(2), pp.58–67.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://doi.org/10.2478/ejthr-2019-0007.</w:t>
      </w:r>
    </w:p>
    <w:p w14:paraId="0000004C"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Selin, J. (2018). </w:t>
      </w:r>
      <w:r w:rsidRPr="00686A21">
        <w:rPr>
          <w:rFonts w:ascii="Times New Roman" w:eastAsia="Times New Roman" w:hAnsi="Times New Roman" w:cs="Times New Roman"/>
          <w:i/>
          <w:iCs/>
          <w:sz w:val="24"/>
          <w:szCs w:val="24"/>
          <w:lang w:val="en-GB"/>
        </w:rPr>
        <w:t xml:space="preserve">Towards reducing food waste in a hotel breakfast </w:t>
      </w:r>
      <w:proofErr w:type="gramStart"/>
      <w:r w:rsidRPr="00686A21">
        <w:rPr>
          <w:rFonts w:ascii="Times New Roman" w:eastAsia="Times New Roman" w:hAnsi="Times New Roman" w:cs="Times New Roman"/>
          <w:i/>
          <w:iCs/>
          <w:sz w:val="24"/>
          <w:szCs w:val="24"/>
          <w:lang w:val="en-GB"/>
        </w:rPr>
        <w:t>buffet :</w:t>
      </w:r>
      <w:proofErr w:type="gramEnd"/>
      <w:r w:rsidRPr="00686A21">
        <w:rPr>
          <w:rFonts w:ascii="Times New Roman" w:eastAsia="Times New Roman" w:hAnsi="Times New Roman" w:cs="Times New Roman"/>
          <w:i/>
          <w:iCs/>
          <w:sz w:val="24"/>
          <w:szCs w:val="24"/>
          <w:lang w:val="en-GB"/>
        </w:rPr>
        <w:t xml:space="preserve"> A case study of </w:t>
      </w:r>
      <w:proofErr w:type="spellStart"/>
      <w:r w:rsidRPr="00686A21">
        <w:rPr>
          <w:rFonts w:ascii="Times New Roman" w:eastAsia="Times New Roman" w:hAnsi="Times New Roman" w:cs="Times New Roman"/>
          <w:i/>
          <w:iCs/>
          <w:sz w:val="24"/>
          <w:szCs w:val="24"/>
          <w:lang w:val="en-GB"/>
        </w:rPr>
        <w:t>Profil</w:t>
      </w:r>
      <w:proofErr w:type="spellEnd"/>
      <w:r w:rsidRPr="00686A21">
        <w:rPr>
          <w:rFonts w:ascii="Times New Roman" w:eastAsia="Times New Roman" w:hAnsi="Times New Roman" w:cs="Times New Roman"/>
          <w:i/>
          <w:iCs/>
          <w:sz w:val="24"/>
          <w:szCs w:val="24"/>
          <w:lang w:val="en-GB"/>
        </w:rPr>
        <w:t xml:space="preserve"> Hotels Calmar </w:t>
      </w:r>
      <w:proofErr w:type="spellStart"/>
      <w:r w:rsidRPr="00686A21">
        <w:rPr>
          <w:rFonts w:ascii="Times New Roman" w:eastAsia="Times New Roman" w:hAnsi="Times New Roman" w:cs="Times New Roman"/>
          <w:i/>
          <w:iCs/>
          <w:sz w:val="24"/>
          <w:szCs w:val="24"/>
          <w:lang w:val="en-GB"/>
        </w:rPr>
        <w:t>Stadshotell</w:t>
      </w:r>
      <w:proofErr w:type="spellEnd"/>
      <w:r w:rsidRPr="00686A21">
        <w:rPr>
          <w:rFonts w:ascii="Times New Roman" w:eastAsia="Times New Roman" w:hAnsi="Times New Roman" w:cs="Times New Roman"/>
          <w:sz w:val="24"/>
          <w:szCs w:val="24"/>
          <w:lang w:val="en-GB"/>
        </w:rPr>
        <w:t>. [online] DIVA. Available at: https://www.diva-portal.org/smash/record.jsf?pid=diva2:1222754.</w:t>
      </w:r>
    </w:p>
    <w:p w14:paraId="0000004D"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Tang, W., Mai, L. and Li, M. (2023). Green innovation and resource efficiency to meet net-zero emission. </w:t>
      </w:r>
      <w:r w:rsidRPr="00686A21">
        <w:rPr>
          <w:rFonts w:ascii="Times New Roman" w:eastAsia="Times New Roman" w:hAnsi="Times New Roman" w:cs="Times New Roman"/>
          <w:i/>
          <w:iCs/>
          <w:sz w:val="24"/>
          <w:szCs w:val="24"/>
          <w:lang w:val="en-GB"/>
        </w:rPr>
        <w:t>Resources Policy</w:t>
      </w:r>
      <w:r w:rsidRPr="00686A21">
        <w:rPr>
          <w:rFonts w:ascii="Times New Roman" w:eastAsia="Times New Roman" w:hAnsi="Times New Roman" w:cs="Times New Roman"/>
          <w:sz w:val="24"/>
          <w:szCs w:val="24"/>
          <w:lang w:val="en-GB"/>
        </w:rPr>
        <w:t xml:space="preserve">, [online] 86, p.104231.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://doi.org/10.1016/j.resourpol.2023.104231.</w:t>
      </w:r>
    </w:p>
    <w:p w14:paraId="0000004E"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Ulubeyli</w:t>
      </w:r>
      <w:proofErr w:type="spellEnd"/>
      <w:r w:rsidRPr="00686A21">
        <w:rPr>
          <w:rFonts w:ascii="Times New Roman" w:eastAsia="Times New Roman" w:hAnsi="Times New Roman" w:cs="Times New Roman"/>
          <w:sz w:val="24"/>
          <w:szCs w:val="24"/>
          <w:lang w:val="en-GB"/>
        </w:rPr>
        <w:t xml:space="preserve">, S., </w:t>
      </w:r>
      <w:proofErr w:type="spellStart"/>
      <w:r w:rsidRPr="00686A21">
        <w:rPr>
          <w:rFonts w:ascii="Times New Roman" w:eastAsia="Times New Roman" w:hAnsi="Times New Roman" w:cs="Times New Roman"/>
          <w:sz w:val="24"/>
          <w:szCs w:val="24"/>
          <w:lang w:val="en-GB"/>
        </w:rPr>
        <w:t>Kazancı</w:t>
      </w:r>
      <w:proofErr w:type="spellEnd"/>
      <w:r w:rsidRPr="00686A21">
        <w:rPr>
          <w:rFonts w:ascii="Times New Roman" w:eastAsia="Times New Roman" w:hAnsi="Times New Roman" w:cs="Times New Roman"/>
          <w:sz w:val="24"/>
          <w:szCs w:val="24"/>
          <w:lang w:val="en-GB"/>
        </w:rPr>
        <w:t xml:space="preserve">, O., Kazaz, A. and Arslan, V. (2019). Strategic Factors Affecting Green Building Industry. </w:t>
      </w:r>
      <w:r w:rsidRPr="00686A21">
        <w:rPr>
          <w:rFonts w:ascii="Times New Roman" w:eastAsia="Times New Roman" w:hAnsi="Times New Roman" w:cs="Times New Roman"/>
          <w:i/>
          <w:iCs/>
          <w:sz w:val="24"/>
          <w:szCs w:val="24"/>
          <w:lang w:val="en-GB"/>
        </w:rPr>
        <w:t>Sakarya University Journal of Science</w:t>
      </w:r>
      <w:r w:rsidRPr="00686A21">
        <w:rPr>
          <w:rFonts w:ascii="Times New Roman" w:eastAsia="Times New Roman" w:hAnsi="Times New Roman" w:cs="Times New Roman"/>
          <w:sz w:val="24"/>
          <w:szCs w:val="24"/>
          <w:lang w:val="en-GB"/>
        </w:rPr>
        <w:t xml:space="preserve">, 23(6), pp.1042–1055.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://doi.org/10.16984/saufenbilder.474824.</w:t>
      </w:r>
    </w:p>
    <w:p w14:paraId="0000004F"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proofErr w:type="spellStart"/>
      <w:r w:rsidRPr="00686A21">
        <w:rPr>
          <w:rFonts w:ascii="Times New Roman" w:eastAsia="Times New Roman" w:hAnsi="Times New Roman" w:cs="Times New Roman"/>
          <w:sz w:val="24"/>
          <w:szCs w:val="24"/>
          <w:lang w:val="en-GB"/>
        </w:rPr>
        <w:t>Waaje</w:t>
      </w:r>
      <w:proofErr w:type="spellEnd"/>
      <w:r w:rsidRPr="00686A21">
        <w:rPr>
          <w:rFonts w:ascii="Times New Roman" w:eastAsia="Times New Roman" w:hAnsi="Times New Roman" w:cs="Times New Roman"/>
          <w:sz w:val="24"/>
          <w:szCs w:val="24"/>
          <w:lang w:val="en-GB"/>
        </w:rPr>
        <w:t xml:space="preserve">, A., Karim, R., </w:t>
      </w:r>
      <w:proofErr w:type="spellStart"/>
      <w:r w:rsidRPr="00686A21">
        <w:rPr>
          <w:rFonts w:ascii="Times New Roman" w:eastAsia="Times New Roman" w:hAnsi="Times New Roman" w:cs="Times New Roman"/>
          <w:sz w:val="24"/>
          <w:szCs w:val="24"/>
          <w:lang w:val="en-GB"/>
        </w:rPr>
        <w:t>Roshid</w:t>
      </w:r>
      <w:proofErr w:type="spellEnd"/>
      <w:r w:rsidRPr="00686A21">
        <w:rPr>
          <w:rFonts w:ascii="Times New Roman" w:eastAsia="Times New Roman" w:hAnsi="Times New Roman" w:cs="Times New Roman"/>
          <w:sz w:val="24"/>
          <w:szCs w:val="24"/>
          <w:lang w:val="en-GB"/>
        </w:rPr>
        <w:t xml:space="preserve">, </w:t>
      </w:r>
      <w:proofErr w:type="spellStart"/>
      <w:r w:rsidRPr="00686A21">
        <w:rPr>
          <w:rFonts w:ascii="Times New Roman" w:eastAsia="Times New Roman" w:hAnsi="Times New Roman" w:cs="Times New Roman"/>
          <w:sz w:val="24"/>
          <w:szCs w:val="24"/>
          <w:lang w:val="en-GB"/>
        </w:rPr>
        <w:t>Md.M</w:t>
      </w:r>
      <w:proofErr w:type="spellEnd"/>
      <w:r w:rsidRPr="00686A21">
        <w:rPr>
          <w:rFonts w:ascii="Times New Roman" w:eastAsia="Times New Roman" w:hAnsi="Times New Roman" w:cs="Times New Roman"/>
          <w:sz w:val="24"/>
          <w:szCs w:val="24"/>
          <w:lang w:val="en-GB"/>
        </w:rPr>
        <w:t xml:space="preserve">. and Meem, T.N. (2024). Minimizing Waste in the Hospitality Industry. </w:t>
      </w:r>
      <w:r w:rsidRPr="00686A21">
        <w:rPr>
          <w:rFonts w:ascii="Times New Roman" w:eastAsia="Times New Roman" w:hAnsi="Times New Roman" w:cs="Times New Roman"/>
          <w:i/>
          <w:iCs/>
          <w:sz w:val="24"/>
          <w:szCs w:val="24"/>
          <w:lang w:val="en-GB"/>
        </w:rPr>
        <w:t>Advances in hospitality, tourism and the services industry (AHTSI) book series</w:t>
      </w:r>
      <w:r w:rsidRPr="00686A21">
        <w:rPr>
          <w:rFonts w:ascii="Times New Roman" w:eastAsia="Times New Roman" w:hAnsi="Times New Roman" w:cs="Times New Roman"/>
          <w:sz w:val="24"/>
          <w:szCs w:val="24"/>
          <w:lang w:val="en-GB"/>
        </w:rPr>
        <w:t xml:space="preserve">, [online] pp.125–166.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://doi.org/10.4018/979-8-3693-6110-8.ch006.</w:t>
      </w:r>
    </w:p>
    <w:p w14:paraId="00000050"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t xml:space="preserve">Wang, Y. and Zhu, Q. (2020). How Do You Manage Online Delivery Package Waste? </w:t>
      </w:r>
      <w:r w:rsidRPr="00686A21">
        <w:rPr>
          <w:rFonts w:ascii="Times New Roman" w:eastAsia="Times New Roman" w:hAnsi="Times New Roman" w:cs="Times New Roman"/>
          <w:i/>
          <w:iCs/>
          <w:sz w:val="24"/>
          <w:szCs w:val="24"/>
          <w:lang w:val="en-GB"/>
        </w:rPr>
        <w:t>IEEE Engineering Management Review</w:t>
      </w:r>
      <w:r w:rsidRPr="00686A21">
        <w:rPr>
          <w:rFonts w:ascii="Times New Roman" w:eastAsia="Times New Roman" w:hAnsi="Times New Roman" w:cs="Times New Roman"/>
          <w:sz w:val="24"/>
          <w:szCs w:val="24"/>
          <w:lang w:val="en-GB"/>
        </w:rPr>
        <w:t xml:space="preserve">, 48(2), pp.184–192.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://doi.org/10.1109/emr.2020.2990366.</w:t>
      </w:r>
    </w:p>
    <w:p w14:paraId="00000051" w14:textId="77777777" w:rsidR="00606BFC" w:rsidRPr="00686A21" w:rsidRDefault="005E20AA">
      <w:pPr>
        <w:spacing w:after="240" w:line="360" w:lineRule="auto"/>
        <w:jc w:val="both"/>
        <w:rPr>
          <w:rFonts w:ascii="Times New Roman" w:eastAsia="Times New Roman" w:hAnsi="Times New Roman" w:cs="Times New Roman"/>
          <w:sz w:val="24"/>
          <w:szCs w:val="24"/>
          <w:lang w:val="en-GB"/>
        </w:rPr>
      </w:pPr>
      <w:r w:rsidRPr="00686A21">
        <w:rPr>
          <w:rFonts w:ascii="Times New Roman" w:eastAsia="Times New Roman" w:hAnsi="Times New Roman" w:cs="Times New Roman"/>
          <w:sz w:val="24"/>
          <w:szCs w:val="24"/>
          <w:lang w:val="en-GB"/>
        </w:rPr>
        <w:lastRenderedPageBreak/>
        <w:t xml:space="preserve">Warren, C., Becken, S. and Coghlan, A. (2019). Using persuasive communication to co-create behavioural change – engaging with guests to save resources at tourist accommodation facilities. pp.67–86. </w:t>
      </w:r>
      <w:proofErr w:type="spellStart"/>
      <w:r w:rsidRPr="00686A21">
        <w:rPr>
          <w:rFonts w:ascii="Times New Roman" w:eastAsia="Times New Roman" w:hAnsi="Times New Roman" w:cs="Times New Roman"/>
          <w:sz w:val="24"/>
          <w:szCs w:val="24"/>
          <w:lang w:val="en-GB"/>
        </w:rPr>
        <w:t>doi:https</w:t>
      </w:r>
      <w:proofErr w:type="spellEnd"/>
      <w:r w:rsidRPr="00686A21">
        <w:rPr>
          <w:rFonts w:ascii="Times New Roman" w:eastAsia="Times New Roman" w:hAnsi="Times New Roman" w:cs="Times New Roman"/>
          <w:sz w:val="24"/>
          <w:szCs w:val="24"/>
          <w:lang w:val="en-GB"/>
        </w:rPr>
        <w:t>://doi.org/10.4324/9780203711668-5.</w:t>
      </w:r>
    </w:p>
    <w:p w14:paraId="00000052" w14:textId="77777777" w:rsidR="00606BFC" w:rsidRPr="00686A21" w:rsidRDefault="00606BFC">
      <w:pPr>
        <w:spacing w:before="200" w:line="360" w:lineRule="auto"/>
        <w:jc w:val="both"/>
        <w:rPr>
          <w:rFonts w:ascii="Times New Roman" w:eastAsia="Times New Roman" w:hAnsi="Times New Roman" w:cs="Times New Roman"/>
          <w:sz w:val="24"/>
          <w:szCs w:val="24"/>
          <w:lang w:val="en-GB"/>
        </w:rPr>
      </w:pPr>
    </w:p>
    <w:sectPr w:rsidR="00606BFC" w:rsidRPr="00686A21" w:rsidSect="00B4163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DCDD6" w14:textId="77777777" w:rsidR="009D1E05" w:rsidRDefault="009D1E05" w:rsidP="00B4163D">
      <w:pPr>
        <w:spacing w:line="240" w:lineRule="auto"/>
      </w:pPr>
      <w:r>
        <w:separator/>
      </w:r>
    </w:p>
  </w:endnote>
  <w:endnote w:type="continuationSeparator" w:id="0">
    <w:p w14:paraId="5DED0A06" w14:textId="77777777" w:rsidR="009D1E05" w:rsidRDefault="009D1E05" w:rsidP="00B416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4FA9ABA5-3C9D-2F40-B93B-72418696B72B}"/>
    <w:embedBold r:id="rId2" w:fontKey="{11E23DA3-C377-A44E-8405-E7F59862140D}"/>
    <w:embedItalic r:id="rId3" w:fontKey="{C3B01290-933D-2540-9E11-EF4E9E88BE60}"/>
  </w:font>
  <w:font w:name="Times New Roman">
    <w:panose1 w:val="02020603050405020304"/>
    <w:charset w:val="00"/>
    <w:family w:val="roman"/>
    <w:pitch w:val="variable"/>
    <w:sig w:usb0="E0002EFF" w:usb1="C000785B" w:usb2="00000009" w:usb3="00000000" w:csb0="000001FF" w:csb1="00000000"/>
    <w:embedRegular r:id="rId4" w:fontKey="{327A2F92-DB01-CB42-B83E-2D055D8C9B7E}"/>
    <w:embedBold r:id="rId5" w:fontKey="{7B20AD5B-F780-684C-B034-AD559F1A9205}"/>
    <w:embedItalic r:id="rId6" w:fontKey="{E5629F43-0BDE-B54C-BFB5-30BC1BB72128}"/>
  </w:font>
  <w:font w:name="Calibri">
    <w:panose1 w:val="020F0502020204030204"/>
    <w:charset w:val="00"/>
    <w:family w:val="swiss"/>
    <w:pitch w:val="variable"/>
    <w:sig w:usb0="E4002EFF" w:usb1="C200247B" w:usb2="00000009" w:usb3="00000000" w:csb0="000001FF" w:csb1="00000000"/>
    <w:embedRegular r:id="rId7" w:fontKey="{FCB13681-610F-004A-B3FC-926EA213C1E8}"/>
  </w:font>
  <w:font w:name="Cambria">
    <w:panose1 w:val="02040503050406030204"/>
    <w:charset w:val="00"/>
    <w:family w:val="roman"/>
    <w:pitch w:val="variable"/>
    <w:sig w:usb0="E00006FF" w:usb1="420024FF" w:usb2="02000000" w:usb3="00000000" w:csb0="0000019F" w:csb1="00000000"/>
    <w:embedRegular r:id="rId8" w:fontKey="{046A4AA4-8E59-704F-AF77-4D39A24B7D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773264"/>
      <w:docPartObj>
        <w:docPartGallery w:val="Page Numbers (Bottom of Page)"/>
        <w:docPartUnique/>
      </w:docPartObj>
    </w:sdtPr>
    <w:sdtEndPr>
      <w:rPr>
        <w:rFonts w:ascii="Times New Roman" w:hAnsi="Times New Roman" w:cs="Times New Roman"/>
        <w:noProof/>
        <w:sz w:val="20"/>
      </w:rPr>
    </w:sdtEndPr>
    <w:sdtContent>
      <w:p w14:paraId="336E9E52" w14:textId="1D2C74D6" w:rsidR="00B4163D" w:rsidRPr="00B4163D" w:rsidRDefault="00B4163D">
        <w:pPr>
          <w:pStyle w:val="Footer"/>
          <w:jc w:val="right"/>
          <w:rPr>
            <w:rFonts w:ascii="Times New Roman" w:hAnsi="Times New Roman" w:cs="Times New Roman"/>
            <w:sz w:val="20"/>
          </w:rPr>
        </w:pPr>
        <w:r w:rsidRPr="00B4163D">
          <w:rPr>
            <w:rFonts w:ascii="Times New Roman" w:hAnsi="Times New Roman" w:cs="Times New Roman"/>
            <w:sz w:val="20"/>
          </w:rPr>
          <w:fldChar w:fldCharType="begin"/>
        </w:r>
        <w:r w:rsidRPr="00B4163D">
          <w:rPr>
            <w:rFonts w:ascii="Times New Roman" w:hAnsi="Times New Roman" w:cs="Times New Roman"/>
            <w:sz w:val="20"/>
          </w:rPr>
          <w:instrText xml:space="preserve"> PAGE   \* MERGEFORMAT </w:instrText>
        </w:r>
        <w:r w:rsidRPr="00B4163D">
          <w:rPr>
            <w:rFonts w:ascii="Times New Roman" w:hAnsi="Times New Roman" w:cs="Times New Roman"/>
            <w:sz w:val="20"/>
          </w:rPr>
          <w:fldChar w:fldCharType="separate"/>
        </w:r>
        <w:r w:rsidR="00BB6F09">
          <w:rPr>
            <w:rFonts w:ascii="Times New Roman" w:hAnsi="Times New Roman" w:cs="Times New Roman"/>
            <w:noProof/>
            <w:sz w:val="20"/>
          </w:rPr>
          <w:t>3</w:t>
        </w:r>
        <w:r w:rsidRPr="00B4163D">
          <w:rPr>
            <w:rFonts w:ascii="Times New Roman" w:hAnsi="Times New Roman" w:cs="Times New Roman"/>
            <w:noProof/>
            <w:sz w:val="20"/>
          </w:rPr>
          <w:fldChar w:fldCharType="end"/>
        </w:r>
      </w:p>
    </w:sdtContent>
  </w:sdt>
  <w:p w14:paraId="7F61B3AF" w14:textId="77777777" w:rsidR="00B4163D" w:rsidRDefault="00B41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D8135" w14:textId="77777777" w:rsidR="009D1E05" w:rsidRDefault="009D1E05" w:rsidP="00B4163D">
      <w:pPr>
        <w:spacing w:line="240" w:lineRule="auto"/>
      </w:pPr>
      <w:r>
        <w:separator/>
      </w:r>
    </w:p>
  </w:footnote>
  <w:footnote w:type="continuationSeparator" w:id="0">
    <w:p w14:paraId="065797C1" w14:textId="77777777" w:rsidR="009D1E05" w:rsidRDefault="009D1E05" w:rsidP="00B416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BFC"/>
    <w:rsid w:val="00284A22"/>
    <w:rsid w:val="004E270B"/>
    <w:rsid w:val="005E20AA"/>
    <w:rsid w:val="00606BFC"/>
    <w:rsid w:val="00686A21"/>
    <w:rsid w:val="009076E7"/>
    <w:rsid w:val="009B0816"/>
    <w:rsid w:val="009D1E05"/>
    <w:rsid w:val="00A6298F"/>
    <w:rsid w:val="00B4163D"/>
    <w:rsid w:val="00BB6F09"/>
    <w:rsid w:val="00D17795"/>
    <w:rsid w:val="00FE5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11AA9"/>
  <w15:docId w15:val="{342AA2B7-5C8A-4CAF-BC24-95871EFC2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86A2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86A2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4163D"/>
    <w:pPr>
      <w:tabs>
        <w:tab w:val="center" w:pos="4680"/>
        <w:tab w:val="right" w:pos="9360"/>
      </w:tabs>
      <w:spacing w:line="240" w:lineRule="auto"/>
    </w:pPr>
  </w:style>
  <w:style w:type="character" w:customStyle="1" w:styleId="HeaderChar">
    <w:name w:val="Header Char"/>
    <w:basedOn w:val="DefaultParagraphFont"/>
    <w:link w:val="Header"/>
    <w:uiPriority w:val="99"/>
    <w:rsid w:val="00B4163D"/>
  </w:style>
  <w:style w:type="paragraph" w:styleId="Footer">
    <w:name w:val="footer"/>
    <w:basedOn w:val="Normal"/>
    <w:link w:val="FooterChar"/>
    <w:uiPriority w:val="99"/>
    <w:unhideWhenUsed/>
    <w:rsid w:val="00B4163D"/>
    <w:pPr>
      <w:tabs>
        <w:tab w:val="center" w:pos="4680"/>
        <w:tab w:val="right" w:pos="9360"/>
      </w:tabs>
      <w:spacing w:line="240" w:lineRule="auto"/>
    </w:pPr>
  </w:style>
  <w:style w:type="character" w:customStyle="1" w:styleId="FooterChar">
    <w:name w:val="Footer Char"/>
    <w:basedOn w:val="DefaultParagraphFont"/>
    <w:link w:val="Footer"/>
    <w:uiPriority w:val="99"/>
    <w:rsid w:val="00B4163D"/>
  </w:style>
  <w:style w:type="paragraph" w:styleId="TOCHeading">
    <w:name w:val="TOC Heading"/>
    <w:basedOn w:val="Heading1"/>
    <w:next w:val="Normal"/>
    <w:uiPriority w:val="39"/>
    <w:unhideWhenUsed/>
    <w:qFormat/>
    <w:rsid w:val="004E270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E270B"/>
    <w:pPr>
      <w:spacing w:after="100"/>
    </w:pPr>
  </w:style>
  <w:style w:type="paragraph" w:styleId="TOC2">
    <w:name w:val="toc 2"/>
    <w:basedOn w:val="Normal"/>
    <w:next w:val="Normal"/>
    <w:autoRedefine/>
    <w:uiPriority w:val="39"/>
    <w:unhideWhenUsed/>
    <w:rsid w:val="004E270B"/>
    <w:pPr>
      <w:spacing w:after="100"/>
      <w:ind w:left="220"/>
    </w:pPr>
  </w:style>
  <w:style w:type="character" w:styleId="Hyperlink">
    <w:name w:val="Hyperlink"/>
    <w:basedOn w:val="DefaultParagraphFont"/>
    <w:uiPriority w:val="99"/>
    <w:unhideWhenUsed/>
    <w:rsid w:val="004E270B"/>
    <w:rPr>
      <w:color w:val="0000FF" w:themeColor="hyperlink"/>
      <w:u w:val="single"/>
    </w:rPr>
  </w:style>
  <w:style w:type="paragraph" w:styleId="NormalWeb">
    <w:name w:val="Normal (Web)"/>
    <w:basedOn w:val="Normal"/>
    <w:uiPriority w:val="99"/>
    <w:unhideWhenUsed/>
    <w:rsid w:val="00A6298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0693591">
      <w:bodyDiv w:val="1"/>
      <w:marLeft w:val="0"/>
      <w:marRight w:val="0"/>
      <w:marTop w:val="0"/>
      <w:marBottom w:val="0"/>
      <w:divBdr>
        <w:top w:val="none" w:sz="0" w:space="0" w:color="auto"/>
        <w:left w:val="none" w:sz="0" w:space="0" w:color="auto"/>
        <w:bottom w:val="none" w:sz="0" w:space="0" w:color="auto"/>
        <w:right w:val="none" w:sz="0" w:space="0" w:color="auto"/>
      </w:divBdr>
    </w:div>
    <w:div w:id="9349034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79B64-F5FB-4F49-90A9-3BCCC8293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4721</Words>
  <Characters>26914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Croitoru (2243006)</cp:lastModifiedBy>
  <cp:revision>3</cp:revision>
  <dcterms:created xsi:type="dcterms:W3CDTF">2026-02-12T16:01:00Z</dcterms:created>
  <dcterms:modified xsi:type="dcterms:W3CDTF">2026-02-12T17:06:00Z</dcterms:modified>
</cp:coreProperties>
</file>