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F9056" w14:textId="77777777" w:rsidR="007E2471" w:rsidRDefault="007E2471" w:rsidP="007E2471">
      <w:pPr>
        <w:spacing w:line="240" w:lineRule="auto"/>
        <w:jc w:val="center"/>
        <w:rPr>
          <w:rFonts w:ascii="Arial" w:hAnsi="Arial" w:cs="Arial"/>
          <w:b/>
          <w:bCs/>
          <w:sz w:val="48"/>
          <w:szCs w:val="48"/>
        </w:rPr>
      </w:pPr>
    </w:p>
    <w:p w14:paraId="26E3489E" w14:textId="77777777" w:rsidR="007E2471" w:rsidRDefault="007E2471" w:rsidP="007E2471">
      <w:pPr>
        <w:spacing w:line="240" w:lineRule="auto"/>
        <w:jc w:val="center"/>
        <w:rPr>
          <w:rFonts w:ascii="Arial" w:hAnsi="Arial" w:cs="Arial"/>
          <w:b/>
          <w:bCs/>
          <w:sz w:val="48"/>
          <w:szCs w:val="48"/>
        </w:rPr>
      </w:pPr>
    </w:p>
    <w:p w14:paraId="6B4EFEE3" w14:textId="77777777" w:rsidR="007E2471" w:rsidRDefault="007E2471" w:rsidP="007E2471">
      <w:pPr>
        <w:spacing w:line="240" w:lineRule="auto"/>
        <w:jc w:val="center"/>
        <w:rPr>
          <w:rFonts w:ascii="Arial" w:hAnsi="Arial" w:cs="Arial"/>
          <w:b/>
          <w:bCs/>
          <w:sz w:val="48"/>
          <w:szCs w:val="48"/>
        </w:rPr>
      </w:pPr>
    </w:p>
    <w:p w14:paraId="09BD5B1D" w14:textId="77777777" w:rsidR="007E2471" w:rsidRDefault="007E2471" w:rsidP="007E2471">
      <w:pPr>
        <w:spacing w:line="240" w:lineRule="auto"/>
        <w:jc w:val="center"/>
        <w:rPr>
          <w:rFonts w:ascii="Arial" w:hAnsi="Arial" w:cs="Arial"/>
          <w:b/>
          <w:bCs/>
          <w:sz w:val="48"/>
          <w:szCs w:val="48"/>
        </w:rPr>
      </w:pPr>
    </w:p>
    <w:p w14:paraId="098692E1" w14:textId="1CBF0D48" w:rsidR="00686AE5" w:rsidRPr="007E2471" w:rsidRDefault="00805DD6" w:rsidP="007E2471">
      <w:pPr>
        <w:spacing w:line="240" w:lineRule="auto"/>
        <w:jc w:val="center"/>
        <w:rPr>
          <w:rFonts w:ascii="Arial" w:hAnsi="Arial" w:cs="Arial"/>
          <w:b/>
          <w:bCs/>
          <w:sz w:val="48"/>
          <w:szCs w:val="48"/>
        </w:rPr>
      </w:pPr>
      <w:r w:rsidRPr="007E2471">
        <w:rPr>
          <w:noProof/>
          <w:sz w:val="48"/>
          <w:szCs w:val="48"/>
        </w:rPr>
        <w:drawing>
          <wp:inline distT="0" distB="0" distL="0" distR="0" wp14:anchorId="1C03CF05" wp14:editId="063E014D">
            <wp:extent cx="1864659" cy="743400"/>
            <wp:effectExtent l="0" t="0" r="2540" b="0"/>
            <wp:docPr id="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lose-up of black text&#10;&#10;AI-generated content may be incorrect."/>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73576" cy="746955"/>
                    </a:xfrm>
                    <a:prstGeom prst="rect">
                      <a:avLst/>
                    </a:prstGeom>
                    <a:noFill/>
                  </pic:spPr>
                </pic:pic>
              </a:graphicData>
            </a:graphic>
          </wp:inline>
        </w:drawing>
      </w:r>
    </w:p>
    <w:p w14:paraId="341F2799" w14:textId="77777777" w:rsidR="00E17BB2" w:rsidRPr="007E2471" w:rsidRDefault="00E17BB2" w:rsidP="007E2471">
      <w:pPr>
        <w:spacing w:line="240" w:lineRule="auto"/>
        <w:jc w:val="center"/>
        <w:rPr>
          <w:rFonts w:ascii="Arial" w:hAnsi="Arial" w:cs="Arial"/>
          <w:b/>
          <w:bCs/>
          <w:sz w:val="48"/>
          <w:szCs w:val="48"/>
        </w:rPr>
      </w:pPr>
      <w:r w:rsidRPr="007E2471">
        <w:rPr>
          <w:rFonts w:ascii="Arial" w:hAnsi="Arial" w:cs="Arial"/>
          <w:b/>
          <w:bCs/>
          <w:sz w:val="48"/>
          <w:szCs w:val="48"/>
        </w:rPr>
        <w:t>Certificate of Higher Education</w:t>
      </w:r>
    </w:p>
    <w:p w14:paraId="2A3EEB14" w14:textId="77777777" w:rsidR="00E17BB2" w:rsidRPr="007E2471" w:rsidRDefault="00E17BB2" w:rsidP="007E2471">
      <w:pPr>
        <w:spacing w:line="240" w:lineRule="auto"/>
        <w:jc w:val="center"/>
        <w:rPr>
          <w:rFonts w:ascii="Arial" w:hAnsi="Arial" w:cs="Arial"/>
          <w:b/>
          <w:bCs/>
          <w:sz w:val="48"/>
          <w:szCs w:val="48"/>
        </w:rPr>
      </w:pPr>
      <w:r w:rsidRPr="007E2471">
        <w:rPr>
          <w:rFonts w:ascii="Arial" w:hAnsi="Arial" w:cs="Arial"/>
          <w:b/>
          <w:bCs/>
          <w:sz w:val="48"/>
          <w:szCs w:val="48"/>
        </w:rPr>
        <w:t>Employability Skills</w:t>
      </w:r>
    </w:p>
    <w:p w14:paraId="4ACD3794" w14:textId="77777777" w:rsidR="00E17BB2" w:rsidRPr="007E2471" w:rsidRDefault="00E17BB2" w:rsidP="007E2471">
      <w:pPr>
        <w:spacing w:line="240" w:lineRule="auto"/>
        <w:jc w:val="center"/>
        <w:rPr>
          <w:rFonts w:ascii="Arial" w:hAnsi="Arial" w:cs="Arial"/>
          <w:b/>
          <w:bCs/>
          <w:sz w:val="48"/>
          <w:szCs w:val="48"/>
        </w:rPr>
      </w:pPr>
      <w:r w:rsidRPr="007E2471">
        <w:rPr>
          <w:rFonts w:ascii="Arial" w:hAnsi="Arial" w:cs="Arial"/>
          <w:b/>
          <w:bCs/>
          <w:sz w:val="48"/>
          <w:szCs w:val="48"/>
        </w:rPr>
        <w:t>Module: Digital Skills for Personal and Professional Growth</w:t>
      </w:r>
    </w:p>
    <w:p w14:paraId="3DDA1663" w14:textId="77777777" w:rsidR="00E17BB2" w:rsidRPr="007E2471" w:rsidRDefault="00E17BB2" w:rsidP="007E2471">
      <w:pPr>
        <w:spacing w:line="240" w:lineRule="auto"/>
        <w:jc w:val="center"/>
        <w:rPr>
          <w:rFonts w:ascii="Arial" w:hAnsi="Arial" w:cs="Arial"/>
          <w:b/>
          <w:bCs/>
          <w:sz w:val="48"/>
          <w:szCs w:val="48"/>
        </w:rPr>
      </w:pPr>
      <w:r w:rsidRPr="007E2471">
        <w:rPr>
          <w:rFonts w:ascii="Arial" w:hAnsi="Arial" w:cs="Arial"/>
          <w:b/>
          <w:bCs/>
          <w:sz w:val="48"/>
          <w:szCs w:val="48"/>
        </w:rPr>
        <w:t>Module code: BMSW4008</w:t>
      </w:r>
    </w:p>
    <w:p w14:paraId="7299A3D6" w14:textId="77777777" w:rsidR="00E17BB2" w:rsidRPr="007E2471" w:rsidRDefault="00E17BB2" w:rsidP="007E2471">
      <w:pPr>
        <w:spacing w:line="240" w:lineRule="auto"/>
        <w:jc w:val="center"/>
        <w:rPr>
          <w:rFonts w:ascii="Arial" w:hAnsi="Arial" w:cs="Arial"/>
          <w:b/>
          <w:bCs/>
          <w:sz w:val="48"/>
          <w:szCs w:val="48"/>
        </w:rPr>
      </w:pPr>
      <w:r w:rsidRPr="007E2471">
        <w:rPr>
          <w:rFonts w:ascii="Arial" w:hAnsi="Arial" w:cs="Arial"/>
          <w:b/>
          <w:bCs/>
          <w:sz w:val="48"/>
          <w:szCs w:val="48"/>
        </w:rPr>
        <w:t>Lecturer: Philippa Fitzgerald</w:t>
      </w:r>
    </w:p>
    <w:p w14:paraId="1C2BF416" w14:textId="239B5444" w:rsidR="00B1788E" w:rsidRPr="007E2471" w:rsidRDefault="00E17BB2" w:rsidP="007E2471">
      <w:pPr>
        <w:spacing w:line="240" w:lineRule="auto"/>
        <w:jc w:val="center"/>
        <w:rPr>
          <w:rFonts w:ascii="Arial" w:hAnsi="Arial" w:cs="Arial"/>
          <w:b/>
          <w:bCs/>
          <w:sz w:val="48"/>
          <w:szCs w:val="48"/>
        </w:rPr>
      </w:pPr>
      <w:r w:rsidRPr="007E2471">
        <w:rPr>
          <w:rFonts w:ascii="Arial" w:hAnsi="Arial" w:cs="Arial"/>
          <w:b/>
          <w:bCs/>
          <w:sz w:val="48"/>
          <w:szCs w:val="48"/>
        </w:rPr>
        <w:t xml:space="preserve">Student: </w:t>
      </w:r>
      <w:r w:rsidRPr="007E2471">
        <w:rPr>
          <w:rFonts w:ascii="Arial" w:hAnsi="Arial" w:cs="Arial"/>
          <w:b/>
          <w:bCs/>
          <w:sz w:val="48"/>
          <w:szCs w:val="48"/>
        </w:rPr>
        <w:t>Florina</w:t>
      </w:r>
      <w:r w:rsidRPr="007E2471">
        <w:rPr>
          <w:rFonts w:ascii="Arial" w:hAnsi="Arial" w:cs="Arial"/>
          <w:b/>
          <w:bCs/>
          <w:sz w:val="48"/>
          <w:szCs w:val="48"/>
        </w:rPr>
        <w:t xml:space="preserve"> Tutuiu (</w:t>
      </w:r>
      <w:r w:rsidR="00806512" w:rsidRPr="007E2471">
        <w:rPr>
          <w:rFonts w:ascii="Arial" w:hAnsi="Arial" w:cs="Arial"/>
          <w:b/>
          <w:bCs/>
          <w:sz w:val="48"/>
          <w:szCs w:val="48"/>
        </w:rPr>
        <w:t>2409</w:t>
      </w:r>
      <w:r w:rsidR="00C44B0D" w:rsidRPr="007E2471">
        <w:rPr>
          <w:rFonts w:ascii="Arial" w:hAnsi="Arial" w:cs="Arial"/>
          <w:b/>
          <w:bCs/>
          <w:sz w:val="48"/>
          <w:szCs w:val="48"/>
        </w:rPr>
        <w:t>707</w:t>
      </w:r>
      <w:r w:rsidRPr="007E2471">
        <w:rPr>
          <w:rFonts w:ascii="Arial" w:hAnsi="Arial" w:cs="Arial"/>
          <w:b/>
          <w:bCs/>
          <w:sz w:val="48"/>
          <w:szCs w:val="48"/>
        </w:rPr>
        <w:t>)</w:t>
      </w:r>
    </w:p>
    <w:p w14:paraId="4FF3277A" w14:textId="77777777" w:rsidR="007E2471" w:rsidRDefault="007E2471" w:rsidP="00965F63">
      <w:pPr>
        <w:spacing w:line="360" w:lineRule="auto"/>
        <w:jc w:val="both"/>
        <w:rPr>
          <w:rFonts w:ascii="Arial" w:hAnsi="Arial" w:cs="Arial"/>
          <w:b/>
          <w:bCs/>
        </w:rPr>
      </w:pPr>
    </w:p>
    <w:p w14:paraId="75E3DDEB" w14:textId="77777777" w:rsidR="007E2471" w:rsidRDefault="007E2471" w:rsidP="00965F63">
      <w:pPr>
        <w:spacing w:line="360" w:lineRule="auto"/>
        <w:jc w:val="both"/>
        <w:rPr>
          <w:rFonts w:ascii="Arial" w:hAnsi="Arial" w:cs="Arial"/>
          <w:b/>
          <w:bCs/>
        </w:rPr>
      </w:pPr>
    </w:p>
    <w:p w14:paraId="5060FF0B" w14:textId="77777777" w:rsidR="007E2471" w:rsidRDefault="007E2471" w:rsidP="00965F63">
      <w:pPr>
        <w:spacing w:line="360" w:lineRule="auto"/>
        <w:jc w:val="both"/>
        <w:rPr>
          <w:rFonts w:ascii="Arial" w:hAnsi="Arial" w:cs="Arial"/>
          <w:b/>
          <w:bCs/>
        </w:rPr>
      </w:pPr>
    </w:p>
    <w:p w14:paraId="10C75122" w14:textId="77777777" w:rsidR="007E2471" w:rsidRDefault="007E2471" w:rsidP="00965F63">
      <w:pPr>
        <w:spacing w:line="360" w:lineRule="auto"/>
        <w:jc w:val="both"/>
        <w:rPr>
          <w:rFonts w:ascii="Arial" w:hAnsi="Arial" w:cs="Arial"/>
          <w:b/>
          <w:bCs/>
        </w:rPr>
      </w:pPr>
    </w:p>
    <w:p w14:paraId="55D1DD0B" w14:textId="77777777" w:rsidR="007E2471" w:rsidRDefault="007E2471" w:rsidP="00965F63">
      <w:pPr>
        <w:spacing w:line="360" w:lineRule="auto"/>
        <w:jc w:val="both"/>
        <w:rPr>
          <w:rFonts w:ascii="Arial" w:hAnsi="Arial" w:cs="Arial"/>
          <w:b/>
          <w:bCs/>
        </w:rPr>
      </w:pPr>
    </w:p>
    <w:p w14:paraId="1E91C9B4" w14:textId="49803083" w:rsidR="00965F63" w:rsidRPr="00965F63" w:rsidRDefault="00965F63" w:rsidP="00965F63">
      <w:pPr>
        <w:spacing w:line="360" w:lineRule="auto"/>
        <w:jc w:val="both"/>
        <w:rPr>
          <w:rFonts w:ascii="Arial" w:hAnsi="Arial" w:cs="Arial"/>
          <w:b/>
          <w:bCs/>
          <w:i/>
          <w:iCs/>
          <w:sz w:val="16"/>
          <w:szCs w:val="16"/>
        </w:rPr>
      </w:pPr>
      <w:r w:rsidRPr="00965F63">
        <w:rPr>
          <w:rFonts w:ascii="Arial" w:hAnsi="Arial" w:cs="Arial"/>
          <w:b/>
          <w:bCs/>
          <w:i/>
          <w:iCs/>
          <w:sz w:val="16"/>
          <w:szCs w:val="16"/>
        </w:rPr>
        <w:t xml:space="preserve">I confirm that I have not presented any AI generated materials as my own work. </w:t>
      </w:r>
    </w:p>
    <w:p w14:paraId="59F3CB6A" w14:textId="77777777" w:rsidR="00965F63" w:rsidRPr="00965F63" w:rsidRDefault="00965F63" w:rsidP="00965F63">
      <w:pPr>
        <w:spacing w:line="360" w:lineRule="auto"/>
        <w:jc w:val="both"/>
        <w:rPr>
          <w:rFonts w:ascii="Arial" w:hAnsi="Arial" w:cs="Arial"/>
          <w:b/>
          <w:bCs/>
          <w:i/>
          <w:iCs/>
          <w:sz w:val="16"/>
          <w:szCs w:val="16"/>
        </w:rPr>
      </w:pPr>
      <w:r w:rsidRPr="00965F63">
        <w:rPr>
          <w:rFonts w:ascii="Arial" w:hAnsi="Arial" w:cs="Arial"/>
          <w:b/>
          <w:bCs/>
          <w:i/>
          <w:iCs/>
          <w:sz w:val="16"/>
          <w:szCs w:val="16"/>
        </w:rPr>
        <w:t>I confirm that I have copies of my drafts, notes, and other resources I used, which I may be asked to provide in evidence.</w:t>
      </w:r>
    </w:p>
    <w:p w14:paraId="428C4B50" w14:textId="6E6023B8" w:rsidR="00965F63" w:rsidRDefault="00965F63">
      <w:pPr>
        <w:rPr>
          <w:rFonts w:ascii="Arial" w:hAnsi="Arial" w:cs="Arial"/>
          <w:b/>
          <w:bCs/>
        </w:rPr>
      </w:pPr>
      <w:r>
        <w:rPr>
          <w:rFonts w:ascii="Arial" w:hAnsi="Arial" w:cs="Arial"/>
          <w:b/>
          <w:bCs/>
        </w:rPr>
        <w:br w:type="page"/>
      </w:r>
    </w:p>
    <w:p w14:paraId="79473A88" w14:textId="77777777" w:rsidR="00965F63" w:rsidRDefault="00965F63" w:rsidP="00C07A23">
      <w:pPr>
        <w:spacing w:line="360" w:lineRule="auto"/>
        <w:jc w:val="both"/>
        <w:rPr>
          <w:rFonts w:ascii="Arial" w:hAnsi="Arial" w:cs="Arial"/>
          <w:b/>
          <w:bCs/>
        </w:rPr>
      </w:pPr>
    </w:p>
    <w:p w14:paraId="18DE3618" w14:textId="56D79F59" w:rsidR="008D3C90" w:rsidRPr="008D3C90" w:rsidRDefault="00965F63" w:rsidP="00454E6B">
      <w:pPr>
        <w:spacing w:line="360" w:lineRule="auto"/>
        <w:jc w:val="both"/>
        <w:rPr>
          <w:rFonts w:ascii="Arial" w:hAnsi="Arial" w:cs="Arial"/>
          <w:color w:val="0B769F" w:themeColor="accent4" w:themeShade="BF"/>
          <w:sz w:val="32"/>
          <w:szCs w:val="32"/>
        </w:rPr>
      </w:pPr>
      <w:r w:rsidRPr="00674BA9">
        <w:rPr>
          <w:rFonts w:ascii="Arial" w:hAnsi="Arial" w:cs="Arial"/>
          <w:b/>
          <w:bCs/>
          <w:color w:val="0B769F" w:themeColor="accent4" w:themeShade="BF"/>
          <w:sz w:val="32"/>
          <w:szCs w:val="32"/>
        </w:rPr>
        <w:t>T</w:t>
      </w:r>
      <w:r w:rsidR="008440A3" w:rsidRPr="00674BA9">
        <w:rPr>
          <w:rFonts w:ascii="Arial" w:hAnsi="Arial" w:cs="Arial"/>
          <w:b/>
          <w:bCs/>
          <w:color w:val="0B769F" w:themeColor="accent4" w:themeShade="BF"/>
          <w:sz w:val="32"/>
          <w:szCs w:val="32"/>
        </w:rPr>
        <w:t xml:space="preserve">ask </w:t>
      </w:r>
      <w:r w:rsidR="00454E6B" w:rsidRPr="00674BA9">
        <w:rPr>
          <w:rFonts w:ascii="Arial" w:hAnsi="Arial" w:cs="Arial"/>
          <w:b/>
          <w:bCs/>
          <w:color w:val="0B769F" w:themeColor="accent4" w:themeShade="BF"/>
          <w:sz w:val="32"/>
          <w:szCs w:val="32"/>
        </w:rPr>
        <w:t xml:space="preserve">1 - </w:t>
      </w:r>
      <w:r w:rsidR="008D3C90" w:rsidRPr="008D3C90">
        <w:rPr>
          <w:rFonts w:ascii="Arial" w:hAnsi="Arial" w:cs="Arial"/>
          <w:b/>
          <w:bCs/>
          <w:color w:val="0B769F" w:themeColor="accent4" w:themeShade="BF"/>
          <w:sz w:val="32"/>
          <w:szCs w:val="32"/>
        </w:rPr>
        <w:t>Analysis Report</w:t>
      </w:r>
    </w:p>
    <w:p w14:paraId="4E4C7BA8" w14:textId="77777777" w:rsidR="008D3C90" w:rsidRDefault="008D3C90" w:rsidP="008D3C90">
      <w:pPr>
        <w:spacing w:line="360" w:lineRule="auto"/>
        <w:jc w:val="both"/>
        <w:rPr>
          <w:rFonts w:ascii="Arial" w:hAnsi="Arial" w:cs="Arial"/>
          <w:i/>
          <w:iCs/>
        </w:rPr>
      </w:pPr>
    </w:p>
    <w:p w14:paraId="1D8EDFE1" w14:textId="62360AE2" w:rsidR="00E52C43" w:rsidRPr="00AC1A14" w:rsidRDefault="00E52C43" w:rsidP="000275CE">
      <w:pPr>
        <w:spacing w:line="360" w:lineRule="auto"/>
        <w:ind w:firstLine="720"/>
        <w:jc w:val="both"/>
        <w:rPr>
          <w:rFonts w:ascii="Arial" w:hAnsi="Arial" w:cs="Arial"/>
        </w:rPr>
      </w:pPr>
      <w:r w:rsidRPr="00AC1A14">
        <w:rPr>
          <w:rFonts w:ascii="Arial" w:hAnsi="Arial" w:cs="Arial"/>
          <w:i/>
          <w:iCs/>
        </w:rPr>
        <w:t>Glow to Go Aesthetics by F.T.</w:t>
      </w:r>
      <w:r w:rsidR="00672E8D" w:rsidRPr="00AC1A14">
        <w:rPr>
          <w:rFonts w:ascii="Arial" w:hAnsi="Arial" w:cs="Arial"/>
        </w:rPr>
        <w:t xml:space="preserve"> presents an innovative concept of </w:t>
      </w:r>
      <w:r w:rsidRPr="00AC1A14">
        <w:rPr>
          <w:rFonts w:ascii="Arial" w:hAnsi="Arial" w:cs="Arial"/>
        </w:rPr>
        <w:t xml:space="preserve">a mobile aesthetic clinic offering treatments at </w:t>
      </w:r>
      <w:proofErr w:type="gramStart"/>
      <w:r w:rsidRPr="00AC1A14">
        <w:rPr>
          <w:rFonts w:ascii="Arial" w:hAnsi="Arial" w:cs="Arial"/>
        </w:rPr>
        <w:t>clients</w:t>
      </w:r>
      <w:r w:rsidR="00672E8D" w:rsidRPr="00AC1A14">
        <w:rPr>
          <w:rFonts w:ascii="Arial" w:hAnsi="Arial" w:cs="Arial"/>
        </w:rPr>
        <w:t xml:space="preserve"> </w:t>
      </w:r>
      <w:r w:rsidRPr="00AC1A14">
        <w:rPr>
          <w:rFonts w:ascii="Arial" w:hAnsi="Arial" w:cs="Arial"/>
        </w:rPr>
        <w:t xml:space="preserve"> chosen</w:t>
      </w:r>
      <w:proofErr w:type="gramEnd"/>
      <w:r w:rsidRPr="00AC1A14">
        <w:rPr>
          <w:rFonts w:ascii="Arial" w:hAnsi="Arial" w:cs="Arial"/>
        </w:rPr>
        <w:t xml:space="preserve"> locations. The business is currently in development, and </w:t>
      </w:r>
      <w:r w:rsidR="002B618A" w:rsidRPr="00AC1A14">
        <w:rPr>
          <w:rFonts w:ascii="Arial" w:hAnsi="Arial" w:cs="Arial"/>
        </w:rPr>
        <w:t xml:space="preserve">a </w:t>
      </w:r>
      <w:r w:rsidRPr="00AC1A14">
        <w:rPr>
          <w:rFonts w:ascii="Arial" w:hAnsi="Arial" w:cs="Arial"/>
        </w:rPr>
        <w:t xml:space="preserve">questionnaire was designed to uncover user preferences and inform strategic decisions. The </w:t>
      </w:r>
      <w:proofErr w:type="gramStart"/>
      <w:r w:rsidRPr="00AC1A14">
        <w:rPr>
          <w:rFonts w:ascii="Arial" w:hAnsi="Arial" w:cs="Arial"/>
        </w:rPr>
        <w:t>ultimate goal</w:t>
      </w:r>
      <w:proofErr w:type="gramEnd"/>
      <w:r w:rsidRPr="00AC1A14">
        <w:rPr>
          <w:rFonts w:ascii="Arial" w:hAnsi="Arial" w:cs="Arial"/>
        </w:rPr>
        <w:t xml:space="preserve"> is to offer high-quality, professional treatments in a safe, private, and highly convenient environment. This analysis integrates key findings, connects them to business strategy, and explains their influence on marketing materials, website design, and service development.</w:t>
      </w:r>
    </w:p>
    <w:p w14:paraId="7147B2C5" w14:textId="7ACE18A9" w:rsidR="00E52C43" w:rsidRDefault="00E52C43" w:rsidP="000275CE">
      <w:pPr>
        <w:spacing w:line="360" w:lineRule="auto"/>
        <w:ind w:firstLine="720"/>
        <w:jc w:val="both"/>
        <w:rPr>
          <w:rFonts w:ascii="Arial" w:hAnsi="Arial" w:cs="Arial"/>
        </w:rPr>
      </w:pPr>
      <w:r w:rsidRPr="00AC1A14">
        <w:rPr>
          <w:rFonts w:ascii="Arial" w:hAnsi="Arial" w:cs="Arial"/>
        </w:rPr>
        <w:t>The research showed that convenience is a top priority for potential clients</w:t>
      </w:r>
      <w:r w:rsidR="00667966" w:rsidRPr="00AC1A14">
        <w:rPr>
          <w:rFonts w:ascii="Arial" w:hAnsi="Arial" w:cs="Arial"/>
        </w:rPr>
        <w:t xml:space="preserve"> </w:t>
      </w:r>
      <w:r w:rsidR="00C75894" w:rsidRPr="00AC1A14">
        <w:rPr>
          <w:rFonts w:ascii="Arial" w:hAnsi="Arial" w:cs="Arial"/>
        </w:rPr>
        <w:t>(</w:t>
      </w:r>
      <w:r w:rsidR="00667966" w:rsidRPr="00AC1A14">
        <w:rPr>
          <w:rFonts w:ascii="Arial" w:hAnsi="Arial" w:cs="Arial"/>
        </w:rPr>
        <w:t>F</w:t>
      </w:r>
      <w:r w:rsidR="000010BB" w:rsidRPr="00AC1A14">
        <w:rPr>
          <w:rFonts w:ascii="Arial" w:hAnsi="Arial" w:cs="Arial"/>
        </w:rPr>
        <w:t>igure 1)</w:t>
      </w:r>
      <w:r w:rsidRPr="00AC1A14">
        <w:rPr>
          <w:rFonts w:ascii="Arial" w:hAnsi="Arial" w:cs="Arial"/>
        </w:rPr>
        <w:t>. Around 68% of respondents identified accessibility and flexibility as critical to their decision-making process, validating the mobile clinic concept. This was a central factor in developing a service model that allows clients to book treatments at home or work</w:t>
      </w:r>
      <w:r w:rsidR="00DC5E11" w:rsidRPr="00AC1A14">
        <w:rPr>
          <w:rFonts w:ascii="Arial" w:hAnsi="Arial" w:cs="Arial"/>
        </w:rPr>
        <w:t xml:space="preserve">, </w:t>
      </w:r>
      <w:r w:rsidRPr="00AC1A14">
        <w:rPr>
          <w:rFonts w:ascii="Arial" w:hAnsi="Arial" w:cs="Arial"/>
        </w:rPr>
        <w:t xml:space="preserve">an idea </w:t>
      </w:r>
      <w:r w:rsidR="00DD50CE" w:rsidRPr="00AC1A14">
        <w:rPr>
          <w:rFonts w:ascii="Arial" w:hAnsi="Arial" w:cs="Arial"/>
        </w:rPr>
        <w:t>established</w:t>
      </w:r>
      <w:r w:rsidRPr="00AC1A14">
        <w:rPr>
          <w:rFonts w:ascii="Arial" w:hAnsi="Arial" w:cs="Arial"/>
        </w:rPr>
        <w:t xml:space="preserve"> in the modern consumer’s desire for time</w:t>
      </w:r>
      <w:r w:rsidR="00DC5E11" w:rsidRPr="00AC1A14">
        <w:rPr>
          <w:rFonts w:ascii="Arial" w:hAnsi="Arial" w:cs="Arial"/>
        </w:rPr>
        <w:t xml:space="preserve"> </w:t>
      </w:r>
      <w:r w:rsidRPr="00AC1A14">
        <w:rPr>
          <w:rFonts w:ascii="Arial" w:hAnsi="Arial" w:cs="Arial"/>
        </w:rPr>
        <w:t>saving and discretion (Sandhu, 2020).</w:t>
      </w:r>
    </w:p>
    <w:p w14:paraId="09930647" w14:textId="77777777" w:rsidR="00D05A2B" w:rsidRPr="00AC1A14" w:rsidRDefault="00D05A2B" w:rsidP="000275CE">
      <w:pPr>
        <w:spacing w:line="360" w:lineRule="auto"/>
        <w:ind w:firstLine="720"/>
        <w:jc w:val="both"/>
        <w:rPr>
          <w:rFonts w:ascii="Arial" w:hAnsi="Arial" w:cs="Arial"/>
        </w:rPr>
      </w:pPr>
    </w:p>
    <w:p w14:paraId="572F5DC9" w14:textId="6BDEFF37" w:rsidR="00411E1D" w:rsidRPr="00AC1A14" w:rsidRDefault="000A74E4" w:rsidP="00E52C43">
      <w:pPr>
        <w:rPr>
          <w:rFonts w:ascii="Arial" w:hAnsi="Arial" w:cs="Arial"/>
        </w:rPr>
      </w:pPr>
      <w:r w:rsidRPr="00AC1A14">
        <w:rPr>
          <w:rFonts w:ascii="Arial" w:hAnsi="Arial" w:cs="Arial"/>
          <w:noProof/>
        </w:rPr>
        <w:drawing>
          <wp:inline distT="0" distB="0" distL="0" distR="0" wp14:anchorId="6B6C2803" wp14:editId="456D4A27">
            <wp:extent cx="5731510" cy="2184400"/>
            <wp:effectExtent l="0" t="0" r="2540" b="6350"/>
            <wp:docPr id="720774925"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774925" name="Picture 1" descr="A white background with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184400"/>
                    </a:xfrm>
                    <a:prstGeom prst="rect">
                      <a:avLst/>
                    </a:prstGeom>
                  </pic:spPr>
                </pic:pic>
              </a:graphicData>
            </a:graphic>
          </wp:inline>
        </w:drawing>
      </w:r>
    </w:p>
    <w:p w14:paraId="29FD4C00" w14:textId="1875EB3E" w:rsidR="0077223C" w:rsidRPr="00AC1A14" w:rsidRDefault="0077223C" w:rsidP="00D05A2B">
      <w:pPr>
        <w:ind w:left="3600"/>
        <w:rPr>
          <w:rFonts w:ascii="Arial" w:hAnsi="Arial" w:cs="Arial"/>
          <w:sz w:val="16"/>
          <w:szCs w:val="16"/>
        </w:rPr>
      </w:pPr>
      <w:r w:rsidRPr="00AC1A14">
        <w:rPr>
          <w:rFonts w:ascii="Arial" w:hAnsi="Arial" w:cs="Arial"/>
          <w:sz w:val="16"/>
          <w:szCs w:val="16"/>
        </w:rPr>
        <w:t>Figure</w:t>
      </w:r>
      <w:r w:rsidR="00F46877" w:rsidRPr="00AC1A14">
        <w:rPr>
          <w:rFonts w:ascii="Arial" w:hAnsi="Arial" w:cs="Arial"/>
          <w:sz w:val="16"/>
          <w:szCs w:val="16"/>
        </w:rPr>
        <w:t xml:space="preserve"> 1. Screenshot of </w:t>
      </w:r>
      <w:r w:rsidR="00914CC8" w:rsidRPr="00AC1A14">
        <w:rPr>
          <w:rFonts w:ascii="Arial" w:hAnsi="Arial" w:cs="Arial"/>
          <w:sz w:val="16"/>
          <w:szCs w:val="16"/>
        </w:rPr>
        <w:t>questionnaire responses</w:t>
      </w:r>
      <w:r w:rsidR="005F63CB" w:rsidRPr="00AC1A14">
        <w:rPr>
          <w:rFonts w:ascii="Arial" w:hAnsi="Arial" w:cs="Arial"/>
          <w:sz w:val="16"/>
          <w:szCs w:val="16"/>
        </w:rPr>
        <w:t>: Tutuiu, F.</w:t>
      </w:r>
      <w:r w:rsidR="007615FB" w:rsidRPr="00AC1A14">
        <w:rPr>
          <w:rFonts w:ascii="Arial" w:hAnsi="Arial" w:cs="Arial"/>
          <w:sz w:val="16"/>
          <w:szCs w:val="16"/>
        </w:rPr>
        <w:t xml:space="preserve"> (2025).</w:t>
      </w:r>
    </w:p>
    <w:p w14:paraId="2A35DF90" w14:textId="77777777" w:rsidR="000275CE" w:rsidRPr="00AC1A14" w:rsidRDefault="000275CE" w:rsidP="000275CE">
      <w:pPr>
        <w:spacing w:line="360" w:lineRule="auto"/>
        <w:ind w:firstLine="720"/>
        <w:jc w:val="both"/>
        <w:rPr>
          <w:rFonts w:ascii="Arial" w:hAnsi="Arial" w:cs="Arial"/>
        </w:rPr>
      </w:pPr>
    </w:p>
    <w:p w14:paraId="66A21518" w14:textId="623BC65E" w:rsidR="00E52C43" w:rsidRPr="00AC1A14" w:rsidRDefault="00E52C43" w:rsidP="000275CE">
      <w:pPr>
        <w:spacing w:line="360" w:lineRule="auto"/>
        <w:ind w:firstLine="720"/>
        <w:jc w:val="both"/>
        <w:rPr>
          <w:rFonts w:ascii="Arial" w:hAnsi="Arial" w:cs="Arial"/>
        </w:rPr>
      </w:pPr>
      <w:r w:rsidRPr="00AC1A14">
        <w:rPr>
          <w:rFonts w:ascii="Arial" w:hAnsi="Arial" w:cs="Arial"/>
        </w:rPr>
        <w:t>Another key insight was the importance of trust. Respondents repeatedly mentioned professionalism, licensing, hygiene, and insurance as essential</w:t>
      </w:r>
      <w:r w:rsidR="00D35B8F" w:rsidRPr="00AC1A14">
        <w:rPr>
          <w:rFonts w:ascii="Arial" w:hAnsi="Arial" w:cs="Arial"/>
        </w:rPr>
        <w:t xml:space="preserve"> </w:t>
      </w:r>
      <w:r w:rsidR="00D20468" w:rsidRPr="00AC1A14">
        <w:rPr>
          <w:rFonts w:ascii="Arial" w:hAnsi="Arial" w:cs="Arial"/>
        </w:rPr>
        <w:t>(</w:t>
      </w:r>
      <w:r w:rsidR="00DD6AC7" w:rsidRPr="00AC1A14">
        <w:rPr>
          <w:rFonts w:ascii="Arial" w:hAnsi="Arial" w:cs="Arial"/>
        </w:rPr>
        <w:t>F</w:t>
      </w:r>
      <w:r w:rsidR="00537F04" w:rsidRPr="00AC1A14">
        <w:rPr>
          <w:rFonts w:ascii="Arial" w:hAnsi="Arial" w:cs="Arial"/>
        </w:rPr>
        <w:t>igure</w:t>
      </w:r>
      <w:r w:rsidR="00DD6AC7" w:rsidRPr="00AC1A14">
        <w:rPr>
          <w:rFonts w:ascii="Arial" w:hAnsi="Arial" w:cs="Arial"/>
        </w:rPr>
        <w:t xml:space="preserve"> </w:t>
      </w:r>
      <w:r w:rsidR="00537F04" w:rsidRPr="00AC1A14">
        <w:rPr>
          <w:rFonts w:ascii="Arial" w:hAnsi="Arial" w:cs="Arial"/>
        </w:rPr>
        <w:t>2</w:t>
      </w:r>
      <w:r w:rsidR="00D35B8F" w:rsidRPr="00AC1A14">
        <w:rPr>
          <w:rFonts w:ascii="Arial" w:hAnsi="Arial" w:cs="Arial"/>
        </w:rPr>
        <w:t>)</w:t>
      </w:r>
      <w:r w:rsidRPr="00AC1A14">
        <w:rPr>
          <w:rFonts w:ascii="Arial" w:hAnsi="Arial" w:cs="Arial"/>
        </w:rPr>
        <w:t>. As a result, our branding and communications</w:t>
      </w:r>
      <w:r w:rsidR="00C14CBB" w:rsidRPr="00AC1A14">
        <w:rPr>
          <w:rFonts w:ascii="Arial" w:hAnsi="Arial" w:cs="Arial"/>
        </w:rPr>
        <w:t xml:space="preserve">, </w:t>
      </w:r>
      <w:r w:rsidRPr="00AC1A14">
        <w:rPr>
          <w:rFonts w:ascii="Arial" w:hAnsi="Arial" w:cs="Arial"/>
        </w:rPr>
        <w:t xml:space="preserve">emphasise that our team is fully </w:t>
      </w:r>
      <w:r w:rsidRPr="00AC1A14">
        <w:rPr>
          <w:rFonts w:ascii="Arial" w:hAnsi="Arial" w:cs="Arial"/>
        </w:rPr>
        <w:lastRenderedPageBreak/>
        <w:t>insured, licensed, and experienced. According to Pinto and Guarda (2020), clear communication of professional credentials plays a</w:t>
      </w:r>
      <w:r w:rsidR="00C14CBB" w:rsidRPr="00AC1A14">
        <w:rPr>
          <w:rFonts w:ascii="Arial" w:hAnsi="Arial" w:cs="Arial"/>
        </w:rPr>
        <w:t>n</w:t>
      </w:r>
      <w:r w:rsidRPr="00AC1A14">
        <w:rPr>
          <w:rFonts w:ascii="Arial" w:hAnsi="Arial" w:cs="Arial"/>
        </w:rPr>
        <w:t xml:space="preserve"> </w:t>
      </w:r>
      <w:r w:rsidR="00CB4536" w:rsidRPr="00AC1A14">
        <w:rPr>
          <w:rFonts w:ascii="Arial" w:hAnsi="Arial" w:cs="Arial"/>
        </w:rPr>
        <w:t>essential</w:t>
      </w:r>
      <w:r w:rsidRPr="00AC1A14">
        <w:rPr>
          <w:rFonts w:ascii="Arial" w:hAnsi="Arial" w:cs="Arial"/>
        </w:rPr>
        <w:t xml:space="preserve"> role in building early credibility.</w:t>
      </w:r>
    </w:p>
    <w:p w14:paraId="7141D8F6" w14:textId="11EB4E60" w:rsidR="00656D87" w:rsidRPr="00AC1A14" w:rsidRDefault="00656D87" w:rsidP="00E52C43">
      <w:pPr>
        <w:rPr>
          <w:rFonts w:ascii="Arial" w:hAnsi="Arial" w:cs="Arial"/>
        </w:rPr>
      </w:pPr>
      <w:r w:rsidRPr="00AC1A14">
        <w:rPr>
          <w:rFonts w:ascii="Arial" w:hAnsi="Arial" w:cs="Arial"/>
          <w:noProof/>
        </w:rPr>
        <w:drawing>
          <wp:inline distT="0" distB="0" distL="0" distR="0" wp14:anchorId="0B2A7AAA" wp14:editId="52D14F56">
            <wp:extent cx="5731510" cy="2369820"/>
            <wp:effectExtent l="0" t="0" r="2540" b="0"/>
            <wp:docPr id="694555768" name="Picture 2"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555768" name="Picture 2" descr="A graph with colorful bar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369820"/>
                    </a:xfrm>
                    <a:prstGeom prst="rect">
                      <a:avLst/>
                    </a:prstGeom>
                  </pic:spPr>
                </pic:pic>
              </a:graphicData>
            </a:graphic>
          </wp:inline>
        </w:drawing>
      </w:r>
    </w:p>
    <w:p w14:paraId="3E98AC96" w14:textId="7C675C72" w:rsidR="00F44329" w:rsidRPr="00AC1A14" w:rsidRDefault="00F44329" w:rsidP="00D05A2B">
      <w:pPr>
        <w:ind w:left="3600"/>
        <w:rPr>
          <w:rFonts w:ascii="Arial" w:hAnsi="Arial" w:cs="Arial"/>
          <w:sz w:val="16"/>
          <w:szCs w:val="16"/>
        </w:rPr>
      </w:pPr>
      <w:r w:rsidRPr="00AC1A14">
        <w:rPr>
          <w:rFonts w:ascii="Arial" w:hAnsi="Arial" w:cs="Arial"/>
          <w:sz w:val="16"/>
          <w:szCs w:val="16"/>
        </w:rPr>
        <w:t xml:space="preserve">Figure </w:t>
      </w:r>
      <w:r w:rsidRPr="00AC1A14">
        <w:rPr>
          <w:rFonts w:ascii="Arial" w:hAnsi="Arial" w:cs="Arial"/>
          <w:sz w:val="16"/>
          <w:szCs w:val="16"/>
        </w:rPr>
        <w:t>2</w:t>
      </w:r>
      <w:r w:rsidRPr="00AC1A14">
        <w:rPr>
          <w:rFonts w:ascii="Arial" w:hAnsi="Arial" w:cs="Arial"/>
          <w:sz w:val="16"/>
          <w:szCs w:val="16"/>
        </w:rPr>
        <w:t>. Screenshot of questionnaire responses: Tutuiu, F. (2025).</w:t>
      </w:r>
    </w:p>
    <w:p w14:paraId="22B2C0BC" w14:textId="77777777" w:rsidR="00F44329" w:rsidRPr="00AC1A14" w:rsidRDefault="00F44329" w:rsidP="00E52C43">
      <w:pPr>
        <w:rPr>
          <w:rFonts w:ascii="Arial" w:hAnsi="Arial" w:cs="Arial"/>
        </w:rPr>
      </w:pPr>
    </w:p>
    <w:p w14:paraId="7310185A" w14:textId="24E74D53" w:rsidR="00E52C43" w:rsidRDefault="00E52C43" w:rsidP="000275CE">
      <w:pPr>
        <w:spacing w:line="360" w:lineRule="auto"/>
        <w:ind w:firstLine="720"/>
        <w:jc w:val="both"/>
        <w:rPr>
          <w:rFonts w:ascii="Arial" w:hAnsi="Arial" w:cs="Arial"/>
        </w:rPr>
      </w:pPr>
      <w:r w:rsidRPr="00AC1A14">
        <w:rPr>
          <w:rFonts w:ascii="Arial" w:hAnsi="Arial" w:cs="Arial"/>
        </w:rPr>
        <w:t>The treatments clients were most interested in</w:t>
      </w:r>
      <w:r w:rsidR="00B9490B" w:rsidRPr="00AC1A14">
        <w:rPr>
          <w:rFonts w:ascii="Arial" w:hAnsi="Arial" w:cs="Arial"/>
        </w:rPr>
        <w:t xml:space="preserve">, </w:t>
      </w:r>
      <w:r w:rsidRPr="00AC1A14">
        <w:rPr>
          <w:rFonts w:ascii="Arial" w:hAnsi="Arial" w:cs="Arial"/>
        </w:rPr>
        <w:t>include anti-wrinkle injections, skin boosters, vitamin treatments, and dermal filler</w:t>
      </w:r>
      <w:r w:rsidR="00DD6AC7" w:rsidRPr="00AC1A14">
        <w:rPr>
          <w:rFonts w:ascii="Arial" w:hAnsi="Arial" w:cs="Arial"/>
        </w:rPr>
        <w:t>s (Figure</w:t>
      </w:r>
      <w:r w:rsidR="00675CA0" w:rsidRPr="00AC1A14">
        <w:rPr>
          <w:rFonts w:ascii="Arial" w:hAnsi="Arial" w:cs="Arial"/>
        </w:rPr>
        <w:t xml:space="preserve"> 3)</w:t>
      </w:r>
      <w:r w:rsidRPr="00AC1A14">
        <w:rPr>
          <w:rFonts w:ascii="Arial" w:hAnsi="Arial" w:cs="Arial"/>
        </w:rPr>
        <w:t xml:space="preserve">. </w:t>
      </w:r>
      <w:r w:rsidR="00254B2A" w:rsidRPr="00AC1A14">
        <w:rPr>
          <w:rFonts w:ascii="Arial" w:hAnsi="Arial" w:cs="Arial"/>
        </w:rPr>
        <w:t xml:space="preserve">To align with actual demand, these services were prioritized in the initial offering, following the principles of lean startup as outlined by Reedy and Parker (2017). </w:t>
      </w:r>
      <w:r w:rsidRPr="00AC1A14">
        <w:rPr>
          <w:rFonts w:ascii="Arial" w:hAnsi="Arial" w:cs="Arial"/>
        </w:rPr>
        <w:t xml:space="preserve">Rather than launching with an extensive menu, Glow to Go focuses on treatments that the target market </w:t>
      </w:r>
      <w:proofErr w:type="gramStart"/>
      <w:r w:rsidRPr="00AC1A14">
        <w:rPr>
          <w:rFonts w:ascii="Arial" w:hAnsi="Arial" w:cs="Arial"/>
        </w:rPr>
        <w:t>actually</w:t>
      </w:r>
      <w:r w:rsidR="00074BA1" w:rsidRPr="00AC1A14">
        <w:rPr>
          <w:rFonts w:ascii="Arial" w:hAnsi="Arial" w:cs="Arial"/>
        </w:rPr>
        <w:t xml:space="preserve"> wants</w:t>
      </w:r>
      <w:proofErr w:type="gramEnd"/>
      <w:r w:rsidR="00074BA1" w:rsidRPr="00AC1A14">
        <w:rPr>
          <w:rFonts w:ascii="Arial" w:hAnsi="Arial" w:cs="Arial"/>
        </w:rPr>
        <w:t>.</w:t>
      </w:r>
    </w:p>
    <w:p w14:paraId="2669676A" w14:textId="77777777" w:rsidR="00D05A2B" w:rsidRPr="00AC1A14" w:rsidRDefault="00D05A2B" w:rsidP="000275CE">
      <w:pPr>
        <w:spacing w:line="360" w:lineRule="auto"/>
        <w:ind w:firstLine="720"/>
        <w:jc w:val="both"/>
        <w:rPr>
          <w:rFonts w:ascii="Arial" w:hAnsi="Arial" w:cs="Arial"/>
        </w:rPr>
      </w:pPr>
    </w:p>
    <w:p w14:paraId="7454A99B" w14:textId="453780F1" w:rsidR="00656D87" w:rsidRPr="00AC1A14" w:rsidRDefault="00656D87" w:rsidP="00E52C43">
      <w:pPr>
        <w:rPr>
          <w:rFonts w:ascii="Arial" w:hAnsi="Arial" w:cs="Arial"/>
        </w:rPr>
      </w:pPr>
      <w:r w:rsidRPr="00AC1A14">
        <w:rPr>
          <w:rFonts w:ascii="Arial" w:hAnsi="Arial" w:cs="Arial"/>
          <w:noProof/>
        </w:rPr>
        <w:drawing>
          <wp:inline distT="0" distB="0" distL="0" distR="0" wp14:anchorId="7D5A76A3" wp14:editId="2DF7BC99">
            <wp:extent cx="5731510" cy="2081530"/>
            <wp:effectExtent l="0" t="0" r="2540" b="0"/>
            <wp:docPr id="499440858" name="Picture 3"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440858" name="Picture 3" descr="A graph with colorful bar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081530"/>
                    </a:xfrm>
                    <a:prstGeom prst="rect">
                      <a:avLst/>
                    </a:prstGeom>
                  </pic:spPr>
                </pic:pic>
              </a:graphicData>
            </a:graphic>
          </wp:inline>
        </w:drawing>
      </w:r>
    </w:p>
    <w:p w14:paraId="57E2B14D" w14:textId="1195C73F" w:rsidR="0051231A" w:rsidRPr="00AC1A14" w:rsidRDefault="0051231A" w:rsidP="00D05A2B">
      <w:pPr>
        <w:ind w:left="3600"/>
        <w:rPr>
          <w:rFonts w:ascii="Arial" w:hAnsi="Arial" w:cs="Arial"/>
          <w:sz w:val="16"/>
          <w:szCs w:val="16"/>
        </w:rPr>
      </w:pPr>
      <w:r w:rsidRPr="00AC1A14">
        <w:rPr>
          <w:rFonts w:ascii="Arial" w:hAnsi="Arial" w:cs="Arial"/>
          <w:sz w:val="16"/>
          <w:szCs w:val="16"/>
        </w:rPr>
        <w:t xml:space="preserve">Figure </w:t>
      </w:r>
      <w:r w:rsidRPr="00AC1A14">
        <w:rPr>
          <w:rFonts w:ascii="Arial" w:hAnsi="Arial" w:cs="Arial"/>
          <w:sz w:val="16"/>
          <w:szCs w:val="16"/>
        </w:rPr>
        <w:t>3</w:t>
      </w:r>
      <w:r w:rsidRPr="00AC1A14">
        <w:rPr>
          <w:rFonts w:ascii="Arial" w:hAnsi="Arial" w:cs="Arial"/>
          <w:sz w:val="16"/>
          <w:szCs w:val="16"/>
        </w:rPr>
        <w:t>. Screenshot of questionnaire responses: Tutuiu, F. (2025).</w:t>
      </w:r>
    </w:p>
    <w:p w14:paraId="6A0EE136" w14:textId="77777777" w:rsidR="0051231A" w:rsidRPr="00AC1A14" w:rsidRDefault="0051231A" w:rsidP="00E52C43">
      <w:pPr>
        <w:rPr>
          <w:rFonts w:ascii="Arial" w:hAnsi="Arial" w:cs="Arial"/>
        </w:rPr>
      </w:pPr>
    </w:p>
    <w:p w14:paraId="20D942B4" w14:textId="77777777" w:rsidR="00F13E53" w:rsidRDefault="00E52C43" w:rsidP="00AC1A14">
      <w:pPr>
        <w:spacing w:line="360" w:lineRule="auto"/>
        <w:ind w:firstLine="720"/>
        <w:jc w:val="both"/>
        <w:rPr>
          <w:rFonts w:ascii="Arial" w:hAnsi="Arial" w:cs="Arial"/>
        </w:rPr>
      </w:pPr>
      <w:r w:rsidRPr="00AC1A14">
        <w:rPr>
          <w:rFonts w:ascii="Arial" w:hAnsi="Arial" w:cs="Arial"/>
        </w:rPr>
        <w:lastRenderedPageBreak/>
        <w:t>Perhaps most promisingly, over half of respondents said they would prefer a mobile service to traditional clinic visits, citing comfort, discretion, and convenience</w:t>
      </w:r>
      <w:r w:rsidR="00675CA0" w:rsidRPr="00AC1A14">
        <w:rPr>
          <w:rFonts w:ascii="Arial" w:hAnsi="Arial" w:cs="Arial"/>
        </w:rPr>
        <w:t xml:space="preserve"> </w:t>
      </w:r>
      <w:r w:rsidR="008F756C" w:rsidRPr="00AC1A14">
        <w:rPr>
          <w:rFonts w:ascii="Arial" w:hAnsi="Arial" w:cs="Arial"/>
        </w:rPr>
        <w:t>(</w:t>
      </w:r>
      <w:r w:rsidR="00675CA0" w:rsidRPr="00AC1A14">
        <w:rPr>
          <w:rFonts w:ascii="Arial" w:hAnsi="Arial" w:cs="Arial"/>
        </w:rPr>
        <w:t>Figure 4)</w:t>
      </w:r>
      <w:r w:rsidRPr="00AC1A14">
        <w:rPr>
          <w:rFonts w:ascii="Arial" w:hAnsi="Arial" w:cs="Arial"/>
        </w:rPr>
        <w:t>. Only a small segment remained sceptical, highlighting that the business must continue to reassure clients about hygiene and safety</w:t>
      </w:r>
      <w:r w:rsidR="000D63CA" w:rsidRPr="00AC1A14">
        <w:rPr>
          <w:rFonts w:ascii="Arial" w:hAnsi="Arial" w:cs="Arial"/>
        </w:rPr>
        <w:t xml:space="preserve">, </w:t>
      </w:r>
      <w:r w:rsidRPr="00AC1A14">
        <w:rPr>
          <w:rFonts w:ascii="Arial" w:hAnsi="Arial" w:cs="Arial"/>
        </w:rPr>
        <w:t>especially as it lacks reviews and before-and-after images due to being in the pre-launch stage</w:t>
      </w:r>
    </w:p>
    <w:p w14:paraId="4B831E58" w14:textId="3FB1BE2B" w:rsidR="00E52C43" w:rsidRPr="00AC1A14" w:rsidRDefault="00E52C43" w:rsidP="00AC1A14">
      <w:pPr>
        <w:spacing w:line="360" w:lineRule="auto"/>
        <w:ind w:firstLine="720"/>
        <w:jc w:val="both"/>
        <w:rPr>
          <w:rFonts w:ascii="Arial" w:hAnsi="Arial" w:cs="Arial"/>
        </w:rPr>
      </w:pPr>
      <w:r w:rsidRPr="00AC1A14">
        <w:rPr>
          <w:rFonts w:ascii="Arial" w:hAnsi="Arial" w:cs="Arial"/>
        </w:rPr>
        <w:t>.</w:t>
      </w:r>
    </w:p>
    <w:p w14:paraId="002FF44F" w14:textId="6E5B608D" w:rsidR="00E52C43" w:rsidRPr="00AC1A14" w:rsidRDefault="000A038E" w:rsidP="00E52C43">
      <w:pPr>
        <w:rPr>
          <w:rFonts w:ascii="Arial" w:hAnsi="Arial" w:cs="Arial"/>
        </w:rPr>
      </w:pPr>
      <w:r w:rsidRPr="00AC1A14">
        <w:rPr>
          <w:rFonts w:ascii="Arial" w:hAnsi="Arial" w:cs="Arial"/>
          <w:noProof/>
        </w:rPr>
        <w:drawing>
          <wp:inline distT="0" distB="0" distL="0" distR="0" wp14:anchorId="5005713F" wp14:editId="231D9EA7">
            <wp:extent cx="5731510" cy="2243455"/>
            <wp:effectExtent l="0" t="0" r="2540" b="4445"/>
            <wp:docPr id="400450379"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450379" name="Picture 4"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243455"/>
                    </a:xfrm>
                    <a:prstGeom prst="rect">
                      <a:avLst/>
                    </a:prstGeom>
                  </pic:spPr>
                </pic:pic>
              </a:graphicData>
            </a:graphic>
          </wp:inline>
        </w:drawing>
      </w:r>
    </w:p>
    <w:p w14:paraId="5DA33F83" w14:textId="29696ABD" w:rsidR="0051231A" w:rsidRPr="00F13E53" w:rsidRDefault="0051231A" w:rsidP="006C3B91">
      <w:pPr>
        <w:ind w:left="3600"/>
        <w:rPr>
          <w:rFonts w:ascii="Arial" w:hAnsi="Arial" w:cs="Arial"/>
          <w:sz w:val="16"/>
          <w:szCs w:val="16"/>
        </w:rPr>
      </w:pPr>
      <w:r w:rsidRPr="00F13E53">
        <w:rPr>
          <w:rFonts w:ascii="Arial" w:hAnsi="Arial" w:cs="Arial"/>
          <w:sz w:val="16"/>
          <w:szCs w:val="16"/>
        </w:rPr>
        <w:t xml:space="preserve">Figure </w:t>
      </w:r>
      <w:r w:rsidRPr="00F13E53">
        <w:rPr>
          <w:rFonts w:ascii="Arial" w:hAnsi="Arial" w:cs="Arial"/>
          <w:sz w:val="16"/>
          <w:szCs w:val="16"/>
        </w:rPr>
        <w:t>4</w:t>
      </w:r>
      <w:r w:rsidRPr="00F13E53">
        <w:rPr>
          <w:rFonts w:ascii="Arial" w:hAnsi="Arial" w:cs="Arial"/>
          <w:sz w:val="16"/>
          <w:szCs w:val="16"/>
        </w:rPr>
        <w:t>. Screenshot of questionnaire responses: Tutuiu, F. (2025).</w:t>
      </w:r>
    </w:p>
    <w:p w14:paraId="16051FD7" w14:textId="77777777" w:rsidR="0051231A" w:rsidRPr="00AC1A14" w:rsidRDefault="0051231A" w:rsidP="00E52C43">
      <w:pPr>
        <w:rPr>
          <w:rFonts w:ascii="Arial" w:hAnsi="Arial" w:cs="Arial"/>
        </w:rPr>
      </w:pPr>
    </w:p>
    <w:p w14:paraId="4ABC221C" w14:textId="040E0062" w:rsidR="00E52C43" w:rsidRPr="00AC1A14" w:rsidRDefault="00E52C43" w:rsidP="006C3B91">
      <w:pPr>
        <w:spacing w:line="360" w:lineRule="auto"/>
        <w:ind w:firstLine="720"/>
        <w:jc w:val="both"/>
        <w:rPr>
          <w:rFonts w:ascii="Arial" w:hAnsi="Arial" w:cs="Arial"/>
        </w:rPr>
      </w:pPr>
      <w:r w:rsidRPr="00AC1A14">
        <w:rPr>
          <w:rFonts w:ascii="Arial" w:hAnsi="Arial" w:cs="Arial"/>
        </w:rPr>
        <w:t>These findings influenced the business concept in multiple ways. From service offering to pricing and branding, Glow to Go Aesthetics was designed with its future clients in mind. The mobile</w:t>
      </w:r>
      <w:r w:rsidR="00EE2730" w:rsidRPr="00AC1A14">
        <w:rPr>
          <w:rFonts w:ascii="Arial" w:hAnsi="Arial" w:cs="Arial"/>
        </w:rPr>
        <w:t xml:space="preserve"> clinic van</w:t>
      </w:r>
      <w:r w:rsidRPr="00AC1A14">
        <w:rPr>
          <w:rFonts w:ascii="Arial" w:hAnsi="Arial" w:cs="Arial"/>
        </w:rPr>
        <w:t xml:space="preserve"> has been customised with luxury finishes</w:t>
      </w:r>
      <w:r w:rsidR="00920669" w:rsidRPr="00AC1A14">
        <w:rPr>
          <w:rFonts w:ascii="Arial" w:hAnsi="Arial" w:cs="Arial"/>
        </w:rPr>
        <w:t xml:space="preserve"> such as </w:t>
      </w:r>
      <w:r w:rsidRPr="00AC1A14">
        <w:rPr>
          <w:rFonts w:ascii="Arial" w:hAnsi="Arial" w:cs="Arial"/>
        </w:rPr>
        <w:t>white leather seating, soft lighting, gold accent</w:t>
      </w:r>
      <w:r w:rsidR="00920669" w:rsidRPr="00AC1A14">
        <w:rPr>
          <w:rFonts w:ascii="Arial" w:hAnsi="Arial" w:cs="Arial"/>
        </w:rPr>
        <w:t xml:space="preserve">, </w:t>
      </w:r>
      <w:r w:rsidRPr="00AC1A14">
        <w:rPr>
          <w:rFonts w:ascii="Arial" w:hAnsi="Arial" w:cs="Arial"/>
        </w:rPr>
        <w:t>creating a calm and elegant atmosphere. This directly reflects the expectations expressed in the questionnaire for cleanliness, professionalism, and quality.</w:t>
      </w:r>
    </w:p>
    <w:p w14:paraId="2C7F95E8" w14:textId="64936FA1" w:rsidR="00554391" w:rsidRPr="00AC1A14" w:rsidRDefault="00E52C43" w:rsidP="006C3B91">
      <w:pPr>
        <w:spacing w:line="360" w:lineRule="auto"/>
        <w:ind w:firstLine="720"/>
        <w:jc w:val="both"/>
        <w:rPr>
          <w:rFonts w:ascii="Arial" w:hAnsi="Arial" w:cs="Arial"/>
        </w:rPr>
      </w:pPr>
      <w:r w:rsidRPr="00AC1A14">
        <w:rPr>
          <w:rFonts w:ascii="Arial" w:hAnsi="Arial" w:cs="Arial"/>
        </w:rPr>
        <w:t xml:space="preserve">The business flyer, website, and business card all echo this tone. A minimalist black-and-gold theme signals elegance, while messaging assures potential clients of licensing and hygiene practices. </w:t>
      </w:r>
      <w:r w:rsidR="00AF4043" w:rsidRPr="00AC1A14">
        <w:rPr>
          <w:rFonts w:ascii="Arial" w:hAnsi="Arial" w:cs="Arial"/>
        </w:rPr>
        <w:t>The flyer invites people to complete the questionnaire to help refine the offer. Byrd (2021) states that early marketing aligned with audience needs and values increases long-term loyalty and customer retention.</w:t>
      </w:r>
      <w:r w:rsidR="00E17612" w:rsidRPr="00AC1A14">
        <w:rPr>
          <w:rFonts w:ascii="Arial" w:hAnsi="Arial" w:cs="Arial"/>
        </w:rPr>
        <w:t xml:space="preserve"> </w:t>
      </w:r>
      <w:r w:rsidRPr="00AC1A14">
        <w:rPr>
          <w:rFonts w:ascii="Arial" w:hAnsi="Arial" w:cs="Arial"/>
        </w:rPr>
        <w:t>The flyer and business card were designed with customer preferences in mind</w:t>
      </w:r>
      <w:r w:rsidR="00E72E81" w:rsidRPr="00AC1A14">
        <w:rPr>
          <w:rFonts w:ascii="Arial" w:hAnsi="Arial" w:cs="Arial"/>
        </w:rPr>
        <w:t xml:space="preserve">, </w:t>
      </w:r>
      <w:r w:rsidRPr="00AC1A14">
        <w:rPr>
          <w:rFonts w:ascii="Arial" w:hAnsi="Arial" w:cs="Arial"/>
        </w:rPr>
        <w:t>simple, professional layouts, clear service descriptions, and strong emphasis on safety and convenience</w:t>
      </w:r>
      <w:r w:rsidR="00851F41" w:rsidRPr="00AC1A14">
        <w:rPr>
          <w:rFonts w:ascii="Arial" w:hAnsi="Arial" w:cs="Arial"/>
        </w:rPr>
        <w:t xml:space="preserve"> (Figure</w:t>
      </w:r>
      <w:r w:rsidR="00470AD0" w:rsidRPr="00AC1A14">
        <w:rPr>
          <w:rFonts w:ascii="Arial" w:hAnsi="Arial" w:cs="Arial"/>
        </w:rPr>
        <w:t xml:space="preserve"> </w:t>
      </w:r>
      <w:r w:rsidR="00851F41" w:rsidRPr="00AC1A14">
        <w:rPr>
          <w:rFonts w:ascii="Arial" w:hAnsi="Arial" w:cs="Arial"/>
        </w:rPr>
        <w:t>5, 6, 7)</w:t>
      </w:r>
      <w:r w:rsidRPr="00AC1A14">
        <w:rPr>
          <w:rFonts w:ascii="Arial" w:hAnsi="Arial" w:cs="Arial"/>
        </w:rPr>
        <w:t>. The colour</w:t>
      </w:r>
      <w:r w:rsidR="008456FE" w:rsidRPr="00AC1A14">
        <w:rPr>
          <w:rFonts w:ascii="Arial" w:hAnsi="Arial" w:cs="Arial"/>
        </w:rPr>
        <w:t xml:space="preserve"> </w:t>
      </w:r>
      <w:r w:rsidRPr="00AC1A14">
        <w:rPr>
          <w:rFonts w:ascii="Arial" w:hAnsi="Arial" w:cs="Arial"/>
        </w:rPr>
        <w:t>palette, language, and layout were chosen specifically to attract the identified target segments</w:t>
      </w:r>
    </w:p>
    <w:p w14:paraId="4F8CD163" w14:textId="14F93F4E" w:rsidR="001A6B4A" w:rsidRPr="00AC1A14" w:rsidRDefault="00F254C3" w:rsidP="00AF4043">
      <w:pPr>
        <w:rPr>
          <w:rFonts w:ascii="Arial" w:hAnsi="Arial" w:cs="Arial"/>
        </w:rPr>
      </w:pPr>
      <w:r w:rsidRPr="00AC1A14">
        <w:rPr>
          <w:rFonts w:ascii="Arial" w:hAnsi="Arial" w:cs="Arial"/>
          <w:noProof/>
        </w:rPr>
        <w:lastRenderedPageBreak/>
        <w:drawing>
          <wp:inline distT="0" distB="0" distL="0" distR="0" wp14:anchorId="38FE51AD" wp14:editId="2186FF0D">
            <wp:extent cx="4895850" cy="2721845"/>
            <wp:effectExtent l="0" t="0" r="0" b="2540"/>
            <wp:docPr id="1252776485" name="Picture 5" descr="A business card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776485" name="Picture 5" descr="A business card with text and image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00858" cy="2724629"/>
                    </a:xfrm>
                    <a:prstGeom prst="rect">
                      <a:avLst/>
                    </a:prstGeom>
                  </pic:spPr>
                </pic:pic>
              </a:graphicData>
            </a:graphic>
          </wp:inline>
        </w:drawing>
      </w:r>
    </w:p>
    <w:p w14:paraId="0370980F" w14:textId="4EDB209C" w:rsidR="00FC78F3" w:rsidRPr="006C3B91" w:rsidRDefault="00FC78F3" w:rsidP="006C3B91">
      <w:pPr>
        <w:ind w:left="2880" w:firstLine="720"/>
        <w:rPr>
          <w:rFonts w:ascii="Arial" w:hAnsi="Arial" w:cs="Arial"/>
          <w:sz w:val="16"/>
          <w:szCs w:val="16"/>
        </w:rPr>
      </w:pPr>
      <w:r w:rsidRPr="006C3B91">
        <w:rPr>
          <w:rFonts w:ascii="Arial" w:hAnsi="Arial" w:cs="Arial"/>
          <w:sz w:val="16"/>
          <w:szCs w:val="16"/>
        </w:rPr>
        <w:t xml:space="preserve">Figure </w:t>
      </w:r>
      <w:r w:rsidR="0028110E" w:rsidRPr="006C3B91">
        <w:rPr>
          <w:rFonts w:ascii="Arial" w:hAnsi="Arial" w:cs="Arial"/>
          <w:sz w:val="16"/>
          <w:szCs w:val="16"/>
        </w:rPr>
        <w:t>5</w:t>
      </w:r>
      <w:r w:rsidRPr="006C3B91">
        <w:rPr>
          <w:rFonts w:ascii="Arial" w:hAnsi="Arial" w:cs="Arial"/>
          <w:sz w:val="16"/>
          <w:szCs w:val="16"/>
        </w:rPr>
        <w:t xml:space="preserve">. </w:t>
      </w:r>
      <w:r w:rsidR="0028110E" w:rsidRPr="006C3B91">
        <w:rPr>
          <w:rFonts w:ascii="Arial" w:hAnsi="Arial" w:cs="Arial"/>
          <w:sz w:val="16"/>
          <w:szCs w:val="16"/>
        </w:rPr>
        <w:t>Glow to Go</w:t>
      </w:r>
      <w:r w:rsidR="0029583B" w:rsidRPr="006C3B91">
        <w:rPr>
          <w:rFonts w:ascii="Arial" w:hAnsi="Arial" w:cs="Arial"/>
          <w:sz w:val="16"/>
          <w:szCs w:val="16"/>
        </w:rPr>
        <w:t xml:space="preserve"> </w:t>
      </w:r>
      <w:r w:rsidR="004574EF" w:rsidRPr="006C3B91">
        <w:rPr>
          <w:rFonts w:ascii="Arial" w:hAnsi="Arial" w:cs="Arial"/>
          <w:sz w:val="16"/>
          <w:szCs w:val="16"/>
        </w:rPr>
        <w:t>business card</w:t>
      </w:r>
      <w:r w:rsidRPr="006C3B91">
        <w:rPr>
          <w:rFonts w:ascii="Arial" w:hAnsi="Arial" w:cs="Arial"/>
          <w:sz w:val="16"/>
          <w:szCs w:val="16"/>
        </w:rPr>
        <w:t>: Tutuiu, F. (2025).</w:t>
      </w:r>
    </w:p>
    <w:p w14:paraId="7885D4C2" w14:textId="62BC55C9" w:rsidR="000559D3" w:rsidRPr="00AC1A14" w:rsidRDefault="000559D3" w:rsidP="00AF4043">
      <w:pPr>
        <w:rPr>
          <w:rFonts w:ascii="Arial" w:hAnsi="Arial" w:cs="Arial"/>
        </w:rPr>
      </w:pPr>
      <w:r w:rsidRPr="00AC1A14">
        <w:rPr>
          <w:rFonts w:ascii="Arial" w:hAnsi="Arial" w:cs="Arial"/>
          <w:noProof/>
        </w:rPr>
        <w:drawing>
          <wp:inline distT="0" distB="0" distL="0" distR="0" wp14:anchorId="14077A5B" wp14:editId="381025C2">
            <wp:extent cx="2992755" cy="3355672"/>
            <wp:effectExtent l="0" t="0" r="0" b="0"/>
            <wp:docPr id="1061507828" name="Picture 7" descr="A black and white advertisement with images of a van and a l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507828" name="Picture 7" descr="A black and white advertisement with images of a van and a ligh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003446" cy="3367659"/>
                    </a:xfrm>
                    <a:prstGeom prst="rect">
                      <a:avLst/>
                    </a:prstGeom>
                  </pic:spPr>
                </pic:pic>
              </a:graphicData>
            </a:graphic>
          </wp:inline>
        </w:drawing>
      </w:r>
      <w:r w:rsidR="00967B3A" w:rsidRPr="00AC1A14">
        <w:rPr>
          <w:rFonts w:ascii="Arial" w:hAnsi="Arial" w:cs="Arial"/>
          <w:noProof/>
        </w:rPr>
        <w:drawing>
          <wp:inline distT="0" distB="0" distL="0" distR="0" wp14:anchorId="6E33E219" wp14:editId="5525F365">
            <wp:extent cx="2690927" cy="3362325"/>
            <wp:effectExtent l="0" t="0" r="0" b="0"/>
            <wp:docPr id="274483308" name="Picture 8" descr="A black and white poster with a q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483308" name="Picture 8" descr="A black and white poster with a qr cod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2723507" cy="3403034"/>
                    </a:xfrm>
                    <a:prstGeom prst="rect">
                      <a:avLst/>
                    </a:prstGeom>
                  </pic:spPr>
                </pic:pic>
              </a:graphicData>
            </a:graphic>
          </wp:inline>
        </w:drawing>
      </w:r>
    </w:p>
    <w:p w14:paraId="0D6F8DCF" w14:textId="2855E23C" w:rsidR="00E1777E" w:rsidRPr="006C3B91" w:rsidRDefault="00E1777E" w:rsidP="006C3B91">
      <w:pPr>
        <w:ind w:left="4320"/>
        <w:rPr>
          <w:rFonts w:ascii="Arial" w:hAnsi="Arial" w:cs="Arial"/>
          <w:sz w:val="16"/>
          <w:szCs w:val="16"/>
        </w:rPr>
      </w:pPr>
      <w:r w:rsidRPr="006C3B91">
        <w:rPr>
          <w:rFonts w:ascii="Arial" w:hAnsi="Arial" w:cs="Arial"/>
          <w:sz w:val="16"/>
          <w:szCs w:val="16"/>
        </w:rPr>
        <w:t xml:space="preserve">Figure </w:t>
      </w:r>
      <w:r w:rsidRPr="006C3B91">
        <w:rPr>
          <w:rFonts w:ascii="Arial" w:hAnsi="Arial" w:cs="Arial"/>
          <w:sz w:val="16"/>
          <w:szCs w:val="16"/>
        </w:rPr>
        <w:t>6, 7</w:t>
      </w:r>
      <w:r w:rsidRPr="006C3B91">
        <w:rPr>
          <w:rFonts w:ascii="Arial" w:hAnsi="Arial" w:cs="Arial"/>
          <w:sz w:val="16"/>
          <w:szCs w:val="16"/>
        </w:rPr>
        <w:t>. Glow to Go promotional flyer: Tutuiu, F. (2025).</w:t>
      </w:r>
    </w:p>
    <w:p w14:paraId="41E51BFD" w14:textId="77777777" w:rsidR="00E1777E" w:rsidRPr="00AC1A14" w:rsidRDefault="00E1777E" w:rsidP="00AF4043">
      <w:pPr>
        <w:rPr>
          <w:rFonts w:ascii="Arial" w:hAnsi="Arial" w:cs="Arial"/>
        </w:rPr>
      </w:pPr>
    </w:p>
    <w:p w14:paraId="2E757AD8" w14:textId="5A2B651C" w:rsidR="00E52C43" w:rsidRPr="00AC1A14" w:rsidRDefault="00E52C43" w:rsidP="004E0598">
      <w:pPr>
        <w:spacing w:line="360" w:lineRule="auto"/>
        <w:ind w:firstLine="720"/>
        <w:jc w:val="both"/>
        <w:rPr>
          <w:rFonts w:ascii="Arial" w:hAnsi="Arial" w:cs="Arial"/>
          <w:noProof/>
        </w:rPr>
      </w:pPr>
      <w:r w:rsidRPr="00AC1A14">
        <w:rPr>
          <w:rFonts w:ascii="Arial" w:hAnsi="Arial" w:cs="Arial"/>
        </w:rPr>
        <w:t>Similarly, the website’s layout, navigation, and written tone were shaped by what respondents said they wanted: ease of access, professionalism, and clear,</w:t>
      </w:r>
      <w:r w:rsidR="004E0598">
        <w:rPr>
          <w:rFonts w:ascii="Arial" w:hAnsi="Arial" w:cs="Arial"/>
        </w:rPr>
        <w:t xml:space="preserve"> </w:t>
      </w:r>
      <w:r w:rsidRPr="00AC1A14">
        <w:rPr>
          <w:rFonts w:ascii="Arial" w:hAnsi="Arial" w:cs="Arial"/>
        </w:rPr>
        <w:t>reassuring messaging</w:t>
      </w:r>
      <w:r w:rsidR="00470AD0" w:rsidRPr="00AC1A14">
        <w:rPr>
          <w:rFonts w:ascii="Arial" w:hAnsi="Arial" w:cs="Arial"/>
        </w:rPr>
        <w:t xml:space="preserve"> (Figure 8, 9)</w:t>
      </w:r>
      <w:r w:rsidRPr="00AC1A14">
        <w:rPr>
          <w:rFonts w:ascii="Arial" w:hAnsi="Arial" w:cs="Arial"/>
        </w:rPr>
        <w:t>.</w:t>
      </w:r>
    </w:p>
    <w:p w14:paraId="0C8E13AB" w14:textId="41632FBC" w:rsidR="0044694A" w:rsidRPr="00AC1A14" w:rsidRDefault="0044694A" w:rsidP="00E52C43">
      <w:pPr>
        <w:rPr>
          <w:rFonts w:ascii="Arial" w:hAnsi="Arial" w:cs="Arial"/>
        </w:rPr>
      </w:pPr>
      <w:r w:rsidRPr="00AC1A14">
        <w:rPr>
          <w:rFonts w:ascii="Arial" w:hAnsi="Arial" w:cs="Arial"/>
          <w:noProof/>
        </w:rPr>
        <w:lastRenderedPageBreak/>
        <w:drawing>
          <wp:inline distT="0" distB="0" distL="0" distR="0" wp14:anchorId="152B1B76" wp14:editId="09AA98E9">
            <wp:extent cx="5731510" cy="3150870"/>
            <wp:effectExtent l="0" t="0" r="2540" b="0"/>
            <wp:docPr id="1912969306"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69306" name="Picture 8"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50870"/>
                    </a:xfrm>
                    <a:prstGeom prst="rect">
                      <a:avLst/>
                    </a:prstGeom>
                  </pic:spPr>
                </pic:pic>
              </a:graphicData>
            </a:graphic>
          </wp:inline>
        </w:drawing>
      </w:r>
    </w:p>
    <w:p w14:paraId="44ADAB27" w14:textId="67F974C7" w:rsidR="00C06CDC" w:rsidRPr="004E0598" w:rsidRDefault="00C06CDC" w:rsidP="004E0598">
      <w:pPr>
        <w:ind w:left="1440" w:firstLine="720"/>
        <w:rPr>
          <w:rFonts w:ascii="Arial" w:hAnsi="Arial" w:cs="Arial"/>
          <w:sz w:val="16"/>
          <w:szCs w:val="16"/>
        </w:rPr>
      </w:pPr>
      <w:r w:rsidRPr="004E0598">
        <w:rPr>
          <w:rFonts w:ascii="Arial" w:hAnsi="Arial" w:cs="Arial"/>
          <w:sz w:val="16"/>
          <w:szCs w:val="16"/>
        </w:rPr>
        <w:t xml:space="preserve">Figure </w:t>
      </w:r>
      <w:r w:rsidRPr="004E0598">
        <w:rPr>
          <w:rFonts w:ascii="Arial" w:hAnsi="Arial" w:cs="Arial"/>
          <w:sz w:val="16"/>
          <w:szCs w:val="16"/>
        </w:rPr>
        <w:t>8</w:t>
      </w:r>
      <w:r w:rsidRPr="004E0598">
        <w:rPr>
          <w:rFonts w:ascii="Arial" w:hAnsi="Arial" w:cs="Arial"/>
          <w:sz w:val="16"/>
          <w:szCs w:val="16"/>
        </w:rPr>
        <w:t xml:space="preserve">. Glow to Go </w:t>
      </w:r>
      <w:r w:rsidR="00BC08A7" w:rsidRPr="004E0598">
        <w:rPr>
          <w:rFonts w:ascii="Arial" w:hAnsi="Arial" w:cs="Arial"/>
          <w:sz w:val="16"/>
          <w:szCs w:val="16"/>
        </w:rPr>
        <w:t xml:space="preserve">(2025) </w:t>
      </w:r>
      <w:r w:rsidR="00557B06" w:rsidRPr="004E0598">
        <w:rPr>
          <w:rFonts w:ascii="Arial" w:hAnsi="Arial" w:cs="Arial"/>
          <w:sz w:val="16"/>
          <w:szCs w:val="16"/>
        </w:rPr>
        <w:t>Home page.</w:t>
      </w:r>
      <w:r w:rsidR="00A8033D" w:rsidRPr="004E0598">
        <w:rPr>
          <w:rFonts w:ascii="Arial" w:hAnsi="Arial" w:cs="Arial"/>
          <w:sz w:val="16"/>
          <w:szCs w:val="16"/>
        </w:rPr>
        <w:t xml:space="preserve"> Availabl</w:t>
      </w:r>
      <w:r w:rsidR="00162C93" w:rsidRPr="004E0598">
        <w:rPr>
          <w:rFonts w:ascii="Arial" w:hAnsi="Arial" w:cs="Arial"/>
          <w:sz w:val="16"/>
          <w:szCs w:val="16"/>
        </w:rPr>
        <w:t xml:space="preserve">e </w:t>
      </w:r>
      <w:r w:rsidR="00A8033D" w:rsidRPr="004E0598">
        <w:rPr>
          <w:rFonts w:ascii="Arial" w:hAnsi="Arial" w:cs="Arial"/>
          <w:sz w:val="16"/>
          <w:szCs w:val="16"/>
        </w:rPr>
        <w:t>at</w:t>
      </w:r>
      <w:r w:rsidR="00162C93" w:rsidRPr="004E0598">
        <w:rPr>
          <w:rFonts w:ascii="Arial" w:hAnsi="Arial" w:cs="Arial"/>
          <w:sz w:val="16"/>
          <w:szCs w:val="16"/>
        </w:rPr>
        <w:t>:</w:t>
      </w:r>
      <w:r w:rsidR="00BC08A7" w:rsidRPr="004E0598">
        <w:rPr>
          <w:rFonts w:ascii="Arial" w:hAnsi="Arial" w:cs="Arial"/>
          <w:sz w:val="16"/>
          <w:szCs w:val="16"/>
        </w:rPr>
        <w:t xml:space="preserve"> </w:t>
      </w:r>
      <w:r w:rsidR="00721A54" w:rsidRPr="004E0598">
        <w:rPr>
          <w:rFonts w:ascii="Arial" w:hAnsi="Arial" w:cs="Arial"/>
          <w:sz w:val="16"/>
          <w:szCs w:val="16"/>
        </w:rPr>
        <w:t>https://glowtogo.my.canva.site/#home</w:t>
      </w:r>
    </w:p>
    <w:p w14:paraId="65B7510F" w14:textId="77777777" w:rsidR="00C06CDC" w:rsidRPr="00AC1A14" w:rsidRDefault="00C06CDC" w:rsidP="00E52C43">
      <w:pPr>
        <w:rPr>
          <w:rFonts w:ascii="Arial" w:hAnsi="Arial" w:cs="Arial"/>
        </w:rPr>
      </w:pPr>
    </w:p>
    <w:p w14:paraId="0888DDA3" w14:textId="198179D1" w:rsidR="00E738EE" w:rsidRPr="00AC1A14" w:rsidRDefault="00E738EE" w:rsidP="00E52C43">
      <w:pPr>
        <w:rPr>
          <w:rFonts w:ascii="Arial" w:hAnsi="Arial" w:cs="Arial"/>
        </w:rPr>
      </w:pPr>
      <w:r w:rsidRPr="00AC1A14">
        <w:rPr>
          <w:rFonts w:ascii="Arial" w:hAnsi="Arial" w:cs="Arial"/>
          <w:noProof/>
        </w:rPr>
        <w:drawing>
          <wp:inline distT="0" distB="0" distL="0" distR="0" wp14:anchorId="172AF83B" wp14:editId="064AAEE9">
            <wp:extent cx="5731510" cy="3253105"/>
            <wp:effectExtent l="0" t="0" r="2540" b="4445"/>
            <wp:docPr id="1498577167"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577167" name="Picture 9"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53105"/>
                    </a:xfrm>
                    <a:prstGeom prst="rect">
                      <a:avLst/>
                    </a:prstGeom>
                  </pic:spPr>
                </pic:pic>
              </a:graphicData>
            </a:graphic>
          </wp:inline>
        </w:drawing>
      </w:r>
    </w:p>
    <w:p w14:paraId="12A6AFB9" w14:textId="5319F917" w:rsidR="00721A54" w:rsidRPr="004E0598" w:rsidRDefault="00721A54" w:rsidP="004E0598">
      <w:pPr>
        <w:ind w:left="1440" w:firstLine="720"/>
        <w:rPr>
          <w:rFonts w:ascii="Arial" w:hAnsi="Arial" w:cs="Arial"/>
          <w:sz w:val="16"/>
          <w:szCs w:val="16"/>
        </w:rPr>
      </w:pPr>
      <w:r w:rsidRPr="004E0598">
        <w:rPr>
          <w:rFonts w:ascii="Arial" w:hAnsi="Arial" w:cs="Arial"/>
          <w:sz w:val="16"/>
          <w:szCs w:val="16"/>
        </w:rPr>
        <w:t xml:space="preserve">Figure </w:t>
      </w:r>
      <w:r w:rsidR="00A44CDA" w:rsidRPr="004E0598">
        <w:rPr>
          <w:rFonts w:ascii="Arial" w:hAnsi="Arial" w:cs="Arial"/>
          <w:sz w:val="16"/>
          <w:szCs w:val="16"/>
        </w:rPr>
        <w:t>9</w:t>
      </w:r>
      <w:r w:rsidRPr="004E0598">
        <w:rPr>
          <w:rFonts w:ascii="Arial" w:hAnsi="Arial" w:cs="Arial"/>
          <w:sz w:val="16"/>
          <w:szCs w:val="16"/>
        </w:rPr>
        <w:t xml:space="preserve">. Glow to Go </w:t>
      </w:r>
      <w:r w:rsidR="00BC08A7" w:rsidRPr="004E0598">
        <w:rPr>
          <w:rFonts w:ascii="Arial" w:hAnsi="Arial" w:cs="Arial"/>
          <w:sz w:val="16"/>
          <w:szCs w:val="16"/>
        </w:rPr>
        <w:t>(2025) About Us</w:t>
      </w:r>
      <w:r w:rsidRPr="004E0598">
        <w:rPr>
          <w:rFonts w:ascii="Arial" w:hAnsi="Arial" w:cs="Arial"/>
          <w:sz w:val="16"/>
          <w:szCs w:val="16"/>
        </w:rPr>
        <w:t xml:space="preserve">. Available at: </w:t>
      </w:r>
      <w:r w:rsidR="002B3895" w:rsidRPr="004E0598">
        <w:rPr>
          <w:rFonts w:ascii="Arial" w:hAnsi="Arial" w:cs="Arial"/>
          <w:sz w:val="16"/>
          <w:szCs w:val="16"/>
        </w:rPr>
        <w:t>https://glowtogo.my.canva.site/#about-us</w:t>
      </w:r>
    </w:p>
    <w:p w14:paraId="6BF67D31" w14:textId="2C853B17" w:rsidR="00E52C43" w:rsidRPr="00AC1A14" w:rsidRDefault="00E52C43" w:rsidP="00E52C43">
      <w:pPr>
        <w:rPr>
          <w:rFonts w:ascii="Arial" w:hAnsi="Arial" w:cs="Arial"/>
        </w:rPr>
      </w:pPr>
    </w:p>
    <w:p w14:paraId="0000B389" w14:textId="41D7B151" w:rsidR="00E52C43" w:rsidRDefault="00E52C43" w:rsidP="001B6B9D">
      <w:pPr>
        <w:spacing w:line="360" w:lineRule="auto"/>
        <w:ind w:firstLine="720"/>
        <w:jc w:val="both"/>
        <w:rPr>
          <w:rFonts w:ascii="Arial" w:hAnsi="Arial" w:cs="Arial"/>
        </w:rPr>
      </w:pPr>
      <w:r w:rsidRPr="00AC1A14">
        <w:rPr>
          <w:rFonts w:ascii="Arial" w:hAnsi="Arial" w:cs="Arial"/>
        </w:rPr>
        <w:t xml:space="preserve">The questionnaire responses helped define three audience segments. First, new clients who are curious but cautious. For them, trust, insurance, and simplicity matter most. Second, working professionals looking for discreet and flexible appointments. Finally, regular aesthetics clients who already use such treatments and </w:t>
      </w:r>
      <w:r w:rsidRPr="00AC1A14">
        <w:rPr>
          <w:rFonts w:ascii="Arial" w:hAnsi="Arial" w:cs="Arial"/>
        </w:rPr>
        <w:lastRenderedPageBreak/>
        <w:t>are motivated by convenience.</w:t>
      </w:r>
      <w:r w:rsidR="006F3C2F" w:rsidRPr="00AC1A14">
        <w:rPr>
          <w:rFonts w:ascii="Arial" w:hAnsi="Arial" w:cs="Arial"/>
        </w:rPr>
        <w:t xml:space="preserve"> According to </w:t>
      </w:r>
      <w:proofErr w:type="spellStart"/>
      <w:proofErr w:type="gramStart"/>
      <w:r w:rsidR="006F3C2F" w:rsidRPr="00AC1A14">
        <w:rPr>
          <w:rFonts w:ascii="Arial" w:hAnsi="Arial" w:cs="Arial"/>
        </w:rPr>
        <w:t>Dadwal</w:t>
      </w:r>
      <w:proofErr w:type="spellEnd"/>
      <w:r w:rsidR="006F3C2F" w:rsidRPr="00AC1A14">
        <w:rPr>
          <w:rFonts w:ascii="Arial" w:hAnsi="Arial" w:cs="Arial"/>
        </w:rPr>
        <w:t>,(</w:t>
      </w:r>
      <w:proofErr w:type="gramEnd"/>
      <w:r w:rsidR="006F3C2F" w:rsidRPr="00AC1A14">
        <w:rPr>
          <w:rFonts w:ascii="Arial" w:hAnsi="Arial" w:cs="Arial"/>
        </w:rPr>
        <w:t xml:space="preserve"> 2020), c</w:t>
      </w:r>
      <w:r w:rsidR="00445BC8" w:rsidRPr="00AC1A14">
        <w:rPr>
          <w:rFonts w:ascii="Arial" w:hAnsi="Arial" w:cs="Arial"/>
        </w:rPr>
        <w:t>ustomizing content and messaging for each segment enhances engagement</w:t>
      </w:r>
      <w:r w:rsidR="006F3C2F" w:rsidRPr="00AC1A14">
        <w:rPr>
          <w:rFonts w:ascii="Arial" w:hAnsi="Arial" w:cs="Arial"/>
        </w:rPr>
        <w:t>.</w:t>
      </w:r>
      <w:r w:rsidR="001B6B9D">
        <w:rPr>
          <w:rFonts w:ascii="Arial" w:hAnsi="Arial" w:cs="Arial"/>
        </w:rPr>
        <w:t xml:space="preserve"> </w:t>
      </w:r>
      <w:r w:rsidRPr="00AC1A14">
        <w:rPr>
          <w:rFonts w:ascii="Arial" w:hAnsi="Arial" w:cs="Arial"/>
        </w:rPr>
        <w:t xml:space="preserve">While Glow to Go is not yet using full-scale digital marketing, the website was designed with SEO basics in mind. Strategic use of phrases like “mobile Botox in South Wales” and “aesthetic treatments at your location” are embedded in headings, metadata, and content. </w:t>
      </w:r>
      <w:r w:rsidR="004C3B14" w:rsidRPr="00AC1A14">
        <w:rPr>
          <w:rFonts w:ascii="Arial" w:hAnsi="Arial" w:cs="Arial"/>
        </w:rPr>
        <w:t>Pinto and Guarda (2020) state that foundational SEO boosts long term visibility without high advertising costs.</w:t>
      </w:r>
    </w:p>
    <w:p w14:paraId="01CFCE0E" w14:textId="77777777" w:rsidR="001B6B9D" w:rsidRPr="00AC1A14" w:rsidRDefault="001B6B9D" w:rsidP="004C3B14">
      <w:pPr>
        <w:rPr>
          <w:rFonts w:ascii="Arial" w:hAnsi="Arial" w:cs="Arial"/>
        </w:rPr>
      </w:pPr>
    </w:p>
    <w:p w14:paraId="35F432A9" w14:textId="128A76BA" w:rsidR="00E52C43" w:rsidRPr="00AC1A14" w:rsidRDefault="00E52C43" w:rsidP="00821CD3">
      <w:pPr>
        <w:spacing w:line="360" w:lineRule="auto"/>
        <w:ind w:firstLine="720"/>
        <w:jc w:val="both"/>
        <w:rPr>
          <w:rFonts w:ascii="Arial" w:hAnsi="Arial" w:cs="Arial"/>
        </w:rPr>
      </w:pPr>
      <w:r w:rsidRPr="00AC1A14">
        <w:rPr>
          <w:rFonts w:ascii="Arial" w:hAnsi="Arial" w:cs="Arial"/>
          <w:b/>
          <w:bCs/>
        </w:rPr>
        <w:t>SWOT</w:t>
      </w:r>
      <w:r w:rsidR="003B3CCD" w:rsidRPr="00AC1A14">
        <w:rPr>
          <w:rFonts w:ascii="Arial" w:hAnsi="Arial" w:cs="Arial"/>
          <w:b/>
          <w:bCs/>
        </w:rPr>
        <w:t xml:space="preserve"> Analysis</w:t>
      </w:r>
      <w:r w:rsidR="00257F8B" w:rsidRPr="00AC1A14">
        <w:rPr>
          <w:rFonts w:ascii="Arial" w:hAnsi="Arial" w:cs="Arial"/>
          <w:b/>
          <w:bCs/>
        </w:rPr>
        <w:t xml:space="preserve"> </w:t>
      </w:r>
      <w:r w:rsidR="00AA5112" w:rsidRPr="00AC1A14">
        <w:rPr>
          <w:rFonts w:ascii="Arial" w:hAnsi="Arial" w:cs="Arial"/>
          <w:b/>
          <w:bCs/>
        </w:rPr>
        <w:t>for Glow to Go Aesthetics</w:t>
      </w:r>
    </w:p>
    <w:p w14:paraId="74485775" w14:textId="04D0F13D" w:rsidR="00E52C43" w:rsidRPr="00AC1A14" w:rsidRDefault="00E52C43" w:rsidP="00821CD3">
      <w:pPr>
        <w:spacing w:line="360" w:lineRule="auto"/>
        <w:ind w:firstLine="720"/>
        <w:jc w:val="both"/>
        <w:rPr>
          <w:rFonts w:ascii="Arial" w:hAnsi="Arial" w:cs="Arial"/>
        </w:rPr>
      </w:pPr>
      <w:r w:rsidRPr="00AC1A14">
        <w:rPr>
          <w:rFonts w:ascii="Arial" w:hAnsi="Arial" w:cs="Arial"/>
        </w:rPr>
        <w:t xml:space="preserve">The SWOT analysis derived from questionnaire data has significantly contributed to defining the strategic direction of Glow to Go Aesthetics. </w:t>
      </w:r>
      <w:r w:rsidR="0052790E" w:rsidRPr="00AC1A14">
        <w:rPr>
          <w:rFonts w:ascii="Arial" w:hAnsi="Arial" w:cs="Arial"/>
        </w:rPr>
        <w:t xml:space="preserve">One of the key features of the mobile concept is its response to the demand for convenience and flexibility. </w:t>
      </w:r>
      <w:r w:rsidR="001A14E1" w:rsidRPr="00AC1A14">
        <w:rPr>
          <w:rFonts w:ascii="Arial" w:hAnsi="Arial" w:cs="Arial"/>
        </w:rPr>
        <w:t xml:space="preserve">A professionally managed service model gives the brand a market advantage. </w:t>
      </w:r>
      <w:r w:rsidRPr="00AC1A14">
        <w:rPr>
          <w:rFonts w:ascii="Arial" w:hAnsi="Arial" w:cs="Arial"/>
        </w:rPr>
        <w:t>Weaknesses such as a lack of client reviews, limited initial services, and operational dependence on vehicle reliability were also acknowledged early. These informed plans to implement strong hygiene protocols, secure backup transportation solutions, and roll out core treatments first.</w:t>
      </w:r>
    </w:p>
    <w:p w14:paraId="19B07CF0" w14:textId="5D5F935A" w:rsidR="00E52C43" w:rsidRPr="00AC1A14" w:rsidRDefault="006D57CA" w:rsidP="00821CD3">
      <w:pPr>
        <w:spacing w:line="360" w:lineRule="auto"/>
        <w:ind w:firstLine="720"/>
        <w:jc w:val="both"/>
        <w:rPr>
          <w:rFonts w:ascii="Arial" w:hAnsi="Arial" w:cs="Arial"/>
        </w:rPr>
      </w:pPr>
      <w:r w:rsidRPr="00AC1A14">
        <w:rPr>
          <w:rFonts w:ascii="Arial" w:hAnsi="Arial" w:cs="Arial"/>
        </w:rPr>
        <w:t xml:space="preserve">Identified opportunities include capitalising on seasonal demand peaks during events such as Valentine’s Day, Mother’s Day, and Christmas. Additionally, collaborating with offices or salons to offer mobile pop-up services presents a strategic avenue for growth. </w:t>
      </w:r>
      <w:r w:rsidR="00E52C43" w:rsidRPr="00AC1A14">
        <w:rPr>
          <w:rFonts w:ascii="Arial" w:hAnsi="Arial" w:cs="Arial"/>
        </w:rPr>
        <w:t>At the same time, potential threats such as competition from budget clinics, public perception of mobile service safety, and fluctuating operational costs like fuel and supplies were noted. These elements align with Barrow et al. (2021), who stress that a strong business plan must anticipate threats and prepare contingency strategies while capitalising on market gaps. By incorporating this structured reflection into the planning process, Glow to Go has taken a realistic, opportunity-driven approach to its launch strategy.</w:t>
      </w:r>
    </w:p>
    <w:p w14:paraId="7ABB4729" w14:textId="77777777" w:rsidR="00D46307" w:rsidRPr="00AC1A14" w:rsidRDefault="00D46307" w:rsidP="00821CD3">
      <w:pPr>
        <w:spacing w:line="360" w:lineRule="auto"/>
        <w:ind w:firstLine="720"/>
        <w:jc w:val="both"/>
        <w:rPr>
          <w:rFonts w:ascii="Arial" w:hAnsi="Arial" w:cs="Arial"/>
        </w:rPr>
      </w:pPr>
    </w:p>
    <w:p w14:paraId="22B5BC23" w14:textId="01A6E35C" w:rsidR="00E52C43" w:rsidRPr="00AC1A14" w:rsidRDefault="00E52C43" w:rsidP="00821CD3">
      <w:pPr>
        <w:spacing w:line="360" w:lineRule="auto"/>
        <w:ind w:firstLine="720"/>
        <w:jc w:val="both"/>
        <w:rPr>
          <w:rFonts w:ascii="Arial" w:hAnsi="Arial" w:cs="Arial"/>
        </w:rPr>
      </w:pPr>
      <w:r w:rsidRPr="00AC1A14">
        <w:rPr>
          <w:rFonts w:ascii="Arial" w:hAnsi="Arial" w:cs="Arial"/>
        </w:rPr>
        <w:t xml:space="preserve">The development of Glow to Go Aesthetics by F.T. has been guided entirely by prospective client feedback. By placing consumer needs at the heart of planning, the business is creating a service that feels personal, professional, and relevant. While </w:t>
      </w:r>
      <w:r w:rsidRPr="00AC1A14">
        <w:rPr>
          <w:rFonts w:ascii="Arial" w:hAnsi="Arial" w:cs="Arial"/>
        </w:rPr>
        <w:lastRenderedPageBreak/>
        <w:t>marketing efforts are still modest, and there are no reviews or photos yet, the brand is being built on solid foundations: trusted service, luxury experience, and true convenience. Every element</w:t>
      </w:r>
      <w:r w:rsidR="00486738" w:rsidRPr="00AC1A14">
        <w:rPr>
          <w:rFonts w:ascii="Arial" w:hAnsi="Arial" w:cs="Arial"/>
        </w:rPr>
        <w:t xml:space="preserve">, </w:t>
      </w:r>
      <w:r w:rsidRPr="00AC1A14">
        <w:rPr>
          <w:rFonts w:ascii="Arial" w:hAnsi="Arial" w:cs="Arial"/>
        </w:rPr>
        <w:t>from interior design to web content and marketing materials</w:t>
      </w:r>
      <w:r w:rsidR="00486738" w:rsidRPr="00AC1A14">
        <w:rPr>
          <w:rFonts w:ascii="Arial" w:hAnsi="Arial" w:cs="Arial"/>
        </w:rPr>
        <w:t xml:space="preserve">, </w:t>
      </w:r>
      <w:r w:rsidRPr="00AC1A14">
        <w:rPr>
          <w:rFonts w:ascii="Arial" w:hAnsi="Arial" w:cs="Arial"/>
        </w:rPr>
        <w:t>has been influenced by the survey findings. The flyer, website, and business card were all designed to reflect what our future clients value: clarity, trust, professionalism, and ease of use. These visual and strategic decisions ensure that our materials support early engagement and build credibility, laying the groundwork for stable client flow and long-term growth.</w:t>
      </w:r>
    </w:p>
    <w:p w14:paraId="53FD9F20" w14:textId="77777777" w:rsidR="00C53A6D" w:rsidRPr="00AC1A14" w:rsidRDefault="00C53A6D" w:rsidP="00E52C43">
      <w:pPr>
        <w:rPr>
          <w:rFonts w:ascii="Arial" w:hAnsi="Arial" w:cs="Arial"/>
          <w:b/>
          <w:bCs/>
        </w:rPr>
      </w:pPr>
    </w:p>
    <w:p w14:paraId="79A18AF4" w14:textId="51F03C80" w:rsidR="00C53A6D" w:rsidRPr="00AC1A14" w:rsidRDefault="002805F3" w:rsidP="00E52C43">
      <w:pPr>
        <w:rPr>
          <w:rFonts w:ascii="Arial" w:hAnsi="Arial" w:cs="Arial"/>
          <w:b/>
          <w:bCs/>
        </w:rPr>
      </w:pPr>
      <w:r w:rsidRPr="00AC1A14">
        <w:rPr>
          <w:rFonts w:ascii="Arial" w:hAnsi="Arial" w:cs="Arial"/>
          <w:b/>
          <w:bCs/>
        </w:rPr>
        <w:t>References</w:t>
      </w:r>
      <w:r w:rsidR="00ED50BF">
        <w:rPr>
          <w:rFonts w:ascii="Arial" w:hAnsi="Arial" w:cs="Arial"/>
          <w:b/>
          <w:bCs/>
        </w:rPr>
        <w:t xml:space="preserve"> List:</w:t>
      </w:r>
    </w:p>
    <w:p w14:paraId="63EBA7F9" w14:textId="77777777" w:rsidR="00C53A6D" w:rsidRPr="00AC1A14" w:rsidRDefault="00C53A6D" w:rsidP="00E52C43">
      <w:pPr>
        <w:rPr>
          <w:rFonts w:ascii="Arial" w:hAnsi="Arial" w:cs="Arial"/>
          <w:b/>
          <w:bCs/>
        </w:rPr>
      </w:pPr>
    </w:p>
    <w:p w14:paraId="4B46AC5E" w14:textId="43CE7F04" w:rsidR="00E52C43" w:rsidRPr="00AC1A14" w:rsidRDefault="00E52C43" w:rsidP="00E52C43">
      <w:pPr>
        <w:rPr>
          <w:rFonts w:ascii="Arial" w:hAnsi="Arial" w:cs="Arial"/>
          <w:b/>
          <w:bCs/>
        </w:rPr>
      </w:pPr>
      <w:r w:rsidRPr="00AC1A14">
        <w:rPr>
          <w:rFonts w:ascii="Arial" w:hAnsi="Arial" w:cs="Arial"/>
        </w:rPr>
        <w:t xml:space="preserve">Barrow, C., Barrow, P. and Brown, R. (2021). </w:t>
      </w:r>
      <w:r w:rsidRPr="00AC1A14">
        <w:rPr>
          <w:rFonts w:ascii="Arial" w:hAnsi="Arial" w:cs="Arial"/>
          <w:i/>
          <w:iCs/>
        </w:rPr>
        <w:t>The Business Plan Workbook: A Step-by-Step Guide to Creating and Developing a Successful Business</w:t>
      </w:r>
      <w:r w:rsidRPr="00AC1A14">
        <w:rPr>
          <w:rFonts w:ascii="Arial" w:hAnsi="Arial" w:cs="Arial"/>
        </w:rPr>
        <w:t>. 10th ed. London: Kogan Page.</w:t>
      </w:r>
    </w:p>
    <w:p w14:paraId="714F7BB8" w14:textId="77777777" w:rsidR="00E52C43" w:rsidRPr="00AC1A14" w:rsidRDefault="00E52C43" w:rsidP="00E52C43">
      <w:pPr>
        <w:rPr>
          <w:rFonts w:ascii="Arial" w:hAnsi="Arial" w:cs="Arial"/>
        </w:rPr>
      </w:pPr>
      <w:r w:rsidRPr="00AC1A14">
        <w:rPr>
          <w:rFonts w:ascii="Arial" w:hAnsi="Arial" w:cs="Arial"/>
        </w:rPr>
        <w:t xml:space="preserve">Burgess, J., Marwick, A. and Poell, T. (2018). </w:t>
      </w:r>
      <w:r w:rsidRPr="00AC1A14">
        <w:rPr>
          <w:rFonts w:ascii="Arial" w:hAnsi="Arial" w:cs="Arial"/>
          <w:i/>
          <w:iCs/>
        </w:rPr>
        <w:t>The SAGE Handbook of Social Media</w:t>
      </w:r>
      <w:r w:rsidRPr="00AC1A14">
        <w:rPr>
          <w:rFonts w:ascii="Arial" w:hAnsi="Arial" w:cs="Arial"/>
        </w:rPr>
        <w:t>. London: SAGE Publications Ltd. Available at: http://www.doi.org/10.4135/9781473984066</w:t>
      </w:r>
    </w:p>
    <w:p w14:paraId="114A3F6D" w14:textId="77777777" w:rsidR="00E52C43" w:rsidRPr="00AC1A14" w:rsidRDefault="00E52C43" w:rsidP="00E52C43">
      <w:pPr>
        <w:rPr>
          <w:rFonts w:ascii="Arial" w:hAnsi="Arial" w:cs="Arial"/>
        </w:rPr>
      </w:pPr>
      <w:r w:rsidRPr="00AC1A14">
        <w:rPr>
          <w:rFonts w:ascii="Arial" w:hAnsi="Arial" w:cs="Arial"/>
        </w:rPr>
        <w:t xml:space="preserve">Byrd, L. S. (2021). </w:t>
      </w:r>
      <w:r w:rsidRPr="00AC1A14">
        <w:rPr>
          <w:rFonts w:ascii="Arial" w:hAnsi="Arial" w:cs="Arial"/>
          <w:i/>
          <w:iCs/>
        </w:rPr>
        <w:t>Cultivating Entrepreneurial Changemakers Through Digital Media Education</w:t>
      </w:r>
      <w:r w:rsidRPr="00AC1A14">
        <w:rPr>
          <w:rFonts w:ascii="Arial" w:hAnsi="Arial" w:cs="Arial"/>
        </w:rPr>
        <w:t>. IGI Global. http://doi:10.4018/978-1-7998-5808-9</w:t>
      </w:r>
    </w:p>
    <w:p w14:paraId="686FFC8E" w14:textId="77777777" w:rsidR="00E52C43" w:rsidRPr="00AC1A14" w:rsidRDefault="00E52C43" w:rsidP="00E52C43">
      <w:pPr>
        <w:rPr>
          <w:rFonts w:ascii="Arial" w:hAnsi="Arial" w:cs="Arial"/>
        </w:rPr>
      </w:pPr>
      <w:proofErr w:type="spellStart"/>
      <w:r w:rsidRPr="00AC1A14">
        <w:rPr>
          <w:rFonts w:ascii="Arial" w:hAnsi="Arial" w:cs="Arial"/>
        </w:rPr>
        <w:t>Dadwal</w:t>
      </w:r>
      <w:proofErr w:type="spellEnd"/>
      <w:r w:rsidRPr="00AC1A14">
        <w:rPr>
          <w:rFonts w:ascii="Arial" w:hAnsi="Arial" w:cs="Arial"/>
        </w:rPr>
        <w:t xml:space="preserve">, S. S. (2020). </w:t>
      </w:r>
      <w:r w:rsidRPr="00AC1A14">
        <w:rPr>
          <w:rFonts w:ascii="Arial" w:hAnsi="Arial" w:cs="Arial"/>
          <w:i/>
          <w:iCs/>
        </w:rPr>
        <w:t>Handbook of Research on Innovations in Technology and Marketing for the Connected Consumer</w:t>
      </w:r>
      <w:r w:rsidRPr="00AC1A14">
        <w:rPr>
          <w:rFonts w:ascii="Arial" w:hAnsi="Arial" w:cs="Arial"/>
        </w:rPr>
        <w:t>. IGI Global. http://doi:10.4018/978-1-7998-0131-3</w:t>
      </w:r>
    </w:p>
    <w:p w14:paraId="2B38CA20" w14:textId="77777777" w:rsidR="00E52C43" w:rsidRPr="00AC1A14" w:rsidRDefault="00E52C43" w:rsidP="00E52C43">
      <w:pPr>
        <w:rPr>
          <w:rFonts w:ascii="Arial" w:hAnsi="Arial" w:cs="Arial"/>
        </w:rPr>
      </w:pPr>
      <w:r w:rsidRPr="00AC1A14">
        <w:rPr>
          <w:rFonts w:ascii="Arial" w:hAnsi="Arial" w:cs="Arial"/>
        </w:rPr>
        <w:t xml:space="preserve">Pinto, F. M. &amp; Guarda, T. (2020). </w:t>
      </w:r>
      <w:r w:rsidRPr="00AC1A14">
        <w:rPr>
          <w:rFonts w:ascii="Arial" w:hAnsi="Arial" w:cs="Arial"/>
          <w:i/>
          <w:iCs/>
        </w:rPr>
        <w:t>Digital Marketing Strategies and Models for Competitive Business</w:t>
      </w:r>
      <w:r w:rsidRPr="00AC1A14">
        <w:rPr>
          <w:rFonts w:ascii="Arial" w:hAnsi="Arial" w:cs="Arial"/>
        </w:rPr>
        <w:t>. IGI Global. http://doi:10.4018/978-1-7998-2963-8</w:t>
      </w:r>
    </w:p>
    <w:p w14:paraId="3CAEEEBD" w14:textId="77777777" w:rsidR="00E52C43" w:rsidRPr="00AC1A14" w:rsidRDefault="00E52C43" w:rsidP="00E52C43">
      <w:pPr>
        <w:rPr>
          <w:rFonts w:ascii="Arial" w:hAnsi="Arial" w:cs="Arial"/>
        </w:rPr>
      </w:pPr>
      <w:r w:rsidRPr="00AC1A14">
        <w:rPr>
          <w:rFonts w:ascii="Arial" w:hAnsi="Arial" w:cs="Arial"/>
        </w:rPr>
        <w:t xml:space="preserve">Reedy, K. &amp; Parker, J. (2017). </w:t>
      </w:r>
      <w:r w:rsidRPr="00AC1A14">
        <w:rPr>
          <w:rFonts w:ascii="Arial" w:hAnsi="Arial" w:cs="Arial"/>
          <w:i/>
          <w:iCs/>
        </w:rPr>
        <w:t>Digital Literacy Unpacked</w:t>
      </w:r>
      <w:r w:rsidRPr="00AC1A14">
        <w:rPr>
          <w:rFonts w:ascii="Arial" w:hAnsi="Arial" w:cs="Arial"/>
        </w:rPr>
        <w:t xml:space="preserve">. Facet Publishing. Available via ProQuest </w:t>
      </w:r>
      <w:proofErr w:type="spellStart"/>
      <w:r w:rsidRPr="00AC1A14">
        <w:rPr>
          <w:rFonts w:ascii="Arial" w:hAnsi="Arial" w:cs="Arial"/>
        </w:rPr>
        <w:t>Ebook</w:t>
      </w:r>
      <w:proofErr w:type="spellEnd"/>
      <w:r w:rsidRPr="00AC1A14">
        <w:rPr>
          <w:rFonts w:ascii="Arial" w:hAnsi="Arial" w:cs="Arial"/>
        </w:rPr>
        <w:t xml:space="preserve"> Central: https://ebookcentral.proquest.com/lib/trinity/detail.action?docID=5490897</w:t>
      </w:r>
    </w:p>
    <w:p w14:paraId="1E099C95" w14:textId="77777777" w:rsidR="00E52C43" w:rsidRPr="00AC1A14" w:rsidRDefault="00E52C43" w:rsidP="00E52C43">
      <w:pPr>
        <w:rPr>
          <w:rFonts w:ascii="Arial" w:hAnsi="Arial" w:cs="Arial"/>
        </w:rPr>
      </w:pPr>
      <w:r w:rsidRPr="00AC1A14">
        <w:rPr>
          <w:rFonts w:ascii="Arial" w:hAnsi="Arial" w:cs="Arial"/>
        </w:rPr>
        <w:t xml:space="preserve">Sandhu, K. (2020). </w:t>
      </w:r>
      <w:r w:rsidRPr="00AC1A14">
        <w:rPr>
          <w:rFonts w:ascii="Arial" w:hAnsi="Arial" w:cs="Arial"/>
          <w:i/>
          <w:iCs/>
        </w:rPr>
        <w:t>Digital Transformation and Innovative Services for Business and Learning</w:t>
      </w:r>
      <w:r w:rsidRPr="00AC1A14">
        <w:rPr>
          <w:rFonts w:ascii="Arial" w:hAnsi="Arial" w:cs="Arial"/>
        </w:rPr>
        <w:t>. IGI Global. http://doi:10.4018/978-1-7998-5175-2</w:t>
      </w:r>
    </w:p>
    <w:p w14:paraId="71C8C463" w14:textId="3EDE5A9B" w:rsidR="009B7611" w:rsidRPr="00AC1A14" w:rsidRDefault="00E52C43" w:rsidP="00E52C43">
      <w:pPr>
        <w:rPr>
          <w:rFonts w:ascii="Arial" w:hAnsi="Arial" w:cs="Arial"/>
        </w:rPr>
      </w:pPr>
      <w:proofErr w:type="spellStart"/>
      <w:r w:rsidRPr="00AC1A14">
        <w:rPr>
          <w:rFonts w:ascii="Arial" w:hAnsi="Arial" w:cs="Arial"/>
        </w:rPr>
        <w:t>Soltanifar</w:t>
      </w:r>
      <w:proofErr w:type="spellEnd"/>
      <w:r w:rsidRPr="00AC1A14">
        <w:rPr>
          <w:rFonts w:ascii="Arial" w:hAnsi="Arial" w:cs="Arial"/>
        </w:rPr>
        <w:t xml:space="preserve">, M., Hughes, M. &amp; Gocke, L. (2021). </w:t>
      </w:r>
      <w:r w:rsidRPr="00AC1A14">
        <w:rPr>
          <w:rFonts w:ascii="Arial" w:hAnsi="Arial" w:cs="Arial"/>
          <w:i/>
          <w:iCs/>
        </w:rPr>
        <w:t>Digital Entrepreneurship</w:t>
      </w:r>
      <w:r w:rsidRPr="00AC1A14">
        <w:rPr>
          <w:rFonts w:ascii="Arial" w:hAnsi="Arial" w:cs="Arial"/>
        </w:rPr>
        <w:t xml:space="preserve">. Springer. </w:t>
      </w:r>
      <w:hyperlink r:id="rId17" w:history="1">
        <w:r w:rsidR="009B7611" w:rsidRPr="00AC1A14">
          <w:rPr>
            <w:rStyle w:val="Hyperlink"/>
            <w:rFonts w:ascii="Arial" w:hAnsi="Arial" w:cs="Arial"/>
          </w:rPr>
          <w:t>http://doi.org/10.1007/978-3-030-53914-6</w:t>
        </w:r>
      </w:hyperlink>
    </w:p>
    <w:p w14:paraId="7A6CB948" w14:textId="77777777" w:rsidR="005A264F" w:rsidRPr="00AC1A14" w:rsidRDefault="005511E8" w:rsidP="00AA144F">
      <w:pPr>
        <w:rPr>
          <w:rFonts w:ascii="Arial" w:hAnsi="Arial" w:cs="Arial"/>
        </w:rPr>
      </w:pPr>
      <w:r w:rsidRPr="00AC1A14">
        <w:rPr>
          <w:rFonts w:ascii="Arial" w:hAnsi="Arial" w:cs="Arial"/>
        </w:rPr>
        <w:t>Tutuiu, F. (2025)</w:t>
      </w:r>
      <w:r w:rsidR="00472434" w:rsidRPr="00AC1A14">
        <w:rPr>
          <w:rFonts w:ascii="Arial" w:hAnsi="Arial" w:cs="Arial"/>
        </w:rPr>
        <w:t xml:space="preserve"> Screenshot of questionnaire </w:t>
      </w:r>
      <w:r w:rsidR="00C006C7" w:rsidRPr="00AC1A14">
        <w:rPr>
          <w:rFonts w:ascii="Arial" w:hAnsi="Arial" w:cs="Arial"/>
        </w:rPr>
        <w:t>responses</w:t>
      </w:r>
    </w:p>
    <w:p w14:paraId="3983DC00" w14:textId="129BC684" w:rsidR="005143D3" w:rsidRPr="00AC1A14" w:rsidRDefault="00AA144F" w:rsidP="00120961">
      <w:pPr>
        <w:rPr>
          <w:rFonts w:ascii="Arial" w:hAnsi="Arial" w:cs="Arial"/>
        </w:rPr>
      </w:pPr>
      <w:r w:rsidRPr="00AC1A14">
        <w:rPr>
          <w:rFonts w:ascii="Arial" w:hAnsi="Arial" w:cs="Arial"/>
        </w:rPr>
        <w:t xml:space="preserve">Glow to Go (2025) Home page. Available at: </w:t>
      </w:r>
      <w:hyperlink r:id="rId18" w:history="1">
        <w:r w:rsidR="005A264F" w:rsidRPr="00AC1A14">
          <w:rPr>
            <w:rStyle w:val="Hyperlink"/>
            <w:rFonts w:ascii="Arial" w:hAnsi="Arial" w:cs="Arial"/>
          </w:rPr>
          <w:t>https://glowtogo.my.canva.site/#home</w:t>
        </w:r>
      </w:hyperlink>
    </w:p>
    <w:p w14:paraId="6DC16D42" w14:textId="0C24BB0D" w:rsidR="00120961" w:rsidRPr="00AC1A14" w:rsidRDefault="00120961" w:rsidP="00120961">
      <w:pPr>
        <w:rPr>
          <w:rFonts w:ascii="Arial" w:hAnsi="Arial" w:cs="Arial"/>
        </w:rPr>
      </w:pPr>
      <w:r w:rsidRPr="00AC1A14">
        <w:rPr>
          <w:rFonts w:ascii="Arial" w:hAnsi="Arial" w:cs="Arial"/>
        </w:rPr>
        <w:t xml:space="preserve">Glow to Go (2025) About Us. Available at: </w:t>
      </w:r>
      <w:r w:rsidR="00C679D1" w:rsidRPr="00AC1A14">
        <w:rPr>
          <w:rFonts w:ascii="Arial" w:hAnsi="Arial" w:cs="Arial"/>
        </w:rPr>
        <w:t>https://glowtogo.my.canva.site/#about-us</w:t>
      </w:r>
    </w:p>
    <w:p w14:paraId="3131C11E" w14:textId="30896654" w:rsidR="00AA144F" w:rsidRPr="00AC1A14" w:rsidRDefault="00AA144F" w:rsidP="00AA144F">
      <w:pPr>
        <w:rPr>
          <w:rFonts w:ascii="Arial" w:hAnsi="Arial" w:cs="Arial"/>
        </w:rPr>
      </w:pPr>
    </w:p>
    <w:p w14:paraId="7CC2EB17" w14:textId="77777777" w:rsidR="0028333E" w:rsidRPr="00AC1A14" w:rsidRDefault="0028333E" w:rsidP="00AA144F">
      <w:pPr>
        <w:rPr>
          <w:rFonts w:ascii="Arial" w:hAnsi="Arial" w:cs="Arial"/>
        </w:rPr>
      </w:pPr>
    </w:p>
    <w:p w14:paraId="5197374F" w14:textId="77777777" w:rsidR="00AA144F" w:rsidRPr="00AC1A14" w:rsidRDefault="00AA144F" w:rsidP="00E52C43">
      <w:pPr>
        <w:rPr>
          <w:rFonts w:ascii="Arial" w:hAnsi="Arial" w:cs="Arial"/>
        </w:rPr>
      </w:pPr>
    </w:p>
    <w:p w14:paraId="19CE8665" w14:textId="77777777" w:rsidR="00C006C7" w:rsidRPr="00AC1A14" w:rsidRDefault="00C006C7" w:rsidP="00E52C43">
      <w:pPr>
        <w:rPr>
          <w:rFonts w:ascii="Arial" w:hAnsi="Arial" w:cs="Arial"/>
        </w:rPr>
      </w:pPr>
    </w:p>
    <w:p w14:paraId="55A36EA7" w14:textId="5B8414EB" w:rsidR="00CC3E0D" w:rsidRPr="0030089B" w:rsidRDefault="00454E6B" w:rsidP="0030089B">
      <w:pPr>
        <w:spacing w:line="360" w:lineRule="auto"/>
        <w:jc w:val="both"/>
        <w:rPr>
          <w:rFonts w:ascii="Arial" w:hAnsi="Arial" w:cs="Arial"/>
          <w:b/>
          <w:bCs/>
          <w:color w:val="0B769F" w:themeColor="accent4" w:themeShade="BF"/>
          <w:sz w:val="32"/>
          <w:szCs w:val="32"/>
        </w:rPr>
      </w:pPr>
      <w:r w:rsidRPr="0030089B">
        <w:rPr>
          <w:rFonts w:ascii="Arial" w:hAnsi="Arial" w:cs="Arial"/>
          <w:b/>
          <w:bCs/>
          <w:color w:val="0B769F" w:themeColor="accent4" w:themeShade="BF"/>
          <w:sz w:val="32"/>
          <w:szCs w:val="32"/>
        </w:rPr>
        <w:t xml:space="preserve">Task 2 - </w:t>
      </w:r>
      <w:r w:rsidR="000E2F73" w:rsidRPr="0030089B">
        <w:rPr>
          <w:rFonts w:ascii="Arial" w:hAnsi="Arial" w:cs="Arial"/>
          <w:b/>
          <w:bCs/>
          <w:color w:val="0B769F" w:themeColor="accent4" w:themeShade="BF"/>
          <w:sz w:val="32"/>
          <w:szCs w:val="32"/>
        </w:rPr>
        <w:t>Excel in the Digital Era: A Fundamental Tool for Business Strategy and Growth</w:t>
      </w:r>
    </w:p>
    <w:p w14:paraId="7405522D" w14:textId="77777777" w:rsidR="00841395" w:rsidRPr="00AC1A14" w:rsidRDefault="00841395" w:rsidP="00ED50BF">
      <w:pPr>
        <w:spacing w:line="360" w:lineRule="auto"/>
        <w:ind w:firstLine="720"/>
        <w:jc w:val="both"/>
        <w:rPr>
          <w:rFonts w:ascii="Arial" w:hAnsi="Arial" w:cs="Arial"/>
        </w:rPr>
      </w:pPr>
    </w:p>
    <w:p w14:paraId="60A1B4B9" w14:textId="296653A3" w:rsidR="009B7611" w:rsidRPr="009B7611" w:rsidRDefault="009B7611" w:rsidP="00ED50BF">
      <w:pPr>
        <w:spacing w:line="360" w:lineRule="auto"/>
        <w:ind w:firstLine="720"/>
        <w:jc w:val="both"/>
        <w:rPr>
          <w:rFonts w:ascii="Arial" w:hAnsi="Arial" w:cs="Arial"/>
        </w:rPr>
      </w:pPr>
      <w:r w:rsidRPr="009B7611">
        <w:rPr>
          <w:rFonts w:ascii="Arial" w:hAnsi="Arial" w:cs="Arial"/>
        </w:rPr>
        <w:t>In today’s fast-paced digital world, it’s easy to assume that Excel might be fading into the background, especially with the rise of artificial intelligence, automation tools, and specialised software platforms. However, for new entrepreneurs</w:t>
      </w:r>
      <w:r w:rsidR="00413D44" w:rsidRPr="00AC1A14">
        <w:rPr>
          <w:rFonts w:ascii="Arial" w:hAnsi="Arial" w:cs="Arial"/>
        </w:rPr>
        <w:t xml:space="preserve">, </w:t>
      </w:r>
      <w:r w:rsidRPr="009B7611">
        <w:rPr>
          <w:rFonts w:ascii="Arial" w:hAnsi="Arial" w:cs="Arial"/>
        </w:rPr>
        <w:t xml:space="preserve">especially those launching small, </w:t>
      </w:r>
      <w:proofErr w:type="gramStart"/>
      <w:r w:rsidRPr="009B7611">
        <w:rPr>
          <w:rFonts w:ascii="Arial" w:hAnsi="Arial" w:cs="Arial"/>
        </w:rPr>
        <w:t>service</w:t>
      </w:r>
      <w:r w:rsidR="003C14DC" w:rsidRPr="00AC1A14">
        <w:rPr>
          <w:rFonts w:ascii="Arial" w:hAnsi="Arial" w:cs="Arial"/>
        </w:rPr>
        <w:t xml:space="preserve"> </w:t>
      </w:r>
      <w:r w:rsidRPr="009B7611">
        <w:rPr>
          <w:rFonts w:ascii="Arial" w:hAnsi="Arial" w:cs="Arial"/>
        </w:rPr>
        <w:t>based</w:t>
      </w:r>
      <w:proofErr w:type="gramEnd"/>
      <w:r w:rsidRPr="009B7611">
        <w:rPr>
          <w:rFonts w:ascii="Arial" w:hAnsi="Arial" w:cs="Arial"/>
        </w:rPr>
        <w:t xml:space="preserve"> ventures like Glow to Go Aesthetics</w:t>
      </w:r>
      <w:r w:rsidR="00413D44" w:rsidRPr="00AC1A14">
        <w:rPr>
          <w:rFonts w:ascii="Arial" w:hAnsi="Arial" w:cs="Arial"/>
        </w:rPr>
        <w:t>,</w:t>
      </w:r>
      <w:r w:rsidR="003C14DC" w:rsidRPr="00AC1A14">
        <w:rPr>
          <w:rFonts w:ascii="Arial" w:hAnsi="Arial" w:cs="Arial"/>
        </w:rPr>
        <w:t xml:space="preserve"> </w:t>
      </w:r>
      <w:r w:rsidRPr="009B7611">
        <w:rPr>
          <w:rFonts w:ascii="Arial" w:hAnsi="Arial" w:cs="Arial"/>
        </w:rPr>
        <w:t>Excel remains not only relevant but also indispensable</w:t>
      </w:r>
      <w:r w:rsidR="0003392F" w:rsidRPr="00AC1A14">
        <w:rPr>
          <w:rFonts w:ascii="Arial" w:hAnsi="Arial" w:cs="Arial"/>
        </w:rPr>
        <w:t xml:space="preserve"> </w:t>
      </w:r>
      <w:r w:rsidR="00114598" w:rsidRPr="00AC1A14">
        <w:rPr>
          <w:rFonts w:ascii="Arial" w:hAnsi="Arial" w:cs="Arial"/>
        </w:rPr>
        <w:t>(Adams</w:t>
      </w:r>
      <w:r w:rsidR="0003392F" w:rsidRPr="00AC1A14">
        <w:rPr>
          <w:rFonts w:ascii="Arial" w:hAnsi="Arial" w:cs="Arial"/>
        </w:rPr>
        <w:t>, 2022)</w:t>
      </w:r>
      <w:r w:rsidRPr="009B7611">
        <w:rPr>
          <w:rFonts w:ascii="Arial" w:hAnsi="Arial" w:cs="Arial"/>
        </w:rPr>
        <w:t xml:space="preserve">. This simple yet powerful tool continues to be the </w:t>
      </w:r>
      <w:r w:rsidR="00947DCD" w:rsidRPr="00AC1A14">
        <w:rPr>
          <w:rFonts w:ascii="Arial" w:hAnsi="Arial" w:cs="Arial"/>
        </w:rPr>
        <w:t>foundation stone</w:t>
      </w:r>
      <w:r w:rsidRPr="009B7611">
        <w:rPr>
          <w:rFonts w:ascii="Arial" w:hAnsi="Arial" w:cs="Arial"/>
        </w:rPr>
        <w:t xml:space="preserve"> for organising, analysing, and planning key aspects of business, particularly in its early stages when flexibility and control are vital.</w:t>
      </w:r>
    </w:p>
    <w:p w14:paraId="369F0176" w14:textId="450D0578" w:rsidR="009B7611" w:rsidRPr="009B7611" w:rsidRDefault="009B7611" w:rsidP="00ED50BF">
      <w:pPr>
        <w:spacing w:line="360" w:lineRule="auto"/>
        <w:ind w:firstLine="720"/>
        <w:jc w:val="both"/>
        <w:rPr>
          <w:rFonts w:ascii="Arial" w:hAnsi="Arial" w:cs="Arial"/>
        </w:rPr>
      </w:pPr>
      <w:r w:rsidRPr="009B7611">
        <w:rPr>
          <w:rFonts w:ascii="Arial" w:hAnsi="Arial" w:cs="Arial"/>
        </w:rPr>
        <w:t xml:space="preserve">From the outset, Excel offers a user-friendly platform for capturing data and structuring it in ways that are easy to understand and use. For Glow to Go, which is still in the planning phase, the ability to clearly organise projected income, expenses, and stock levels in simple spreadsheets is fundamental. Broman and Woo (2018) explain how structuring data in a </w:t>
      </w:r>
      <w:r w:rsidR="00191699" w:rsidRPr="00AC1A14">
        <w:rPr>
          <w:rFonts w:ascii="Arial" w:hAnsi="Arial" w:cs="Arial"/>
        </w:rPr>
        <w:t>smooth</w:t>
      </w:r>
      <w:r w:rsidRPr="009B7611">
        <w:rPr>
          <w:rFonts w:ascii="Arial" w:hAnsi="Arial" w:cs="Arial"/>
        </w:rPr>
        <w:t xml:space="preserve"> format reduces errors and supports clear interpretation</w:t>
      </w:r>
      <w:r w:rsidR="00086087" w:rsidRPr="00AC1A14">
        <w:rPr>
          <w:rFonts w:ascii="Arial" w:hAnsi="Arial" w:cs="Arial"/>
        </w:rPr>
        <w:t xml:space="preserve">, </w:t>
      </w:r>
      <w:r w:rsidRPr="009B7611">
        <w:rPr>
          <w:rFonts w:ascii="Arial" w:hAnsi="Arial" w:cs="Arial"/>
        </w:rPr>
        <w:t xml:space="preserve">something essential when testing business models or comparing different pricing structures. </w:t>
      </w:r>
      <w:r w:rsidR="00285420" w:rsidRPr="00AC1A14">
        <w:rPr>
          <w:rFonts w:ascii="Arial" w:hAnsi="Arial" w:cs="Arial"/>
        </w:rPr>
        <w:t>Scenarios have been simulated and Glow to Go's operations and financial expectations refined using tools available in Excel, without the need for costly software.</w:t>
      </w:r>
    </w:p>
    <w:p w14:paraId="0D07E70F" w14:textId="759BADD1" w:rsidR="009B7611" w:rsidRPr="009B7611" w:rsidRDefault="009B7611" w:rsidP="00ED50BF">
      <w:pPr>
        <w:spacing w:line="360" w:lineRule="auto"/>
        <w:ind w:firstLine="720"/>
        <w:jc w:val="both"/>
        <w:rPr>
          <w:rFonts w:ascii="Arial" w:hAnsi="Arial" w:cs="Arial"/>
        </w:rPr>
      </w:pPr>
      <w:r w:rsidRPr="009B7611">
        <w:rPr>
          <w:rFonts w:ascii="Arial" w:hAnsi="Arial" w:cs="Arial"/>
        </w:rPr>
        <w:t>Financial forecasting is one of Excel’s most impactful uses. With built</w:t>
      </w:r>
      <w:r w:rsidR="00F63EE1" w:rsidRPr="00AC1A14">
        <w:rPr>
          <w:rFonts w:ascii="Arial" w:hAnsi="Arial" w:cs="Arial"/>
        </w:rPr>
        <w:t>-</w:t>
      </w:r>
      <w:r w:rsidRPr="009B7611">
        <w:rPr>
          <w:rFonts w:ascii="Arial" w:hAnsi="Arial" w:cs="Arial"/>
        </w:rPr>
        <w:t>in formulas like PMT, SUMIF, and conditional formatting, the tool enables clear cash flow planning, as well as identifying how seasonal trends such as Christmas, Valentine’s Day, or Mother’s Day may boost income. Mohammadi et al. (2024) suggest that businesses using spreadsheet modelling for forecasting and budgeting are better prepared to respond to economic variables. For Glow to Go, which must anticipate both fixed costs</w:t>
      </w:r>
      <w:r w:rsidR="0010575A" w:rsidRPr="00AC1A14">
        <w:rPr>
          <w:rFonts w:ascii="Arial" w:hAnsi="Arial" w:cs="Arial"/>
        </w:rPr>
        <w:t xml:space="preserve">, </w:t>
      </w:r>
      <w:r w:rsidRPr="009B7611">
        <w:rPr>
          <w:rFonts w:ascii="Arial" w:hAnsi="Arial" w:cs="Arial"/>
        </w:rPr>
        <w:t>such as insurance and accountancy fees</w:t>
      </w:r>
      <w:r w:rsidR="0010575A" w:rsidRPr="00AC1A14">
        <w:rPr>
          <w:rFonts w:ascii="Arial" w:hAnsi="Arial" w:cs="Arial"/>
        </w:rPr>
        <w:t xml:space="preserve">, </w:t>
      </w:r>
      <w:r w:rsidRPr="009B7611">
        <w:rPr>
          <w:rFonts w:ascii="Arial" w:hAnsi="Arial" w:cs="Arial"/>
        </w:rPr>
        <w:t xml:space="preserve">and variable ones, like fuel </w:t>
      </w:r>
      <w:r w:rsidRPr="009B7611">
        <w:rPr>
          <w:rFonts w:ascii="Arial" w:hAnsi="Arial" w:cs="Arial"/>
        </w:rPr>
        <w:lastRenderedPageBreak/>
        <w:t xml:space="preserve">or restocking medical supplies, Excel has offered a framework to prepare, adapt, and respond with </w:t>
      </w:r>
      <w:r w:rsidR="0010575A" w:rsidRPr="00AC1A14">
        <w:rPr>
          <w:rFonts w:ascii="Arial" w:hAnsi="Arial" w:cs="Arial"/>
        </w:rPr>
        <w:t>anticipation.</w:t>
      </w:r>
    </w:p>
    <w:p w14:paraId="0337E01A" w14:textId="6E10EE00" w:rsidR="009B7611" w:rsidRPr="009B7611" w:rsidRDefault="00D01D1C" w:rsidP="00ED50BF">
      <w:pPr>
        <w:spacing w:line="360" w:lineRule="auto"/>
        <w:ind w:firstLine="720"/>
        <w:jc w:val="both"/>
        <w:rPr>
          <w:rFonts w:ascii="Arial" w:hAnsi="Arial" w:cs="Arial"/>
        </w:rPr>
      </w:pPr>
      <w:r w:rsidRPr="00AC1A14">
        <w:rPr>
          <w:rFonts w:ascii="Arial" w:hAnsi="Arial" w:cs="Arial"/>
        </w:rPr>
        <w:t xml:space="preserve">An important aspect in a business still developing its structure is the ability to use Excel for informed decision-making. By utilizing pivot tables and lookup functions, it is possible to compare treatments by profitability and project monthly outcomes based on estimated client volume. </w:t>
      </w:r>
      <w:r w:rsidR="009B7611" w:rsidRPr="009B7611">
        <w:rPr>
          <w:rFonts w:ascii="Arial" w:hAnsi="Arial" w:cs="Arial"/>
        </w:rPr>
        <w:t xml:space="preserve">While these figures are simulated, they are directly informed by early market research and the questionnaire results, giving </w:t>
      </w:r>
      <w:r w:rsidRPr="00AC1A14">
        <w:rPr>
          <w:rFonts w:ascii="Arial" w:hAnsi="Arial" w:cs="Arial"/>
        </w:rPr>
        <w:t xml:space="preserve">the plan </w:t>
      </w:r>
      <w:r w:rsidR="009B7611" w:rsidRPr="009B7611">
        <w:rPr>
          <w:rFonts w:ascii="Arial" w:hAnsi="Arial" w:cs="Arial"/>
        </w:rPr>
        <w:t>grounded expectations. As pointed out by ERIC (2022), Excel helps bridge the gap between raw data and strategic action, and this has certainly been true for the ongoing development of Glow to Go</w:t>
      </w:r>
      <w:r w:rsidR="00A06D7F" w:rsidRPr="00AC1A14">
        <w:rPr>
          <w:rFonts w:ascii="Arial" w:hAnsi="Arial" w:cs="Arial"/>
        </w:rPr>
        <w:t xml:space="preserve"> Aesthetics.</w:t>
      </w:r>
    </w:p>
    <w:p w14:paraId="119CFB06" w14:textId="45789CD0" w:rsidR="009B7611" w:rsidRPr="009B7611" w:rsidRDefault="006D46F0" w:rsidP="00ED50BF">
      <w:pPr>
        <w:spacing w:line="360" w:lineRule="auto"/>
        <w:ind w:firstLine="720"/>
        <w:jc w:val="both"/>
        <w:rPr>
          <w:rFonts w:ascii="Arial" w:hAnsi="Arial" w:cs="Arial"/>
        </w:rPr>
      </w:pPr>
      <w:r w:rsidRPr="00AC1A14">
        <w:rPr>
          <w:rFonts w:ascii="Arial" w:hAnsi="Arial" w:cs="Arial"/>
        </w:rPr>
        <w:t xml:space="preserve">Presentation is also important. Excel’s charting capabilities enable the transformation of numerical data into visuals, such as bar charts for monthly profit, pie charts for treatment popularity, and line graphs for income fluctuations. </w:t>
      </w:r>
      <w:r w:rsidR="009B7611" w:rsidRPr="009B7611">
        <w:rPr>
          <w:rFonts w:ascii="Arial" w:hAnsi="Arial" w:cs="Arial"/>
        </w:rPr>
        <w:t xml:space="preserve">This helps in reviewing strategy and is valuable when sharing the vision with stakeholders. Kumar and </w:t>
      </w:r>
      <w:proofErr w:type="spellStart"/>
      <w:r w:rsidR="009B7611" w:rsidRPr="009B7611">
        <w:rPr>
          <w:rFonts w:ascii="Arial" w:hAnsi="Arial" w:cs="Arial"/>
        </w:rPr>
        <w:t>Zhmke</w:t>
      </w:r>
      <w:proofErr w:type="spellEnd"/>
      <w:r w:rsidR="009B7611" w:rsidRPr="009B7611">
        <w:rPr>
          <w:rFonts w:ascii="Arial" w:hAnsi="Arial" w:cs="Arial"/>
        </w:rPr>
        <w:t xml:space="preserve"> (2023) note that visual data enhances understanding and persuasion, which is key when a startup is seeking to establish credibility and direction. These visuals have already been used within Glow to Go</w:t>
      </w:r>
      <w:r w:rsidR="000811A0" w:rsidRPr="00AC1A14">
        <w:rPr>
          <w:rFonts w:ascii="Arial" w:hAnsi="Arial" w:cs="Arial"/>
        </w:rPr>
        <w:t xml:space="preserve"> Aesthetic</w:t>
      </w:r>
      <w:r w:rsidR="009B7611" w:rsidRPr="009B7611">
        <w:rPr>
          <w:rFonts w:ascii="Arial" w:hAnsi="Arial" w:cs="Arial"/>
        </w:rPr>
        <w:t xml:space="preserve"> internal planning documents and will support future pitches to investors or partners.</w:t>
      </w:r>
    </w:p>
    <w:p w14:paraId="4E56C3C9" w14:textId="1CC5A5CA" w:rsidR="009B7611" w:rsidRPr="009B7611" w:rsidRDefault="00C95E05" w:rsidP="00ED50BF">
      <w:pPr>
        <w:spacing w:line="360" w:lineRule="auto"/>
        <w:ind w:firstLine="720"/>
        <w:jc w:val="both"/>
        <w:rPr>
          <w:rFonts w:ascii="Arial" w:hAnsi="Arial" w:cs="Arial"/>
        </w:rPr>
      </w:pPr>
      <w:r w:rsidRPr="00AC1A14">
        <w:rPr>
          <w:rFonts w:ascii="Arial" w:hAnsi="Arial" w:cs="Arial"/>
        </w:rPr>
        <w:t>Excel has helped Glow to Go</w:t>
      </w:r>
      <w:r w:rsidR="00E0694C" w:rsidRPr="00AC1A14">
        <w:rPr>
          <w:rFonts w:ascii="Arial" w:hAnsi="Arial" w:cs="Arial"/>
        </w:rPr>
        <w:t xml:space="preserve"> Aesthetic</w:t>
      </w:r>
      <w:r w:rsidRPr="00AC1A14">
        <w:rPr>
          <w:rFonts w:ascii="Arial" w:hAnsi="Arial" w:cs="Arial"/>
        </w:rPr>
        <w:t xml:space="preserve"> with operational planning by tracking vehicle maintenance, client schedules, and travel logistics. </w:t>
      </w:r>
      <w:r w:rsidR="009B7611" w:rsidRPr="009B7611">
        <w:rPr>
          <w:rFonts w:ascii="Arial" w:hAnsi="Arial" w:cs="Arial"/>
        </w:rPr>
        <w:t>In a mobile aesthetics clinic, where consistency, professionalism, and timeliness are no</w:t>
      </w:r>
      <w:r w:rsidR="00E0694C" w:rsidRPr="00AC1A14">
        <w:rPr>
          <w:rFonts w:ascii="Arial" w:hAnsi="Arial" w:cs="Arial"/>
        </w:rPr>
        <w:t xml:space="preserve">t </w:t>
      </w:r>
      <w:r w:rsidR="009B7611" w:rsidRPr="009B7611">
        <w:rPr>
          <w:rFonts w:ascii="Arial" w:hAnsi="Arial" w:cs="Arial"/>
        </w:rPr>
        <w:t>negotiable, this level of detailed planning becomes a clear asset.</w:t>
      </w:r>
    </w:p>
    <w:p w14:paraId="71A1E61C" w14:textId="0D182902" w:rsidR="009B7611" w:rsidRPr="009B7611" w:rsidRDefault="009B7611" w:rsidP="00ED50BF">
      <w:pPr>
        <w:spacing w:line="360" w:lineRule="auto"/>
        <w:ind w:firstLine="720"/>
        <w:jc w:val="both"/>
        <w:rPr>
          <w:rFonts w:ascii="Arial" w:hAnsi="Arial" w:cs="Arial"/>
        </w:rPr>
      </w:pPr>
      <w:r w:rsidRPr="009B7611">
        <w:rPr>
          <w:rFonts w:ascii="Arial" w:hAnsi="Arial" w:cs="Arial"/>
        </w:rPr>
        <w:t xml:space="preserve">Beyond </w:t>
      </w:r>
      <w:r w:rsidR="00A86843" w:rsidRPr="00AC1A14">
        <w:rPr>
          <w:rFonts w:ascii="Arial" w:hAnsi="Arial" w:cs="Arial"/>
        </w:rPr>
        <w:t>daily</w:t>
      </w:r>
      <w:r w:rsidRPr="009B7611">
        <w:rPr>
          <w:rFonts w:ascii="Arial" w:hAnsi="Arial" w:cs="Arial"/>
        </w:rPr>
        <w:t xml:space="preserve"> operations, Excel plays a role in long</w:t>
      </w:r>
      <w:r w:rsidR="00A86843" w:rsidRPr="00AC1A14">
        <w:rPr>
          <w:rFonts w:ascii="Arial" w:hAnsi="Arial" w:cs="Arial"/>
        </w:rPr>
        <w:t xml:space="preserve"> </w:t>
      </w:r>
      <w:r w:rsidRPr="009B7611">
        <w:rPr>
          <w:rFonts w:ascii="Arial" w:hAnsi="Arial" w:cs="Arial"/>
        </w:rPr>
        <w:t>term risk management</w:t>
      </w:r>
      <w:r w:rsidR="00845971" w:rsidRPr="00AC1A14">
        <w:rPr>
          <w:rFonts w:ascii="Arial" w:hAnsi="Arial" w:cs="Arial"/>
        </w:rPr>
        <w:t xml:space="preserve"> </w:t>
      </w:r>
      <w:r w:rsidR="00F30C60" w:rsidRPr="00AC1A14">
        <w:rPr>
          <w:rFonts w:ascii="Arial" w:hAnsi="Arial" w:cs="Arial"/>
        </w:rPr>
        <w:t>(</w:t>
      </w:r>
      <w:r w:rsidR="00CA1167" w:rsidRPr="00AC1A14">
        <w:rPr>
          <w:rFonts w:ascii="Arial" w:hAnsi="Arial" w:cs="Arial"/>
        </w:rPr>
        <w:t>Investopedia, 2015)</w:t>
      </w:r>
      <w:r w:rsidRPr="009B7611">
        <w:rPr>
          <w:rFonts w:ascii="Arial" w:hAnsi="Arial" w:cs="Arial"/>
        </w:rPr>
        <w:t>. The software enables scenario testing, which has helped me explore various “what if” situations. For example, what happens to monthly net profit if there is a 20% rise in fuel prices, or a sudden drop in appointment bookings during the summer? Scenario planning has helped build a more resilient business plan. Mohammadi et al. (2024) stress that this kind of simulation builds preparedness, especially in uncertain economic conditions.</w:t>
      </w:r>
    </w:p>
    <w:p w14:paraId="6B05B62E" w14:textId="6E2538A8" w:rsidR="009B7611" w:rsidRPr="009B7611" w:rsidRDefault="009B7611" w:rsidP="00ED50BF">
      <w:pPr>
        <w:spacing w:line="360" w:lineRule="auto"/>
        <w:ind w:firstLine="720"/>
        <w:jc w:val="both"/>
        <w:rPr>
          <w:rFonts w:ascii="Arial" w:hAnsi="Arial" w:cs="Arial"/>
        </w:rPr>
      </w:pPr>
      <w:r w:rsidRPr="009B7611">
        <w:rPr>
          <w:rFonts w:ascii="Arial" w:hAnsi="Arial" w:cs="Arial"/>
        </w:rPr>
        <w:t xml:space="preserve">Using Excel to build financial documents has also contributed to the development of marketing materials and strategic choices. The </w:t>
      </w:r>
      <w:r w:rsidR="003809C4" w:rsidRPr="00AC1A14">
        <w:rPr>
          <w:rFonts w:ascii="Arial" w:hAnsi="Arial" w:cs="Arial"/>
        </w:rPr>
        <w:t>marketing materials</w:t>
      </w:r>
      <w:r w:rsidRPr="009B7611">
        <w:rPr>
          <w:rFonts w:ascii="Arial" w:hAnsi="Arial" w:cs="Arial"/>
        </w:rPr>
        <w:t xml:space="preserve"> </w:t>
      </w:r>
      <w:r w:rsidRPr="009B7611">
        <w:rPr>
          <w:rFonts w:ascii="Arial" w:hAnsi="Arial" w:cs="Arial"/>
        </w:rPr>
        <w:lastRenderedPageBreak/>
        <w:t xml:space="preserve">designed were informed by the questionnaire insights, which themselves were analysed in Excel. </w:t>
      </w:r>
    </w:p>
    <w:p w14:paraId="56420D55" w14:textId="77777777" w:rsidR="00841395" w:rsidRPr="00AC1A14" w:rsidRDefault="009B7611" w:rsidP="00ED50BF">
      <w:pPr>
        <w:spacing w:line="360" w:lineRule="auto"/>
        <w:ind w:firstLine="720"/>
        <w:jc w:val="both"/>
        <w:rPr>
          <w:rFonts w:ascii="Arial" w:hAnsi="Arial" w:cs="Arial"/>
        </w:rPr>
      </w:pPr>
      <w:r w:rsidRPr="009B7611">
        <w:rPr>
          <w:rFonts w:ascii="Arial" w:hAnsi="Arial" w:cs="Arial"/>
        </w:rPr>
        <w:t>In sum, while Glow to Go is still in its pre-launch phase, Excel has served as both a calculator and a compass. It has given structure to what began as a raw business idea and offered tools to test, adapt, and prepare for growth. Barrow et al. (2021) argue that the strength of a business plan lies not only in the vision but in the precision of its execution</w:t>
      </w:r>
      <w:r w:rsidR="00AC1E79" w:rsidRPr="00AC1A14">
        <w:rPr>
          <w:rFonts w:ascii="Arial" w:hAnsi="Arial" w:cs="Arial"/>
        </w:rPr>
        <w:t xml:space="preserve">, </w:t>
      </w:r>
      <w:r w:rsidRPr="009B7611">
        <w:rPr>
          <w:rFonts w:ascii="Arial" w:hAnsi="Arial" w:cs="Arial"/>
        </w:rPr>
        <w:t>and Excel makes that precision possible. Even with newer tools available, its reliability, adaptability, and low barrier to entry make it an essential component of modern digital literacy for entrepreneurs</w:t>
      </w:r>
    </w:p>
    <w:p w14:paraId="70B9F12D" w14:textId="77777777" w:rsidR="00841395" w:rsidRPr="00AC1A14" w:rsidRDefault="00841395" w:rsidP="009B7611">
      <w:pPr>
        <w:rPr>
          <w:rFonts w:ascii="Arial" w:hAnsi="Arial" w:cs="Arial"/>
        </w:rPr>
      </w:pPr>
    </w:p>
    <w:p w14:paraId="552B0636" w14:textId="3F065364" w:rsidR="009B7611" w:rsidRPr="00AC1A14" w:rsidRDefault="009B7611" w:rsidP="009B7611">
      <w:pPr>
        <w:rPr>
          <w:rFonts w:ascii="Arial" w:hAnsi="Arial" w:cs="Arial"/>
        </w:rPr>
      </w:pPr>
      <w:r w:rsidRPr="009B7611">
        <w:rPr>
          <w:rFonts w:ascii="Arial" w:hAnsi="Arial" w:cs="Arial"/>
        </w:rPr>
        <w:t>.</w:t>
      </w:r>
    </w:p>
    <w:p w14:paraId="4D18D927" w14:textId="0D674D6C" w:rsidR="00CB5FC9" w:rsidRPr="009B7611" w:rsidRDefault="00EE653C" w:rsidP="00841395">
      <w:pPr>
        <w:jc w:val="center"/>
        <w:rPr>
          <w:rFonts w:ascii="Arial" w:hAnsi="Arial" w:cs="Arial"/>
        </w:rPr>
      </w:pPr>
      <w:r w:rsidRPr="00AC1A14">
        <w:rPr>
          <w:rFonts w:ascii="Arial" w:hAnsi="Arial" w:cs="Arial"/>
        </w:rPr>
        <w:object w:dxaOrig="1486" w:dyaOrig="994" w14:anchorId="4F11D7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74.3pt;height:49.85pt" o:ole="">
            <v:imagedata r:id="rId19" o:title=""/>
          </v:shape>
          <o:OLEObject Type="Embed" ProgID="Excel.Sheet.12" ShapeID="_x0000_i1038" DrawAspect="Icon" ObjectID="_1811958728" r:id="rId20"/>
        </w:object>
      </w:r>
    </w:p>
    <w:p w14:paraId="6E9A1710" w14:textId="41CA7305" w:rsidR="009B7611" w:rsidRPr="009B7611" w:rsidRDefault="009B7611" w:rsidP="009B7611">
      <w:pPr>
        <w:rPr>
          <w:rFonts w:ascii="Arial" w:hAnsi="Arial" w:cs="Arial"/>
        </w:rPr>
      </w:pPr>
    </w:p>
    <w:p w14:paraId="14644D86" w14:textId="77777777" w:rsidR="00841395" w:rsidRPr="00AC1A14" w:rsidRDefault="00841395">
      <w:pPr>
        <w:rPr>
          <w:rFonts w:ascii="Arial" w:hAnsi="Arial" w:cs="Arial"/>
          <w:b/>
          <w:bCs/>
        </w:rPr>
      </w:pPr>
      <w:r w:rsidRPr="00AC1A14">
        <w:rPr>
          <w:rFonts w:ascii="Arial" w:hAnsi="Arial" w:cs="Arial"/>
          <w:b/>
          <w:bCs/>
        </w:rPr>
        <w:br w:type="page"/>
      </w:r>
    </w:p>
    <w:p w14:paraId="2873ABA9" w14:textId="7E47328D" w:rsidR="009B7611" w:rsidRDefault="009B7611" w:rsidP="009B7611">
      <w:pPr>
        <w:rPr>
          <w:rFonts w:ascii="Arial" w:hAnsi="Arial" w:cs="Arial"/>
          <w:b/>
          <w:bCs/>
        </w:rPr>
      </w:pPr>
      <w:r w:rsidRPr="009B7611">
        <w:rPr>
          <w:rFonts w:ascii="Arial" w:hAnsi="Arial" w:cs="Arial"/>
          <w:b/>
          <w:bCs/>
        </w:rPr>
        <w:lastRenderedPageBreak/>
        <w:t>Reference</w:t>
      </w:r>
      <w:r w:rsidR="00B20F5E" w:rsidRPr="00AC1A14">
        <w:rPr>
          <w:rFonts w:ascii="Arial" w:hAnsi="Arial" w:cs="Arial"/>
          <w:b/>
          <w:bCs/>
        </w:rPr>
        <w:t xml:space="preserve"> List</w:t>
      </w:r>
      <w:r w:rsidR="00ED50BF">
        <w:rPr>
          <w:rFonts w:ascii="Arial" w:hAnsi="Arial" w:cs="Arial"/>
          <w:b/>
          <w:bCs/>
        </w:rPr>
        <w:t>:</w:t>
      </w:r>
    </w:p>
    <w:p w14:paraId="0BFCDD8E" w14:textId="77777777" w:rsidR="00ED50BF" w:rsidRDefault="00ED50BF" w:rsidP="009B7611">
      <w:pPr>
        <w:rPr>
          <w:rFonts w:ascii="Arial" w:hAnsi="Arial" w:cs="Arial"/>
          <w:b/>
          <w:bCs/>
        </w:rPr>
      </w:pPr>
    </w:p>
    <w:p w14:paraId="7C959468" w14:textId="77777777" w:rsidR="00ED50BF" w:rsidRPr="009B7611" w:rsidRDefault="00ED50BF" w:rsidP="009B7611">
      <w:pPr>
        <w:rPr>
          <w:rFonts w:ascii="Arial" w:hAnsi="Arial" w:cs="Arial"/>
        </w:rPr>
      </w:pPr>
    </w:p>
    <w:p w14:paraId="788D4D21" w14:textId="77777777" w:rsidR="009B7611" w:rsidRPr="009B7611" w:rsidRDefault="009B7611" w:rsidP="009B7611">
      <w:pPr>
        <w:rPr>
          <w:rFonts w:ascii="Arial" w:hAnsi="Arial" w:cs="Arial"/>
        </w:rPr>
      </w:pPr>
      <w:r w:rsidRPr="009B7611">
        <w:rPr>
          <w:rFonts w:ascii="Arial" w:hAnsi="Arial" w:cs="Arial"/>
        </w:rPr>
        <w:t xml:space="preserve">Adams, J. (2022). ‘80% of jobs require Excel’. </w:t>
      </w:r>
      <w:r w:rsidRPr="009B7611">
        <w:rPr>
          <w:rFonts w:ascii="Arial" w:hAnsi="Arial" w:cs="Arial"/>
          <w:i/>
          <w:iCs/>
        </w:rPr>
        <w:t>European Journal of Educational Research</w:t>
      </w:r>
      <w:r w:rsidRPr="009B7611">
        <w:rPr>
          <w:rFonts w:ascii="Arial" w:hAnsi="Arial" w:cs="Arial"/>
        </w:rPr>
        <w:t>, May.</w:t>
      </w:r>
    </w:p>
    <w:p w14:paraId="5FD4E9EA" w14:textId="77777777" w:rsidR="009B7611" w:rsidRPr="009B7611" w:rsidRDefault="009B7611" w:rsidP="009B7611">
      <w:pPr>
        <w:rPr>
          <w:rFonts w:ascii="Arial" w:hAnsi="Arial" w:cs="Arial"/>
        </w:rPr>
      </w:pPr>
      <w:r w:rsidRPr="009B7611">
        <w:rPr>
          <w:rFonts w:ascii="Arial" w:hAnsi="Arial" w:cs="Arial"/>
        </w:rPr>
        <w:t xml:space="preserve">Barrow, C., Barrow, P. and Brown, R. (2021). </w:t>
      </w:r>
      <w:r w:rsidRPr="009B7611">
        <w:rPr>
          <w:rFonts w:ascii="Arial" w:hAnsi="Arial" w:cs="Arial"/>
          <w:i/>
          <w:iCs/>
        </w:rPr>
        <w:t>The Business Plan Workbook: A Step-by-Step Guide to Creating and Developing a Successful Business</w:t>
      </w:r>
      <w:r w:rsidRPr="009B7611">
        <w:rPr>
          <w:rFonts w:ascii="Arial" w:hAnsi="Arial" w:cs="Arial"/>
        </w:rPr>
        <w:t>. 10th ed. London: Kogan Page.</w:t>
      </w:r>
    </w:p>
    <w:p w14:paraId="061EAAD3" w14:textId="77777777" w:rsidR="009B7611" w:rsidRPr="009B7611" w:rsidRDefault="009B7611" w:rsidP="009B7611">
      <w:pPr>
        <w:rPr>
          <w:rFonts w:ascii="Arial" w:hAnsi="Arial" w:cs="Arial"/>
        </w:rPr>
      </w:pPr>
      <w:r w:rsidRPr="009B7611">
        <w:rPr>
          <w:rFonts w:ascii="Arial" w:hAnsi="Arial" w:cs="Arial"/>
        </w:rPr>
        <w:t xml:space="preserve">Broman, K.W. and Woo, K.H. (2018). ‘Data Organization in Spreadsheets’. </w:t>
      </w:r>
      <w:r w:rsidRPr="009B7611">
        <w:rPr>
          <w:rFonts w:ascii="Arial" w:hAnsi="Arial" w:cs="Arial"/>
          <w:i/>
          <w:iCs/>
        </w:rPr>
        <w:t>The American Statistician</w:t>
      </w:r>
      <w:r w:rsidRPr="009B7611">
        <w:rPr>
          <w:rFonts w:ascii="Arial" w:hAnsi="Arial" w:cs="Arial"/>
        </w:rPr>
        <w:t>, 72(1), pp.2–10.</w:t>
      </w:r>
    </w:p>
    <w:p w14:paraId="618C1AF2" w14:textId="77777777" w:rsidR="009B7611" w:rsidRPr="009B7611" w:rsidRDefault="009B7611" w:rsidP="009B7611">
      <w:pPr>
        <w:rPr>
          <w:rFonts w:ascii="Arial" w:hAnsi="Arial" w:cs="Arial"/>
        </w:rPr>
      </w:pPr>
      <w:r w:rsidRPr="009B7611">
        <w:rPr>
          <w:rFonts w:ascii="Arial" w:hAnsi="Arial" w:cs="Arial"/>
        </w:rPr>
        <w:t xml:space="preserve">ERIC (2022). ‘Survey of Analytics Spreadsheet Tool Adoption’. </w:t>
      </w:r>
      <w:r w:rsidRPr="009B7611">
        <w:rPr>
          <w:rFonts w:ascii="Arial" w:hAnsi="Arial" w:cs="Arial"/>
          <w:i/>
          <w:iCs/>
        </w:rPr>
        <w:t>ERIC Papers</w:t>
      </w:r>
      <w:r w:rsidRPr="009B7611">
        <w:rPr>
          <w:rFonts w:ascii="Arial" w:hAnsi="Arial" w:cs="Arial"/>
        </w:rPr>
        <w:t>, June.</w:t>
      </w:r>
    </w:p>
    <w:p w14:paraId="56F29BE4" w14:textId="77777777" w:rsidR="009B7611" w:rsidRPr="009B7611" w:rsidRDefault="009B7611" w:rsidP="009B7611">
      <w:pPr>
        <w:rPr>
          <w:rFonts w:ascii="Arial" w:hAnsi="Arial" w:cs="Arial"/>
        </w:rPr>
      </w:pPr>
      <w:r w:rsidRPr="009B7611">
        <w:rPr>
          <w:rFonts w:ascii="Arial" w:hAnsi="Arial" w:cs="Arial"/>
        </w:rPr>
        <w:t xml:space="preserve">Investopedia (2015). ‘The Importance of Excel in Business’. </w:t>
      </w:r>
      <w:r w:rsidRPr="009B7611">
        <w:rPr>
          <w:rFonts w:ascii="Arial" w:hAnsi="Arial" w:cs="Arial"/>
          <w:i/>
          <w:iCs/>
        </w:rPr>
        <w:t>Investopedia</w:t>
      </w:r>
      <w:r w:rsidRPr="009B7611">
        <w:rPr>
          <w:rFonts w:ascii="Arial" w:hAnsi="Arial" w:cs="Arial"/>
        </w:rPr>
        <w:t>. [online] Available at: https://www.investopedia.com/articles/investing/022216/importance-microsoft-excel-business.asp [Accessed 20 June 2025].</w:t>
      </w:r>
    </w:p>
    <w:p w14:paraId="34535BD6" w14:textId="77777777" w:rsidR="009B7611" w:rsidRPr="009B7611" w:rsidRDefault="009B7611" w:rsidP="009B7611">
      <w:pPr>
        <w:rPr>
          <w:rFonts w:ascii="Arial" w:hAnsi="Arial" w:cs="Arial"/>
        </w:rPr>
      </w:pPr>
      <w:r w:rsidRPr="009B7611">
        <w:rPr>
          <w:rFonts w:ascii="Arial" w:hAnsi="Arial" w:cs="Arial"/>
        </w:rPr>
        <w:t xml:space="preserve">Kumar, D. and </w:t>
      </w:r>
      <w:proofErr w:type="spellStart"/>
      <w:r w:rsidRPr="009B7611">
        <w:rPr>
          <w:rFonts w:ascii="Arial" w:hAnsi="Arial" w:cs="Arial"/>
        </w:rPr>
        <w:t>Zhmke</w:t>
      </w:r>
      <w:proofErr w:type="spellEnd"/>
      <w:r w:rsidRPr="009B7611">
        <w:rPr>
          <w:rFonts w:ascii="Arial" w:hAnsi="Arial" w:cs="Arial"/>
        </w:rPr>
        <w:t xml:space="preserve">, A. (2023). ‘Excel: Transforming Digital Landscapes’. </w:t>
      </w:r>
      <w:r w:rsidRPr="009B7611">
        <w:rPr>
          <w:rFonts w:ascii="Arial" w:hAnsi="Arial" w:cs="Arial"/>
          <w:i/>
          <w:iCs/>
        </w:rPr>
        <w:t>LinkedIn</w:t>
      </w:r>
      <w:r w:rsidRPr="009B7611">
        <w:rPr>
          <w:rFonts w:ascii="Arial" w:hAnsi="Arial" w:cs="Arial"/>
        </w:rPr>
        <w:t>.</w:t>
      </w:r>
    </w:p>
    <w:p w14:paraId="7CF6EAB1" w14:textId="33690BC8" w:rsidR="009B7611" w:rsidRPr="009B7611" w:rsidRDefault="009B7611" w:rsidP="009B7611">
      <w:pPr>
        <w:rPr>
          <w:rFonts w:ascii="Arial" w:hAnsi="Arial" w:cs="Arial"/>
        </w:rPr>
      </w:pPr>
      <w:r w:rsidRPr="009B7611">
        <w:rPr>
          <w:rFonts w:ascii="Arial" w:hAnsi="Arial" w:cs="Arial"/>
        </w:rPr>
        <w:t xml:space="preserve">Mohammadi, A., Riahi, M. and Benali, A. (2024). ‘Dynamic Cash Flow Management Under Uncertainty’. </w:t>
      </w:r>
      <w:r w:rsidRPr="009B7611">
        <w:rPr>
          <w:rFonts w:ascii="Arial" w:hAnsi="Arial" w:cs="Arial"/>
          <w:i/>
          <w:iCs/>
        </w:rPr>
        <w:t>International Journal of Applied Research in Management Economics and Accounting</w:t>
      </w:r>
      <w:r w:rsidRPr="009B7611">
        <w:rPr>
          <w:rFonts w:ascii="Arial" w:hAnsi="Arial" w:cs="Arial"/>
        </w:rPr>
        <w:t>, 2(1), pp.23–3</w:t>
      </w:r>
      <w:r w:rsidRPr="00AC1A14">
        <w:rPr>
          <w:rFonts w:ascii="Arial" w:hAnsi="Arial" w:cs="Arial"/>
        </w:rPr>
        <w:t>4</w:t>
      </w:r>
    </w:p>
    <w:p w14:paraId="5A1B7072" w14:textId="77777777" w:rsidR="00E52C43" w:rsidRPr="00AC1A14" w:rsidRDefault="00E52C43" w:rsidP="00E52C43">
      <w:pPr>
        <w:rPr>
          <w:rFonts w:ascii="Arial" w:hAnsi="Arial" w:cs="Arial"/>
        </w:rPr>
      </w:pPr>
    </w:p>
    <w:p w14:paraId="0F5CA5BA" w14:textId="77777777" w:rsidR="00EF1CB9" w:rsidRPr="00AC1A14" w:rsidRDefault="00EF1CB9">
      <w:pPr>
        <w:rPr>
          <w:rFonts w:ascii="Arial" w:hAnsi="Arial" w:cs="Arial"/>
        </w:rPr>
      </w:pPr>
    </w:p>
    <w:sectPr w:rsidR="00EF1CB9" w:rsidRPr="00AC1A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4E434" w14:textId="77777777" w:rsidR="00DB7816" w:rsidRDefault="00DB7816" w:rsidP="003A1A9E">
      <w:pPr>
        <w:spacing w:after="0" w:line="240" w:lineRule="auto"/>
      </w:pPr>
      <w:r>
        <w:separator/>
      </w:r>
    </w:p>
  </w:endnote>
  <w:endnote w:type="continuationSeparator" w:id="0">
    <w:p w14:paraId="4171E1A3" w14:textId="77777777" w:rsidR="00DB7816" w:rsidRDefault="00DB7816" w:rsidP="003A1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1D4A8" w14:textId="77777777" w:rsidR="00DB7816" w:rsidRDefault="00DB7816" w:rsidP="003A1A9E">
      <w:pPr>
        <w:spacing w:after="0" w:line="240" w:lineRule="auto"/>
      </w:pPr>
      <w:r>
        <w:separator/>
      </w:r>
    </w:p>
  </w:footnote>
  <w:footnote w:type="continuationSeparator" w:id="0">
    <w:p w14:paraId="2F390B2C" w14:textId="77777777" w:rsidR="00DB7816" w:rsidRDefault="00DB7816" w:rsidP="003A1A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CB9"/>
    <w:rsid w:val="000010BB"/>
    <w:rsid w:val="00010A14"/>
    <w:rsid w:val="000275CE"/>
    <w:rsid w:val="0003392F"/>
    <w:rsid w:val="00044CFC"/>
    <w:rsid w:val="00050F05"/>
    <w:rsid w:val="00055729"/>
    <w:rsid w:val="000559D3"/>
    <w:rsid w:val="00074BA1"/>
    <w:rsid w:val="000811A0"/>
    <w:rsid w:val="00086087"/>
    <w:rsid w:val="000A038E"/>
    <w:rsid w:val="000A74E4"/>
    <w:rsid w:val="000D553F"/>
    <w:rsid w:val="000D63CA"/>
    <w:rsid w:val="000E20AA"/>
    <w:rsid w:val="000E2F73"/>
    <w:rsid w:val="0010575A"/>
    <w:rsid w:val="00114598"/>
    <w:rsid w:val="00120961"/>
    <w:rsid w:val="00162C93"/>
    <w:rsid w:val="00166849"/>
    <w:rsid w:val="00191699"/>
    <w:rsid w:val="001A14E1"/>
    <w:rsid w:val="001A6B4A"/>
    <w:rsid w:val="001B6B9D"/>
    <w:rsid w:val="001F1755"/>
    <w:rsid w:val="00233DE6"/>
    <w:rsid w:val="00254B2A"/>
    <w:rsid w:val="00257F8B"/>
    <w:rsid w:val="00275E76"/>
    <w:rsid w:val="002805F3"/>
    <w:rsid w:val="0028110E"/>
    <w:rsid w:val="0028333E"/>
    <w:rsid w:val="00285420"/>
    <w:rsid w:val="0029583B"/>
    <w:rsid w:val="002A26EB"/>
    <w:rsid w:val="002B3895"/>
    <w:rsid w:val="002B618A"/>
    <w:rsid w:val="002E6218"/>
    <w:rsid w:val="002F0C3C"/>
    <w:rsid w:val="0030089B"/>
    <w:rsid w:val="003603F5"/>
    <w:rsid w:val="003809C4"/>
    <w:rsid w:val="00381A6D"/>
    <w:rsid w:val="003A1A9E"/>
    <w:rsid w:val="003B3CCD"/>
    <w:rsid w:val="003C14DC"/>
    <w:rsid w:val="003D7C5C"/>
    <w:rsid w:val="00411E1D"/>
    <w:rsid w:val="00413D44"/>
    <w:rsid w:val="00445BC8"/>
    <w:rsid w:val="0044694A"/>
    <w:rsid w:val="00454E6B"/>
    <w:rsid w:val="004574EF"/>
    <w:rsid w:val="00461DE4"/>
    <w:rsid w:val="00465BAA"/>
    <w:rsid w:val="00470AD0"/>
    <w:rsid w:val="00472434"/>
    <w:rsid w:val="00486738"/>
    <w:rsid w:val="004C3B14"/>
    <w:rsid w:val="004E0598"/>
    <w:rsid w:val="0051231A"/>
    <w:rsid w:val="005143D3"/>
    <w:rsid w:val="0052790E"/>
    <w:rsid w:val="00537F04"/>
    <w:rsid w:val="005511E8"/>
    <w:rsid w:val="00552384"/>
    <w:rsid w:val="00554391"/>
    <w:rsid w:val="00557B06"/>
    <w:rsid w:val="005908B7"/>
    <w:rsid w:val="005A264F"/>
    <w:rsid w:val="005F63CB"/>
    <w:rsid w:val="00656D87"/>
    <w:rsid w:val="00667966"/>
    <w:rsid w:val="00672E8D"/>
    <w:rsid w:val="00674BA9"/>
    <w:rsid w:val="00675CA0"/>
    <w:rsid w:val="00686AE5"/>
    <w:rsid w:val="006C3B91"/>
    <w:rsid w:val="006D46F0"/>
    <w:rsid w:val="006D57CA"/>
    <w:rsid w:val="006F3C2F"/>
    <w:rsid w:val="006F6816"/>
    <w:rsid w:val="007106D8"/>
    <w:rsid w:val="00714169"/>
    <w:rsid w:val="00721A54"/>
    <w:rsid w:val="007615FB"/>
    <w:rsid w:val="0077223C"/>
    <w:rsid w:val="007D0132"/>
    <w:rsid w:val="007D488A"/>
    <w:rsid w:val="007E02A1"/>
    <w:rsid w:val="007E2471"/>
    <w:rsid w:val="00805DD6"/>
    <w:rsid w:val="00806512"/>
    <w:rsid w:val="00821CD3"/>
    <w:rsid w:val="00841395"/>
    <w:rsid w:val="008440A3"/>
    <w:rsid w:val="008456FE"/>
    <w:rsid w:val="00845971"/>
    <w:rsid w:val="00851F41"/>
    <w:rsid w:val="00860B2C"/>
    <w:rsid w:val="008D073F"/>
    <w:rsid w:val="008D3C90"/>
    <w:rsid w:val="008F756C"/>
    <w:rsid w:val="00914CC8"/>
    <w:rsid w:val="00920669"/>
    <w:rsid w:val="00947DCD"/>
    <w:rsid w:val="00965F63"/>
    <w:rsid w:val="00967B3A"/>
    <w:rsid w:val="009B7611"/>
    <w:rsid w:val="009E271C"/>
    <w:rsid w:val="00A05A78"/>
    <w:rsid w:val="00A06D7F"/>
    <w:rsid w:val="00A44CDA"/>
    <w:rsid w:val="00A8033D"/>
    <w:rsid w:val="00A86843"/>
    <w:rsid w:val="00AA144F"/>
    <w:rsid w:val="00AA1A12"/>
    <w:rsid w:val="00AA5112"/>
    <w:rsid w:val="00AC1A14"/>
    <w:rsid w:val="00AC1E79"/>
    <w:rsid w:val="00AF4043"/>
    <w:rsid w:val="00B1788E"/>
    <w:rsid w:val="00B20F5E"/>
    <w:rsid w:val="00B3215C"/>
    <w:rsid w:val="00B42BDF"/>
    <w:rsid w:val="00B77BC3"/>
    <w:rsid w:val="00B9490B"/>
    <w:rsid w:val="00BC08A7"/>
    <w:rsid w:val="00C006C7"/>
    <w:rsid w:val="00C06CDC"/>
    <w:rsid w:val="00C07A23"/>
    <w:rsid w:val="00C14CBB"/>
    <w:rsid w:val="00C44B0D"/>
    <w:rsid w:val="00C53A6D"/>
    <w:rsid w:val="00C679D1"/>
    <w:rsid w:val="00C75894"/>
    <w:rsid w:val="00C95E05"/>
    <w:rsid w:val="00CA1167"/>
    <w:rsid w:val="00CB4536"/>
    <w:rsid w:val="00CB5FC9"/>
    <w:rsid w:val="00CC0FF8"/>
    <w:rsid w:val="00CC3E0D"/>
    <w:rsid w:val="00CF011D"/>
    <w:rsid w:val="00D01734"/>
    <w:rsid w:val="00D01D1C"/>
    <w:rsid w:val="00D05A2B"/>
    <w:rsid w:val="00D12893"/>
    <w:rsid w:val="00D20468"/>
    <w:rsid w:val="00D247B3"/>
    <w:rsid w:val="00D35B8F"/>
    <w:rsid w:val="00D46307"/>
    <w:rsid w:val="00DB7816"/>
    <w:rsid w:val="00DC30CC"/>
    <w:rsid w:val="00DC5E11"/>
    <w:rsid w:val="00DD50CE"/>
    <w:rsid w:val="00DD6AC7"/>
    <w:rsid w:val="00E0694C"/>
    <w:rsid w:val="00E17612"/>
    <w:rsid w:val="00E1777E"/>
    <w:rsid w:val="00E17BB2"/>
    <w:rsid w:val="00E52C43"/>
    <w:rsid w:val="00E72E81"/>
    <w:rsid w:val="00E738EE"/>
    <w:rsid w:val="00E90266"/>
    <w:rsid w:val="00E90F23"/>
    <w:rsid w:val="00ED50BF"/>
    <w:rsid w:val="00EE2730"/>
    <w:rsid w:val="00EE653C"/>
    <w:rsid w:val="00EF1CB9"/>
    <w:rsid w:val="00F04F08"/>
    <w:rsid w:val="00F13E53"/>
    <w:rsid w:val="00F254C3"/>
    <w:rsid w:val="00F30C60"/>
    <w:rsid w:val="00F3488B"/>
    <w:rsid w:val="00F44329"/>
    <w:rsid w:val="00F46877"/>
    <w:rsid w:val="00F63EE1"/>
    <w:rsid w:val="00F75F8A"/>
    <w:rsid w:val="00F953C5"/>
    <w:rsid w:val="00FB5CAB"/>
    <w:rsid w:val="00FC7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10D9B"/>
  <w15:chartTrackingRefBased/>
  <w15:docId w15:val="{58F42DF9-0FDD-41D1-9975-B8E57BE24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961"/>
  </w:style>
  <w:style w:type="paragraph" w:styleId="Heading1">
    <w:name w:val="heading 1"/>
    <w:basedOn w:val="Normal"/>
    <w:next w:val="Normal"/>
    <w:link w:val="Heading1Char"/>
    <w:uiPriority w:val="9"/>
    <w:qFormat/>
    <w:rsid w:val="00EF1C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1C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1C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1C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1C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1C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C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C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C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C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1C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1C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1C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1C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1C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1C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1C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1CB9"/>
    <w:rPr>
      <w:rFonts w:eastAsiaTheme="majorEastAsia" w:cstheme="majorBidi"/>
      <w:color w:val="272727" w:themeColor="text1" w:themeTint="D8"/>
    </w:rPr>
  </w:style>
  <w:style w:type="paragraph" w:styleId="Title">
    <w:name w:val="Title"/>
    <w:basedOn w:val="Normal"/>
    <w:next w:val="Normal"/>
    <w:link w:val="TitleChar"/>
    <w:uiPriority w:val="10"/>
    <w:qFormat/>
    <w:rsid w:val="00EF1C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C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1C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C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CB9"/>
    <w:pPr>
      <w:spacing w:before="160"/>
      <w:jc w:val="center"/>
    </w:pPr>
    <w:rPr>
      <w:i/>
      <w:iCs/>
      <w:color w:val="404040" w:themeColor="text1" w:themeTint="BF"/>
    </w:rPr>
  </w:style>
  <w:style w:type="character" w:customStyle="1" w:styleId="QuoteChar">
    <w:name w:val="Quote Char"/>
    <w:basedOn w:val="DefaultParagraphFont"/>
    <w:link w:val="Quote"/>
    <w:uiPriority w:val="29"/>
    <w:rsid w:val="00EF1CB9"/>
    <w:rPr>
      <w:i/>
      <w:iCs/>
      <w:color w:val="404040" w:themeColor="text1" w:themeTint="BF"/>
    </w:rPr>
  </w:style>
  <w:style w:type="paragraph" w:styleId="ListParagraph">
    <w:name w:val="List Paragraph"/>
    <w:basedOn w:val="Normal"/>
    <w:uiPriority w:val="34"/>
    <w:qFormat/>
    <w:rsid w:val="00EF1CB9"/>
    <w:pPr>
      <w:ind w:left="720"/>
      <w:contextualSpacing/>
    </w:pPr>
  </w:style>
  <w:style w:type="character" w:styleId="IntenseEmphasis">
    <w:name w:val="Intense Emphasis"/>
    <w:basedOn w:val="DefaultParagraphFont"/>
    <w:uiPriority w:val="21"/>
    <w:qFormat/>
    <w:rsid w:val="00EF1CB9"/>
    <w:rPr>
      <w:i/>
      <w:iCs/>
      <w:color w:val="0F4761" w:themeColor="accent1" w:themeShade="BF"/>
    </w:rPr>
  </w:style>
  <w:style w:type="paragraph" w:styleId="IntenseQuote">
    <w:name w:val="Intense Quote"/>
    <w:basedOn w:val="Normal"/>
    <w:next w:val="Normal"/>
    <w:link w:val="IntenseQuoteChar"/>
    <w:uiPriority w:val="30"/>
    <w:qFormat/>
    <w:rsid w:val="00EF1C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1CB9"/>
    <w:rPr>
      <w:i/>
      <w:iCs/>
      <w:color w:val="0F4761" w:themeColor="accent1" w:themeShade="BF"/>
    </w:rPr>
  </w:style>
  <w:style w:type="character" w:styleId="IntenseReference">
    <w:name w:val="Intense Reference"/>
    <w:basedOn w:val="DefaultParagraphFont"/>
    <w:uiPriority w:val="32"/>
    <w:qFormat/>
    <w:rsid w:val="00EF1CB9"/>
    <w:rPr>
      <w:b/>
      <w:bCs/>
      <w:smallCaps/>
      <w:color w:val="0F4761" w:themeColor="accent1" w:themeShade="BF"/>
      <w:spacing w:val="5"/>
    </w:rPr>
  </w:style>
  <w:style w:type="paragraph" w:styleId="Header">
    <w:name w:val="header"/>
    <w:basedOn w:val="Normal"/>
    <w:link w:val="HeaderChar"/>
    <w:uiPriority w:val="99"/>
    <w:unhideWhenUsed/>
    <w:rsid w:val="003A1A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A9E"/>
  </w:style>
  <w:style w:type="paragraph" w:styleId="Footer">
    <w:name w:val="footer"/>
    <w:basedOn w:val="Normal"/>
    <w:link w:val="FooterChar"/>
    <w:uiPriority w:val="99"/>
    <w:unhideWhenUsed/>
    <w:rsid w:val="003A1A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A9E"/>
  </w:style>
  <w:style w:type="character" w:styleId="Hyperlink">
    <w:name w:val="Hyperlink"/>
    <w:basedOn w:val="DefaultParagraphFont"/>
    <w:uiPriority w:val="99"/>
    <w:unhideWhenUsed/>
    <w:rsid w:val="009B7611"/>
    <w:rPr>
      <w:color w:val="467886" w:themeColor="hyperlink"/>
      <w:u w:val="single"/>
    </w:rPr>
  </w:style>
  <w:style w:type="character" w:styleId="UnresolvedMention">
    <w:name w:val="Unresolved Mention"/>
    <w:basedOn w:val="DefaultParagraphFont"/>
    <w:uiPriority w:val="99"/>
    <w:semiHidden/>
    <w:unhideWhenUsed/>
    <w:rsid w:val="009B76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86476">
      <w:bodyDiv w:val="1"/>
      <w:marLeft w:val="0"/>
      <w:marRight w:val="0"/>
      <w:marTop w:val="0"/>
      <w:marBottom w:val="0"/>
      <w:divBdr>
        <w:top w:val="none" w:sz="0" w:space="0" w:color="auto"/>
        <w:left w:val="none" w:sz="0" w:space="0" w:color="auto"/>
        <w:bottom w:val="none" w:sz="0" w:space="0" w:color="auto"/>
        <w:right w:val="none" w:sz="0" w:space="0" w:color="auto"/>
      </w:divBdr>
    </w:div>
    <w:div w:id="1035352628">
      <w:bodyDiv w:val="1"/>
      <w:marLeft w:val="0"/>
      <w:marRight w:val="0"/>
      <w:marTop w:val="0"/>
      <w:marBottom w:val="0"/>
      <w:divBdr>
        <w:top w:val="none" w:sz="0" w:space="0" w:color="auto"/>
        <w:left w:val="none" w:sz="0" w:space="0" w:color="auto"/>
        <w:bottom w:val="none" w:sz="0" w:space="0" w:color="auto"/>
        <w:right w:val="none" w:sz="0" w:space="0" w:color="auto"/>
      </w:divBdr>
    </w:div>
    <w:div w:id="1110660005">
      <w:bodyDiv w:val="1"/>
      <w:marLeft w:val="0"/>
      <w:marRight w:val="0"/>
      <w:marTop w:val="0"/>
      <w:marBottom w:val="0"/>
      <w:divBdr>
        <w:top w:val="none" w:sz="0" w:space="0" w:color="auto"/>
        <w:left w:val="none" w:sz="0" w:space="0" w:color="auto"/>
        <w:bottom w:val="none" w:sz="0" w:space="0" w:color="auto"/>
        <w:right w:val="none" w:sz="0" w:space="0" w:color="auto"/>
      </w:divBdr>
    </w:div>
    <w:div w:id="1259287430">
      <w:bodyDiv w:val="1"/>
      <w:marLeft w:val="0"/>
      <w:marRight w:val="0"/>
      <w:marTop w:val="0"/>
      <w:marBottom w:val="0"/>
      <w:divBdr>
        <w:top w:val="none" w:sz="0" w:space="0" w:color="auto"/>
        <w:left w:val="none" w:sz="0" w:space="0" w:color="auto"/>
        <w:bottom w:val="none" w:sz="0" w:space="0" w:color="auto"/>
        <w:right w:val="none" w:sz="0" w:space="0" w:color="auto"/>
      </w:divBdr>
    </w:div>
    <w:div w:id="1287851676">
      <w:bodyDiv w:val="1"/>
      <w:marLeft w:val="0"/>
      <w:marRight w:val="0"/>
      <w:marTop w:val="0"/>
      <w:marBottom w:val="0"/>
      <w:divBdr>
        <w:top w:val="none" w:sz="0" w:space="0" w:color="auto"/>
        <w:left w:val="none" w:sz="0" w:space="0" w:color="auto"/>
        <w:bottom w:val="none" w:sz="0" w:space="0" w:color="auto"/>
        <w:right w:val="none" w:sz="0" w:space="0" w:color="auto"/>
      </w:divBdr>
    </w:div>
    <w:div w:id="1382631438">
      <w:bodyDiv w:val="1"/>
      <w:marLeft w:val="0"/>
      <w:marRight w:val="0"/>
      <w:marTop w:val="0"/>
      <w:marBottom w:val="0"/>
      <w:divBdr>
        <w:top w:val="none" w:sz="0" w:space="0" w:color="auto"/>
        <w:left w:val="none" w:sz="0" w:space="0" w:color="auto"/>
        <w:bottom w:val="none" w:sz="0" w:space="0" w:color="auto"/>
        <w:right w:val="none" w:sz="0" w:space="0" w:color="auto"/>
      </w:divBdr>
    </w:div>
    <w:div w:id="1467433562">
      <w:bodyDiv w:val="1"/>
      <w:marLeft w:val="0"/>
      <w:marRight w:val="0"/>
      <w:marTop w:val="0"/>
      <w:marBottom w:val="0"/>
      <w:divBdr>
        <w:top w:val="none" w:sz="0" w:space="0" w:color="auto"/>
        <w:left w:val="none" w:sz="0" w:space="0" w:color="auto"/>
        <w:bottom w:val="none" w:sz="0" w:space="0" w:color="auto"/>
        <w:right w:val="none" w:sz="0" w:space="0" w:color="auto"/>
      </w:divBdr>
    </w:div>
    <w:div w:id="1736927130">
      <w:bodyDiv w:val="1"/>
      <w:marLeft w:val="0"/>
      <w:marRight w:val="0"/>
      <w:marTop w:val="0"/>
      <w:marBottom w:val="0"/>
      <w:divBdr>
        <w:top w:val="none" w:sz="0" w:space="0" w:color="auto"/>
        <w:left w:val="none" w:sz="0" w:space="0" w:color="auto"/>
        <w:bottom w:val="none" w:sz="0" w:space="0" w:color="auto"/>
        <w:right w:val="none" w:sz="0" w:space="0" w:color="auto"/>
      </w:divBdr>
    </w:div>
    <w:div w:id="2039547833">
      <w:bodyDiv w:val="1"/>
      <w:marLeft w:val="0"/>
      <w:marRight w:val="0"/>
      <w:marTop w:val="0"/>
      <w:marBottom w:val="0"/>
      <w:divBdr>
        <w:top w:val="none" w:sz="0" w:space="0" w:color="auto"/>
        <w:left w:val="none" w:sz="0" w:space="0" w:color="auto"/>
        <w:bottom w:val="none" w:sz="0" w:space="0" w:color="auto"/>
        <w:right w:val="none" w:sz="0" w:space="0" w:color="auto"/>
      </w:divBdr>
    </w:div>
    <w:div w:id="212600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glowtogo.my.canva.site/#hom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doi.org/10.1007/978-3-030-53914-6"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image" Target="media/image11.em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2B717-C54D-4EA3-B1FF-057E18D83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12</Pages>
  <Words>2300</Words>
  <Characters>13111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Tutuiu Florina</dc:creator>
  <cp:keywords/>
  <dc:description/>
  <cp:lastModifiedBy>Tutuiu Florina</cp:lastModifiedBy>
  <cp:revision>181</cp:revision>
  <dcterms:created xsi:type="dcterms:W3CDTF">2025-06-20T15:16:00Z</dcterms:created>
  <dcterms:modified xsi:type="dcterms:W3CDTF">2025-06-20T20:04:00Z</dcterms:modified>
</cp:coreProperties>
</file>