
<file path=[Content_Types].xml><?xml version="1.0" encoding="utf-8"?>
<Types xmlns="http://schemas.openxmlformats.org/package/2006/content-types">
  <Default Extension="xml" ContentType="application/xml"/>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1D8F6F1">
      <w:pPr>
        <w:spacing w:line="360" w:lineRule="auto"/>
        <w:jc w:val="both"/>
        <w:rPr>
          <w:rFonts w:ascii="Arial" w:hAnsi="Arial" w:cs="Arial"/>
          <w:b/>
          <w:bCs/>
        </w:rPr>
      </w:pPr>
      <w:bookmarkStart w:id="18" w:name="_GoBack"/>
      <w:bookmarkEnd w:id="18"/>
    </w:p>
    <w:p w14:paraId="786D52B1">
      <w:pPr>
        <w:spacing w:line="360" w:lineRule="auto"/>
        <w:jc w:val="center"/>
        <w:rPr>
          <w:rFonts w:ascii="Arial" w:hAnsi="Arial" w:cs="Arial"/>
        </w:rPr>
      </w:pPr>
      <w:r>
        <w:rPr>
          <w:rFonts w:ascii="Arial" w:hAnsi="Arial" w:cs="Arial"/>
          <w:lang w:eastAsia="en-GB"/>
        </w:rPr>
        <w:drawing>
          <wp:inline distT="0" distB="0" distL="0" distR="0">
            <wp:extent cx="2771775" cy="1080135"/>
            <wp:effectExtent l="0" t="0" r="0" b="5715"/>
            <wp:docPr id="973418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418081" name="Picture 1"/>
                    <pic:cNvPicPr>
                      <a:picLocks noChangeAspect="1"/>
                    </pic:cNvPicPr>
                  </pic:nvPicPr>
                  <pic:blipFill>
                    <a:blip r:embed="rId7"/>
                    <a:stretch>
                      <a:fillRect/>
                    </a:stretch>
                  </pic:blipFill>
                  <pic:spPr>
                    <a:xfrm>
                      <a:off x="0" y="0"/>
                      <a:ext cx="2907280" cy="1133222"/>
                    </a:xfrm>
                    <a:prstGeom prst="rect">
                      <a:avLst/>
                    </a:prstGeom>
                  </pic:spPr>
                </pic:pic>
              </a:graphicData>
            </a:graphic>
          </wp:inline>
        </w:drawing>
      </w:r>
    </w:p>
    <w:p w14:paraId="3B7599D6">
      <w:pPr>
        <w:spacing w:line="360" w:lineRule="auto"/>
        <w:jc w:val="center"/>
        <w:rPr>
          <w:rFonts w:ascii="Arial" w:hAnsi="Arial" w:cs="Arial"/>
          <w:sz w:val="32"/>
          <w:szCs w:val="32"/>
          <w:lang w:val="en-US"/>
        </w:rPr>
      </w:pPr>
      <w:r>
        <w:rPr>
          <w:rFonts w:ascii="Arial" w:hAnsi="Arial" w:cs="Arial"/>
          <w:sz w:val="32"/>
          <w:szCs w:val="32"/>
          <w:lang w:val="en-US"/>
        </w:rPr>
        <w:t>MASTER OF BUSINESS ADMINISTRATION</w:t>
      </w:r>
    </w:p>
    <w:p w14:paraId="299B878D">
      <w:pPr>
        <w:spacing w:line="360" w:lineRule="auto"/>
        <w:jc w:val="center"/>
        <w:rPr>
          <w:rFonts w:ascii="Arial" w:hAnsi="Arial" w:cs="Arial"/>
          <w:sz w:val="32"/>
          <w:szCs w:val="32"/>
          <w:lang w:val="en-US"/>
        </w:rPr>
      </w:pPr>
      <w:r>
        <w:rPr>
          <w:rFonts w:ascii="Arial" w:hAnsi="Arial" w:cs="Arial"/>
          <w:sz w:val="32"/>
          <w:szCs w:val="32"/>
          <w:lang w:val="en-US"/>
        </w:rPr>
        <w:t>Module: Human Capital Management</w:t>
      </w:r>
      <w:r>
        <w:rPr>
          <w:rFonts w:ascii="Arial" w:hAnsi="Arial" w:cs="Arial"/>
          <w:sz w:val="32"/>
          <w:szCs w:val="32"/>
          <w:lang w:val="en-US"/>
        </w:rPr>
        <w:br w:type="textWrapping"/>
      </w:r>
      <w:r>
        <w:rPr>
          <w:rFonts w:ascii="Arial" w:hAnsi="Arial" w:cs="Arial"/>
          <w:sz w:val="32"/>
          <w:szCs w:val="32"/>
          <w:lang w:val="en-US"/>
        </w:rPr>
        <w:t>Module Code: LCMB7023</w:t>
      </w:r>
    </w:p>
    <w:p w14:paraId="4EABF9C6">
      <w:pPr>
        <w:spacing w:line="360" w:lineRule="auto"/>
        <w:jc w:val="center"/>
        <w:rPr>
          <w:rFonts w:ascii="Arial" w:hAnsi="Arial" w:cs="Arial"/>
          <w:sz w:val="32"/>
          <w:szCs w:val="32"/>
          <w:lang w:val="en-US"/>
        </w:rPr>
      </w:pPr>
      <w:r>
        <w:rPr>
          <w:rFonts w:ascii="Arial" w:hAnsi="Arial" w:cs="Arial"/>
          <w:sz w:val="32"/>
          <w:szCs w:val="32"/>
          <w:lang w:val="en-US"/>
        </w:rPr>
        <w:t>Assessment Component 1: Individual Report</w:t>
      </w:r>
    </w:p>
    <w:p w14:paraId="3699FAB2">
      <w:pPr>
        <w:spacing w:line="360" w:lineRule="auto"/>
        <w:jc w:val="center"/>
        <w:rPr>
          <w:rFonts w:ascii="Arial" w:hAnsi="Arial" w:cs="Arial"/>
          <w:sz w:val="32"/>
          <w:szCs w:val="32"/>
          <w:lang w:val="en-US"/>
        </w:rPr>
      </w:pPr>
      <w:r>
        <w:rPr>
          <w:rFonts w:ascii="Arial" w:hAnsi="Arial" w:cs="Arial"/>
          <w:sz w:val="32"/>
          <w:szCs w:val="32"/>
          <w:lang w:val="en-US"/>
        </w:rPr>
        <w:t>Innovating Working Practices and Developing Talent at NexSpace Health Systems</w:t>
      </w:r>
    </w:p>
    <w:p w14:paraId="305441AE">
      <w:pPr>
        <w:spacing w:line="360" w:lineRule="auto"/>
        <w:jc w:val="center"/>
        <w:rPr>
          <w:rFonts w:ascii="Arial" w:hAnsi="Arial" w:cs="Arial"/>
          <w:sz w:val="32"/>
          <w:szCs w:val="32"/>
          <w:lang w:val="en-US"/>
        </w:rPr>
      </w:pPr>
      <w:r>
        <w:rPr>
          <w:rFonts w:ascii="Arial" w:hAnsi="Arial" w:cs="Arial"/>
          <w:sz w:val="32"/>
          <w:szCs w:val="32"/>
          <w:lang w:val="en-US"/>
        </w:rPr>
        <w:t>Student Name: Sejalben Keshwala</w:t>
      </w:r>
    </w:p>
    <w:p w14:paraId="10D96AB1">
      <w:pPr>
        <w:spacing w:line="360" w:lineRule="auto"/>
        <w:jc w:val="center"/>
        <w:rPr>
          <w:rFonts w:ascii="Arial" w:hAnsi="Arial" w:cs="Arial"/>
          <w:sz w:val="32"/>
          <w:szCs w:val="32"/>
          <w:lang w:val="en-US"/>
        </w:rPr>
      </w:pPr>
      <w:r>
        <w:rPr>
          <w:rFonts w:ascii="Arial" w:hAnsi="Arial" w:cs="Arial"/>
          <w:sz w:val="32"/>
          <w:szCs w:val="32"/>
          <w:lang w:val="en-US"/>
        </w:rPr>
        <w:t xml:space="preserve"> Student id: 2612433</w:t>
      </w:r>
    </w:p>
    <w:p w14:paraId="669278A8">
      <w:pPr>
        <w:spacing w:line="360" w:lineRule="auto"/>
        <w:jc w:val="center"/>
        <w:rPr>
          <w:rFonts w:ascii="Arial" w:hAnsi="Arial" w:cs="Arial"/>
          <w:sz w:val="32"/>
          <w:szCs w:val="32"/>
          <w:lang w:val="en-US"/>
        </w:rPr>
      </w:pPr>
      <w:r>
        <w:rPr>
          <w:rFonts w:ascii="Arial" w:hAnsi="Arial" w:cs="Arial"/>
          <w:sz w:val="32"/>
          <w:szCs w:val="32"/>
          <w:lang w:val="en-US"/>
        </w:rPr>
        <w:t>Lecturer: Eno Maycock</w:t>
      </w:r>
    </w:p>
    <w:p w14:paraId="1C2BB93F">
      <w:pPr>
        <w:spacing w:line="360" w:lineRule="auto"/>
        <w:jc w:val="center"/>
        <w:rPr>
          <w:rFonts w:ascii="Arial" w:hAnsi="Arial" w:cs="Arial"/>
          <w:sz w:val="32"/>
          <w:szCs w:val="32"/>
          <w:lang w:val="en-US"/>
        </w:rPr>
      </w:pPr>
      <w:r>
        <w:rPr>
          <w:rFonts w:ascii="Arial" w:hAnsi="Arial" w:cs="Arial"/>
          <w:sz w:val="32"/>
          <w:szCs w:val="32"/>
          <w:lang w:val="en-US"/>
        </w:rPr>
        <w:t xml:space="preserve">Word Count: </w:t>
      </w:r>
      <w:r>
        <w:rPr>
          <w:rFonts w:ascii="Arial" w:hAnsi="Arial" w:cs="Arial"/>
          <w:sz w:val="32"/>
          <w:szCs w:val="32"/>
        </w:rPr>
        <w:t>2,500 (± 10%)</w:t>
      </w:r>
    </w:p>
    <w:p w14:paraId="546E7529">
      <w:pPr>
        <w:spacing w:line="360" w:lineRule="auto"/>
        <w:jc w:val="center"/>
        <w:rPr>
          <w:rFonts w:ascii="Arial" w:hAnsi="Arial" w:cs="Arial"/>
          <w:sz w:val="32"/>
          <w:szCs w:val="32"/>
          <w:lang w:val="en-US"/>
        </w:rPr>
      </w:pPr>
      <w:r>
        <w:rPr>
          <w:rFonts w:ascii="Arial" w:hAnsi="Arial" w:cs="Arial"/>
          <w:sz w:val="32"/>
          <w:szCs w:val="32"/>
          <w:lang w:val="en-US"/>
        </w:rPr>
        <w:t>Submission Date: 15 October 2026</w:t>
      </w:r>
    </w:p>
    <w:p w14:paraId="0F35082A">
      <w:pPr>
        <w:spacing w:line="360" w:lineRule="auto"/>
        <w:jc w:val="center"/>
        <w:rPr>
          <w:rFonts w:ascii="Arial" w:hAnsi="Arial" w:cs="Arial"/>
          <w:sz w:val="32"/>
          <w:szCs w:val="32"/>
        </w:rPr>
      </w:pPr>
    </w:p>
    <w:p w14:paraId="520F4ED0">
      <w:pPr>
        <w:spacing w:line="360" w:lineRule="auto"/>
        <w:rPr>
          <w:rFonts w:ascii="Arial" w:hAnsi="Arial" w:cs="Arial"/>
        </w:rPr>
      </w:pPr>
    </w:p>
    <w:p w14:paraId="7177C446">
      <w:pPr>
        <w:spacing w:line="360" w:lineRule="auto"/>
        <w:rPr>
          <w:rFonts w:ascii="Arial" w:hAnsi="Arial" w:cs="Arial"/>
        </w:rPr>
      </w:pPr>
    </w:p>
    <w:p w14:paraId="63D59262">
      <w:pPr>
        <w:spacing w:line="360" w:lineRule="auto"/>
        <w:rPr>
          <w:rFonts w:ascii="Arial" w:hAnsi="Arial" w:cs="Arial"/>
        </w:rPr>
      </w:pPr>
    </w:p>
    <w:p w14:paraId="602DA791">
      <w:pPr>
        <w:rPr>
          <w:rFonts w:ascii="Arial" w:hAnsi="Arial" w:eastAsiaTheme="majorEastAsia" w:cstheme="majorBidi"/>
          <w:b/>
          <w:color w:val="002060"/>
          <w:sz w:val="32"/>
          <w:szCs w:val="40"/>
          <w:u w:val="single"/>
        </w:rPr>
      </w:pPr>
    </w:p>
    <w:sdt>
      <w:sdtPr>
        <w:rPr>
          <w:rFonts w:ascii="Arial" w:hAnsi="Arial" w:cs="Arial" w:eastAsiaTheme="minorHAnsi"/>
          <w:color w:val="auto"/>
          <w:kern w:val="2"/>
          <w:sz w:val="36"/>
          <w:szCs w:val="36"/>
          <w14:ligatures w14:val="standardContextual"/>
        </w:rPr>
        <w:id w:val="164906391"/>
        <w:docPartObj>
          <w:docPartGallery w:val="Table of Contents"/>
          <w:docPartUnique/>
        </w:docPartObj>
      </w:sdtPr>
      <w:sdtEndPr>
        <w:rPr>
          <w:rFonts w:ascii="Arial" w:hAnsi="Arial" w:cs="Arial" w:eastAsiaTheme="minorHAnsi"/>
          <w:b/>
          <w:bCs/>
          <w:color w:val="auto"/>
          <w:kern w:val="2"/>
          <w:sz w:val="28"/>
          <w:szCs w:val="28"/>
          <w14:ligatures w14:val="standardContextual"/>
        </w:rPr>
      </w:sdtEndPr>
      <w:sdtContent>
        <w:p w14:paraId="528250BF">
          <w:pPr>
            <w:pStyle w:val="45"/>
            <w:jc w:val="center"/>
            <w:rPr>
              <w:rStyle w:val="24"/>
              <w:b/>
              <w:sz w:val="48"/>
              <w:szCs w:val="56"/>
            </w:rPr>
          </w:pPr>
          <w:r>
            <w:rPr>
              <w:rStyle w:val="24"/>
              <w:b/>
              <w:sz w:val="48"/>
              <w:szCs w:val="56"/>
            </w:rPr>
            <w:t>Table of Contents</w:t>
          </w:r>
        </w:p>
        <w:p w14:paraId="57244246">
          <w:pPr>
            <w:pStyle w:val="22"/>
            <w:tabs>
              <w:tab w:val="right" w:leader="dot" w:pos="9350"/>
            </w:tabs>
            <w:rPr>
              <w:rFonts w:eastAsiaTheme="minorEastAsia"/>
              <w:lang w:val="en-US"/>
            </w:rPr>
          </w:pPr>
          <w:r>
            <w:rPr>
              <w:rFonts w:ascii="Arial" w:hAnsi="Arial" w:cs="Arial"/>
              <w:sz w:val="28"/>
              <w:szCs w:val="28"/>
            </w:rPr>
            <w:fldChar w:fldCharType="begin"/>
          </w:r>
          <w:r>
            <w:rPr>
              <w:rFonts w:ascii="Arial" w:hAnsi="Arial" w:cs="Arial"/>
              <w:sz w:val="28"/>
              <w:szCs w:val="28"/>
            </w:rPr>
            <w:instrText xml:space="preserve"> TOC \o "1-3" \h \z \u </w:instrText>
          </w:r>
          <w:r>
            <w:rPr>
              <w:rFonts w:ascii="Arial" w:hAnsi="Arial" w:cs="Arial"/>
              <w:sz w:val="28"/>
              <w:szCs w:val="28"/>
            </w:rPr>
            <w:fldChar w:fldCharType="separate"/>
          </w:r>
          <w:r>
            <w:fldChar w:fldCharType="begin"/>
          </w:r>
          <w:r>
            <w:instrText xml:space="preserve"> HYPERLINK \l "_Toc242182225" </w:instrText>
          </w:r>
          <w:r>
            <w:fldChar w:fldCharType="separate"/>
          </w:r>
          <w:r>
            <w:rPr>
              <w:rStyle w:val="16"/>
            </w:rPr>
            <w:t>Introduction</w:t>
          </w:r>
          <w:r>
            <w:tab/>
          </w:r>
          <w:r>
            <w:fldChar w:fldCharType="begin"/>
          </w:r>
          <w:r>
            <w:instrText xml:space="preserve"> PAGEREF _Toc242182225 \h </w:instrText>
          </w:r>
          <w:r>
            <w:fldChar w:fldCharType="separate"/>
          </w:r>
          <w:r>
            <w:t>3</w:t>
          </w:r>
          <w:r>
            <w:fldChar w:fldCharType="end"/>
          </w:r>
          <w:r>
            <w:fldChar w:fldCharType="end"/>
          </w:r>
        </w:p>
        <w:p w14:paraId="250F4E59">
          <w:pPr>
            <w:pStyle w:val="22"/>
            <w:tabs>
              <w:tab w:val="right" w:leader="dot" w:pos="9350"/>
            </w:tabs>
            <w:rPr>
              <w:rFonts w:eastAsiaTheme="minorEastAsia"/>
              <w:lang w:val="en-US"/>
            </w:rPr>
          </w:pPr>
          <w:r>
            <w:fldChar w:fldCharType="begin"/>
          </w:r>
          <w:r>
            <w:instrText xml:space="preserve"> HYPERLINK \l "_Toc242182226" </w:instrText>
          </w:r>
          <w:r>
            <w:fldChar w:fldCharType="separate"/>
          </w:r>
          <w:r>
            <w:rPr>
              <w:rStyle w:val="16"/>
            </w:rPr>
            <w:t>Task A: Designing Innovative Working Practices</w:t>
          </w:r>
          <w:r>
            <w:tab/>
          </w:r>
          <w:r>
            <w:fldChar w:fldCharType="begin"/>
          </w:r>
          <w:r>
            <w:instrText xml:space="preserve"> PAGEREF _Toc242182226 \h </w:instrText>
          </w:r>
          <w:r>
            <w:fldChar w:fldCharType="separate"/>
          </w:r>
          <w:r>
            <w:t>3</w:t>
          </w:r>
          <w:r>
            <w:fldChar w:fldCharType="end"/>
          </w:r>
          <w:r>
            <w:fldChar w:fldCharType="end"/>
          </w:r>
        </w:p>
        <w:p w14:paraId="573D7AC8">
          <w:pPr>
            <w:pStyle w:val="23"/>
            <w:tabs>
              <w:tab w:val="right" w:leader="dot" w:pos="9350"/>
            </w:tabs>
            <w:rPr>
              <w:rFonts w:eastAsiaTheme="minorEastAsia"/>
              <w:lang w:val="en-US"/>
            </w:rPr>
          </w:pPr>
          <w:r>
            <w:fldChar w:fldCharType="begin"/>
          </w:r>
          <w:r>
            <w:instrText xml:space="preserve"> HYPERLINK \l "_Toc242182227" </w:instrText>
          </w:r>
          <w:r>
            <w:fldChar w:fldCharType="separate"/>
          </w:r>
          <w:r>
            <w:rPr>
              <w:rStyle w:val="16"/>
            </w:rPr>
            <w:t>A1. Traditional versus Contemporary Working Practices</w:t>
          </w:r>
          <w:r>
            <w:tab/>
          </w:r>
          <w:r>
            <w:fldChar w:fldCharType="begin"/>
          </w:r>
          <w:r>
            <w:instrText xml:space="preserve"> PAGEREF _Toc242182227 \h </w:instrText>
          </w:r>
          <w:r>
            <w:fldChar w:fldCharType="separate"/>
          </w:r>
          <w:r>
            <w:t>3</w:t>
          </w:r>
          <w:r>
            <w:fldChar w:fldCharType="end"/>
          </w:r>
          <w:r>
            <w:fldChar w:fldCharType="end"/>
          </w:r>
        </w:p>
        <w:p w14:paraId="6C9C2B50">
          <w:pPr>
            <w:pStyle w:val="23"/>
            <w:tabs>
              <w:tab w:val="right" w:leader="dot" w:pos="9350"/>
            </w:tabs>
            <w:rPr>
              <w:rFonts w:eastAsiaTheme="minorEastAsia"/>
              <w:lang w:val="en-US"/>
            </w:rPr>
          </w:pPr>
          <w:r>
            <w:fldChar w:fldCharType="begin"/>
          </w:r>
          <w:r>
            <w:instrText xml:space="preserve"> HYPERLINK \l "_Toc242182228" </w:instrText>
          </w:r>
          <w:r>
            <w:fldChar w:fldCharType="separate"/>
          </w:r>
          <w:r>
            <w:rPr>
              <w:rStyle w:val="16"/>
            </w:rPr>
            <w:t>A2. Critical Theoretical Evaluation</w:t>
          </w:r>
          <w:r>
            <w:tab/>
          </w:r>
          <w:r>
            <w:fldChar w:fldCharType="begin"/>
          </w:r>
          <w:r>
            <w:instrText xml:space="preserve"> PAGEREF _Toc242182228 \h </w:instrText>
          </w:r>
          <w:r>
            <w:fldChar w:fldCharType="separate"/>
          </w:r>
          <w:r>
            <w:t>4</w:t>
          </w:r>
          <w:r>
            <w:fldChar w:fldCharType="end"/>
          </w:r>
          <w:r>
            <w:fldChar w:fldCharType="end"/>
          </w:r>
        </w:p>
        <w:p w14:paraId="3E36820A">
          <w:pPr>
            <w:pStyle w:val="23"/>
            <w:tabs>
              <w:tab w:val="right" w:leader="dot" w:pos="9350"/>
            </w:tabs>
            <w:rPr>
              <w:rFonts w:eastAsiaTheme="minorEastAsia"/>
              <w:lang w:val="en-US"/>
            </w:rPr>
          </w:pPr>
          <w:r>
            <w:fldChar w:fldCharType="begin"/>
          </w:r>
          <w:r>
            <w:instrText xml:space="preserve"> HYPERLINK \l "_Toc242182229" </w:instrText>
          </w:r>
          <w:r>
            <w:fldChar w:fldCharType="separate"/>
          </w:r>
          <w:r>
            <w:rPr>
              <w:rStyle w:val="16"/>
            </w:rPr>
            <w:t>A3. Innovative Working Framework for NexSpace</w:t>
          </w:r>
          <w:r>
            <w:tab/>
          </w:r>
          <w:r>
            <w:fldChar w:fldCharType="begin"/>
          </w:r>
          <w:r>
            <w:instrText xml:space="preserve"> PAGEREF _Toc242182229 \h </w:instrText>
          </w:r>
          <w:r>
            <w:fldChar w:fldCharType="separate"/>
          </w:r>
          <w:r>
            <w:t>5</w:t>
          </w:r>
          <w:r>
            <w:fldChar w:fldCharType="end"/>
          </w:r>
          <w:r>
            <w:fldChar w:fldCharType="end"/>
          </w:r>
        </w:p>
        <w:p w14:paraId="4C279BB7">
          <w:pPr>
            <w:pStyle w:val="23"/>
            <w:tabs>
              <w:tab w:val="right" w:leader="dot" w:pos="9350"/>
            </w:tabs>
            <w:rPr>
              <w:rFonts w:eastAsiaTheme="minorEastAsia"/>
              <w:lang w:val="en-US"/>
            </w:rPr>
          </w:pPr>
          <w:r>
            <w:fldChar w:fldCharType="begin"/>
          </w:r>
          <w:r>
            <w:instrText xml:space="preserve"> HYPERLINK \l "_Toc242182230" </w:instrText>
          </w:r>
          <w:r>
            <w:fldChar w:fldCharType="separate"/>
          </w:r>
          <w:r>
            <w:rPr>
              <w:rStyle w:val="16"/>
            </w:rPr>
            <w:t>A4. Performance Impact</w:t>
          </w:r>
          <w:r>
            <w:tab/>
          </w:r>
          <w:r>
            <w:fldChar w:fldCharType="begin"/>
          </w:r>
          <w:r>
            <w:instrText xml:space="preserve"> PAGEREF _Toc242182230 \h </w:instrText>
          </w:r>
          <w:r>
            <w:fldChar w:fldCharType="separate"/>
          </w:r>
          <w:r>
            <w:t>7</w:t>
          </w:r>
          <w:r>
            <w:fldChar w:fldCharType="end"/>
          </w:r>
          <w:r>
            <w:fldChar w:fldCharType="end"/>
          </w:r>
        </w:p>
        <w:p w14:paraId="268D8C68">
          <w:pPr>
            <w:pStyle w:val="22"/>
            <w:tabs>
              <w:tab w:val="right" w:leader="dot" w:pos="9350"/>
            </w:tabs>
            <w:rPr>
              <w:rFonts w:eastAsiaTheme="minorEastAsia"/>
              <w:lang w:val="en-US"/>
            </w:rPr>
          </w:pPr>
          <w:r>
            <w:fldChar w:fldCharType="begin"/>
          </w:r>
          <w:r>
            <w:instrText xml:space="preserve"> HYPERLINK \l "_Toc242182231" </w:instrText>
          </w:r>
          <w:r>
            <w:fldChar w:fldCharType="separate"/>
          </w:r>
          <w:r>
            <w:rPr>
              <w:rStyle w:val="16"/>
            </w:rPr>
            <w:t>Task B: Developing a Talent-Growth Ecosystem</w:t>
          </w:r>
          <w:r>
            <w:tab/>
          </w:r>
          <w:r>
            <w:fldChar w:fldCharType="begin"/>
          </w:r>
          <w:r>
            <w:instrText xml:space="preserve"> PAGEREF _Toc242182231 \h </w:instrText>
          </w:r>
          <w:r>
            <w:fldChar w:fldCharType="separate"/>
          </w:r>
          <w:r>
            <w:t>8</w:t>
          </w:r>
          <w:r>
            <w:fldChar w:fldCharType="end"/>
          </w:r>
          <w:r>
            <w:fldChar w:fldCharType="end"/>
          </w:r>
        </w:p>
        <w:p w14:paraId="1F502BDA">
          <w:pPr>
            <w:pStyle w:val="23"/>
            <w:tabs>
              <w:tab w:val="right" w:leader="dot" w:pos="9350"/>
            </w:tabs>
            <w:rPr>
              <w:rFonts w:eastAsiaTheme="minorEastAsia"/>
              <w:lang w:val="en-US"/>
            </w:rPr>
          </w:pPr>
          <w:r>
            <w:fldChar w:fldCharType="begin"/>
          </w:r>
          <w:r>
            <w:instrText xml:space="preserve"> HYPERLINK \l "_Toc242182232" </w:instrText>
          </w:r>
          <w:r>
            <w:fldChar w:fldCharType="separate"/>
          </w:r>
          <w:r>
            <w:rPr>
              <w:rStyle w:val="16"/>
            </w:rPr>
            <w:t>B1. The Talent Problem</w:t>
          </w:r>
          <w:r>
            <w:tab/>
          </w:r>
          <w:r>
            <w:fldChar w:fldCharType="begin"/>
          </w:r>
          <w:r>
            <w:instrText xml:space="preserve"> PAGEREF _Toc242182232 \h </w:instrText>
          </w:r>
          <w:r>
            <w:fldChar w:fldCharType="separate"/>
          </w:r>
          <w:r>
            <w:t>8</w:t>
          </w:r>
          <w:r>
            <w:fldChar w:fldCharType="end"/>
          </w:r>
          <w:r>
            <w:fldChar w:fldCharType="end"/>
          </w:r>
        </w:p>
        <w:p w14:paraId="61AF1B44">
          <w:pPr>
            <w:pStyle w:val="23"/>
            <w:tabs>
              <w:tab w:val="right" w:leader="dot" w:pos="9350"/>
            </w:tabs>
            <w:rPr>
              <w:rFonts w:eastAsiaTheme="minorEastAsia"/>
              <w:lang w:val="en-US"/>
            </w:rPr>
          </w:pPr>
          <w:r>
            <w:fldChar w:fldCharType="begin"/>
          </w:r>
          <w:r>
            <w:instrText xml:space="preserve"> HYPERLINK \l "_Toc242182233" </w:instrText>
          </w:r>
          <w:r>
            <w:fldChar w:fldCharType="separate"/>
          </w:r>
          <w:r>
            <w:rPr>
              <w:rStyle w:val="16"/>
            </w:rPr>
            <w:t>B2. Critical Theoretical Evaluation</w:t>
          </w:r>
          <w:r>
            <w:tab/>
          </w:r>
          <w:r>
            <w:fldChar w:fldCharType="begin"/>
          </w:r>
          <w:r>
            <w:instrText xml:space="preserve"> PAGEREF _Toc242182233 \h </w:instrText>
          </w:r>
          <w:r>
            <w:fldChar w:fldCharType="separate"/>
          </w:r>
          <w:r>
            <w:t>8</w:t>
          </w:r>
          <w:r>
            <w:fldChar w:fldCharType="end"/>
          </w:r>
          <w:r>
            <w:fldChar w:fldCharType="end"/>
          </w:r>
        </w:p>
        <w:p w14:paraId="15B5EE13">
          <w:pPr>
            <w:pStyle w:val="23"/>
            <w:tabs>
              <w:tab w:val="right" w:leader="dot" w:pos="9350"/>
            </w:tabs>
            <w:rPr>
              <w:rFonts w:eastAsiaTheme="minorEastAsia"/>
              <w:lang w:val="en-US"/>
            </w:rPr>
          </w:pPr>
          <w:r>
            <w:fldChar w:fldCharType="begin"/>
          </w:r>
          <w:r>
            <w:instrText xml:space="preserve"> HYPERLINK \l "_Toc242182234" </w:instrText>
          </w:r>
          <w:r>
            <w:fldChar w:fldCharType="separate"/>
          </w:r>
          <w:r>
            <w:rPr>
              <w:rStyle w:val="16"/>
            </w:rPr>
            <w:t>B3. NexSpace Talent-Growth Ecosystem</w:t>
          </w:r>
          <w:r>
            <w:tab/>
          </w:r>
          <w:r>
            <w:fldChar w:fldCharType="begin"/>
          </w:r>
          <w:r>
            <w:instrText xml:space="preserve"> PAGEREF _Toc242182234 \h </w:instrText>
          </w:r>
          <w:r>
            <w:fldChar w:fldCharType="separate"/>
          </w:r>
          <w:r>
            <w:t>9</w:t>
          </w:r>
          <w:r>
            <w:fldChar w:fldCharType="end"/>
          </w:r>
          <w:r>
            <w:fldChar w:fldCharType="end"/>
          </w:r>
        </w:p>
        <w:p w14:paraId="7F7B17BB">
          <w:pPr>
            <w:pStyle w:val="23"/>
            <w:tabs>
              <w:tab w:val="right" w:leader="dot" w:pos="9350"/>
            </w:tabs>
            <w:rPr>
              <w:rFonts w:eastAsiaTheme="minorEastAsia"/>
              <w:lang w:val="en-US"/>
            </w:rPr>
          </w:pPr>
          <w:r>
            <w:fldChar w:fldCharType="begin"/>
          </w:r>
          <w:r>
            <w:instrText xml:space="preserve"> HYPERLINK \l "_Toc242182235" </w:instrText>
          </w:r>
          <w:r>
            <w:fldChar w:fldCharType="separate"/>
          </w:r>
          <w:r>
            <w:rPr>
              <w:rStyle w:val="16"/>
            </w:rPr>
            <w:t>B4. KPIs and Evaluation</w:t>
          </w:r>
          <w:r>
            <w:tab/>
          </w:r>
          <w:r>
            <w:fldChar w:fldCharType="begin"/>
          </w:r>
          <w:r>
            <w:instrText xml:space="preserve"> PAGEREF _Toc242182235 \h </w:instrText>
          </w:r>
          <w:r>
            <w:fldChar w:fldCharType="separate"/>
          </w:r>
          <w:r>
            <w:t>10</w:t>
          </w:r>
          <w:r>
            <w:fldChar w:fldCharType="end"/>
          </w:r>
          <w:r>
            <w:fldChar w:fldCharType="end"/>
          </w:r>
        </w:p>
        <w:p w14:paraId="304A500E">
          <w:pPr>
            <w:pStyle w:val="22"/>
            <w:tabs>
              <w:tab w:val="right" w:leader="dot" w:pos="9350"/>
            </w:tabs>
            <w:rPr>
              <w:rFonts w:eastAsiaTheme="minorEastAsia"/>
              <w:lang w:val="en-US"/>
            </w:rPr>
          </w:pPr>
          <w:r>
            <w:fldChar w:fldCharType="begin"/>
          </w:r>
          <w:r>
            <w:instrText xml:space="preserve"> HYPERLINK \l "_Toc242182236" </w:instrText>
          </w:r>
          <w:r>
            <w:fldChar w:fldCharType="separate"/>
          </w:r>
          <w:r>
            <w:rPr>
              <w:rStyle w:val="16"/>
            </w:rPr>
            <w:t>Task C: Reflective Report</w:t>
          </w:r>
          <w:r>
            <w:tab/>
          </w:r>
          <w:r>
            <w:fldChar w:fldCharType="begin"/>
          </w:r>
          <w:r>
            <w:instrText xml:space="preserve"> PAGEREF _Toc242182236 \h </w:instrText>
          </w:r>
          <w:r>
            <w:fldChar w:fldCharType="separate"/>
          </w:r>
          <w:r>
            <w:t>11</w:t>
          </w:r>
          <w:r>
            <w:fldChar w:fldCharType="end"/>
          </w:r>
          <w:r>
            <w:fldChar w:fldCharType="end"/>
          </w:r>
        </w:p>
        <w:p w14:paraId="2DEDEAF3">
          <w:pPr>
            <w:pStyle w:val="23"/>
            <w:tabs>
              <w:tab w:val="right" w:leader="dot" w:pos="9350"/>
            </w:tabs>
            <w:rPr>
              <w:rFonts w:eastAsiaTheme="minorEastAsia"/>
              <w:lang w:val="en-US"/>
            </w:rPr>
          </w:pPr>
          <w:r>
            <w:fldChar w:fldCharType="begin"/>
          </w:r>
          <w:r>
            <w:instrText xml:space="preserve"> HYPERLINK \l "_Toc242182237" </w:instrText>
          </w:r>
          <w:r>
            <w:fldChar w:fldCharType="separate"/>
          </w:r>
          <w:r>
            <w:rPr>
              <w:rStyle w:val="16"/>
            </w:rPr>
            <w:t>C1. AI as a Strategic Tool in HRM</w:t>
          </w:r>
          <w:r>
            <w:tab/>
          </w:r>
          <w:r>
            <w:fldChar w:fldCharType="begin"/>
          </w:r>
          <w:r>
            <w:instrText xml:space="preserve"> PAGEREF _Toc242182237 \h </w:instrText>
          </w:r>
          <w:r>
            <w:fldChar w:fldCharType="separate"/>
          </w:r>
          <w:r>
            <w:t>11</w:t>
          </w:r>
          <w:r>
            <w:fldChar w:fldCharType="end"/>
          </w:r>
          <w:r>
            <w:fldChar w:fldCharType="end"/>
          </w:r>
        </w:p>
        <w:p w14:paraId="1B5B3928">
          <w:pPr>
            <w:pStyle w:val="23"/>
            <w:tabs>
              <w:tab w:val="right" w:leader="dot" w:pos="9350"/>
            </w:tabs>
            <w:rPr>
              <w:rFonts w:eastAsiaTheme="minorEastAsia"/>
              <w:lang w:val="en-US"/>
            </w:rPr>
          </w:pPr>
          <w:r>
            <w:fldChar w:fldCharType="begin"/>
          </w:r>
          <w:r>
            <w:instrText xml:space="preserve"> HYPERLINK \l "_Toc242182238" </w:instrText>
          </w:r>
          <w:r>
            <w:fldChar w:fldCharType="separate"/>
          </w:r>
          <w:r>
            <w:rPr>
              <w:rStyle w:val="16"/>
            </w:rPr>
            <w:t>C2. Reflective Analysis: Three Personal AI Experiences</w:t>
          </w:r>
          <w:r>
            <w:tab/>
          </w:r>
          <w:r>
            <w:fldChar w:fldCharType="begin"/>
          </w:r>
          <w:r>
            <w:instrText xml:space="preserve"> PAGEREF _Toc242182238 \h </w:instrText>
          </w:r>
          <w:r>
            <w:fldChar w:fldCharType="separate"/>
          </w:r>
          <w:r>
            <w:t>12</w:t>
          </w:r>
          <w:r>
            <w:fldChar w:fldCharType="end"/>
          </w:r>
          <w:r>
            <w:fldChar w:fldCharType="end"/>
          </w:r>
        </w:p>
        <w:p w14:paraId="15AC74F2">
          <w:pPr>
            <w:pStyle w:val="23"/>
            <w:tabs>
              <w:tab w:val="right" w:leader="dot" w:pos="9350"/>
            </w:tabs>
            <w:rPr>
              <w:rFonts w:eastAsiaTheme="minorEastAsia"/>
              <w:lang w:val="en-US"/>
            </w:rPr>
          </w:pPr>
          <w:r>
            <w:fldChar w:fldCharType="begin"/>
          </w:r>
          <w:r>
            <w:instrText xml:space="preserve"> HYPERLINK \l "_Toc242182239" </w:instrText>
          </w:r>
          <w:r>
            <w:fldChar w:fldCharType="separate"/>
          </w:r>
          <w:r>
            <w:rPr>
              <w:rStyle w:val="16"/>
            </w:rPr>
            <w:t>C3. Personal Capability Development Plan</w:t>
          </w:r>
          <w:r>
            <w:tab/>
          </w:r>
          <w:r>
            <w:fldChar w:fldCharType="begin"/>
          </w:r>
          <w:r>
            <w:instrText xml:space="preserve"> PAGEREF _Toc242182239 \h </w:instrText>
          </w:r>
          <w:r>
            <w:fldChar w:fldCharType="separate"/>
          </w:r>
          <w:r>
            <w:t>13</w:t>
          </w:r>
          <w:r>
            <w:fldChar w:fldCharType="end"/>
          </w:r>
          <w:r>
            <w:fldChar w:fldCharType="end"/>
          </w:r>
        </w:p>
        <w:p w14:paraId="140F3159">
          <w:pPr>
            <w:pStyle w:val="23"/>
            <w:tabs>
              <w:tab w:val="right" w:leader="dot" w:pos="9350"/>
            </w:tabs>
            <w:rPr>
              <w:rFonts w:eastAsiaTheme="minorEastAsia"/>
              <w:lang w:val="en-US"/>
            </w:rPr>
          </w:pPr>
          <w:r>
            <w:fldChar w:fldCharType="begin"/>
          </w:r>
          <w:r>
            <w:instrText xml:space="preserve"> HYPERLINK \l "_Toc242182240" </w:instrText>
          </w:r>
          <w:r>
            <w:fldChar w:fldCharType="separate"/>
          </w:r>
          <w:r>
            <w:rPr>
              <w:rStyle w:val="16"/>
            </w:rPr>
            <w:t>C4. Reflective Closing Statement</w:t>
          </w:r>
          <w:r>
            <w:tab/>
          </w:r>
          <w:r>
            <w:fldChar w:fldCharType="begin"/>
          </w:r>
          <w:r>
            <w:instrText xml:space="preserve"> PAGEREF _Toc242182240 \h </w:instrText>
          </w:r>
          <w:r>
            <w:fldChar w:fldCharType="separate"/>
          </w:r>
          <w:r>
            <w:t>13</w:t>
          </w:r>
          <w:r>
            <w:fldChar w:fldCharType="end"/>
          </w:r>
          <w:r>
            <w:fldChar w:fldCharType="end"/>
          </w:r>
        </w:p>
        <w:p w14:paraId="25E4D71C">
          <w:pPr>
            <w:pStyle w:val="22"/>
            <w:tabs>
              <w:tab w:val="right" w:leader="dot" w:pos="9350"/>
            </w:tabs>
            <w:rPr>
              <w:rFonts w:eastAsiaTheme="minorEastAsia"/>
              <w:lang w:val="en-US"/>
            </w:rPr>
          </w:pPr>
          <w:r>
            <w:fldChar w:fldCharType="begin"/>
          </w:r>
          <w:r>
            <w:instrText xml:space="preserve"> HYPERLINK \l "_Toc242182241" </w:instrText>
          </w:r>
          <w:r>
            <w:fldChar w:fldCharType="separate"/>
          </w:r>
          <w:r>
            <w:rPr>
              <w:rStyle w:val="16"/>
            </w:rPr>
            <w:t>Conclusion</w:t>
          </w:r>
          <w:r>
            <w:tab/>
          </w:r>
          <w:r>
            <w:fldChar w:fldCharType="begin"/>
          </w:r>
          <w:r>
            <w:instrText xml:space="preserve"> PAGEREF _Toc242182241 \h </w:instrText>
          </w:r>
          <w:r>
            <w:fldChar w:fldCharType="separate"/>
          </w:r>
          <w:r>
            <w:t>14</w:t>
          </w:r>
          <w:r>
            <w:fldChar w:fldCharType="end"/>
          </w:r>
          <w:r>
            <w:fldChar w:fldCharType="end"/>
          </w:r>
        </w:p>
        <w:p w14:paraId="571D145A">
          <w:pPr>
            <w:pStyle w:val="22"/>
            <w:tabs>
              <w:tab w:val="right" w:leader="dot" w:pos="9350"/>
            </w:tabs>
            <w:rPr>
              <w:rFonts w:eastAsiaTheme="minorEastAsia"/>
              <w:lang w:val="en-US"/>
            </w:rPr>
          </w:pPr>
          <w:r>
            <w:fldChar w:fldCharType="begin"/>
          </w:r>
          <w:r>
            <w:instrText xml:space="preserve"> HYPERLINK \l "_Toc242182242" </w:instrText>
          </w:r>
          <w:r>
            <w:fldChar w:fldCharType="separate"/>
          </w:r>
          <w:r>
            <w:rPr>
              <w:rStyle w:val="16"/>
            </w:rPr>
            <w:t>References</w:t>
          </w:r>
          <w:r>
            <w:tab/>
          </w:r>
          <w:r>
            <w:fldChar w:fldCharType="begin"/>
          </w:r>
          <w:r>
            <w:instrText xml:space="preserve"> PAGEREF _Toc242182242 \h </w:instrText>
          </w:r>
          <w:r>
            <w:fldChar w:fldCharType="separate"/>
          </w:r>
          <w:r>
            <w:t>14</w:t>
          </w:r>
          <w:r>
            <w:fldChar w:fldCharType="end"/>
          </w:r>
          <w:r>
            <w:fldChar w:fldCharType="end"/>
          </w:r>
        </w:p>
        <w:p w14:paraId="6C609EE1">
          <w:pPr>
            <w:rPr>
              <w:rFonts w:ascii="Arial" w:hAnsi="Arial" w:cs="Arial"/>
              <w:sz w:val="28"/>
              <w:szCs w:val="28"/>
            </w:rPr>
          </w:pPr>
          <w:r>
            <w:rPr>
              <w:rFonts w:ascii="Arial" w:hAnsi="Arial" w:cs="Arial"/>
              <w:b/>
              <w:bCs/>
              <w:sz w:val="28"/>
              <w:szCs w:val="28"/>
            </w:rPr>
            <w:fldChar w:fldCharType="end"/>
          </w:r>
        </w:p>
      </w:sdtContent>
    </w:sdt>
    <w:p w14:paraId="4C18586C">
      <w:pPr>
        <w:rPr>
          <w:rFonts w:ascii="Arial" w:hAnsi="Arial" w:cs="Arial" w:eastAsiaTheme="majorEastAsia"/>
          <w:b/>
          <w:color w:val="002060"/>
          <w:sz w:val="36"/>
          <w:szCs w:val="44"/>
          <w:u w:val="single"/>
        </w:rPr>
      </w:pPr>
      <w:r>
        <w:rPr>
          <w:rFonts w:ascii="Arial" w:hAnsi="Arial" w:cs="Arial" w:eastAsiaTheme="majorEastAsia"/>
          <w:b/>
          <w:color w:val="002060"/>
          <w:sz w:val="36"/>
          <w:szCs w:val="44"/>
          <w:u w:val="single"/>
        </w:rPr>
        <w:br w:type="page"/>
      </w:r>
    </w:p>
    <w:p w14:paraId="17CB26A4">
      <w:pPr>
        <w:pStyle w:val="2"/>
      </w:pPr>
      <w:bookmarkStart w:id="0" w:name="_Toc242182225"/>
      <w:r>
        <w:t>Introduction</w:t>
      </w:r>
      <w:bookmarkEnd w:id="0"/>
    </w:p>
    <w:p w14:paraId="55301B14">
      <w:pPr>
        <w:spacing w:line="360" w:lineRule="auto"/>
        <w:jc w:val="both"/>
        <w:rPr>
          <w:rFonts w:ascii="Arial" w:hAnsi="Arial" w:cs="Arial"/>
          <w:lang w:val="en-US"/>
        </w:rPr>
      </w:pPr>
      <w:r>
        <w:rPr>
          <w:rFonts w:ascii="Arial" w:hAnsi="Arial" w:cs="Arial"/>
          <w:lang w:val="en-US"/>
        </w:rPr>
        <w:t xml:space="preserve">NexSpace Health Systems operates in a dynamic digital health landscape, where organisational performance is increasingly shaped by the effective integration of people, technology and work processes. </w:t>
      </w:r>
      <w:r>
        <w:rPr>
          <w:rFonts w:ascii="Arial" w:hAnsi="Arial" w:cs="Arial"/>
        </w:rPr>
        <w:t xml:space="preserve">The organisation employs 600 people throughout the UK, India and UAE and needs to have a culture of working practices that encourage innovation whilst retaining the elements of collaboration, accountability and service quality. This is especially important because 85% of leaders are concerned about the adaptability of their workforce, and 7% say their organisations are at the forefront of facilitating continuous adaptation of their workforce (Deloitte, 2026). </w:t>
      </w:r>
    </w:p>
    <w:p w14:paraId="055BF89F">
      <w:pPr>
        <w:pStyle w:val="2"/>
      </w:pPr>
      <w:bookmarkStart w:id="1" w:name="_Toc242182226"/>
      <w:r>
        <w:t>Task A: Designing Innovative Working Practices</w:t>
      </w:r>
      <w:bookmarkEnd w:id="1"/>
    </w:p>
    <w:p w14:paraId="345DA2AF">
      <w:pPr>
        <w:pStyle w:val="3"/>
      </w:pPr>
      <w:bookmarkStart w:id="2" w:name="_Toc242182227"/>
      <w:r>
        <w:t>A1. Traditional versus Contemporary Working Practices</w:t>
      </w:r>
      <w:bookmarkEnd w:id="2"/>
    </w:p>
    <w:p w14:paraId="5716BC67">
      <w:pPr>
        <w:pStyle w:val="17"/>
        <w:spacing w:line="360" w:lineRule="auto"/>
        <w:jc w:val="both"/>
        <w:rPr>
          <w:rFonts w:ascii="Arial" w:hAnsi="Arial" w:cs="Arial"/>
          <w:highlight w:val="yellow"/>
        </w:rPr>
      </w:pPr>
      <w:r>
        <w:rPr>
          <w:rStyle w:val="47"/>
          <w:rFonts w:ascii="Arial" w:hAnsi="Arial" w:cs="Arial" w:eastAsiaTheme="majorEastAsia"/>
        </w:rPr>
        <w:t>Traditional working practices focus on the standardisation of tasks, on hierarchical control and on clearly defined responsibilities.</w:t>
      </w:r>
      <w:r>
        <w:rPr>
          <w:rFonts w:ascii="Arial" w:hAnsi="Arial" w:cs="Arial"/>
        </w:rPr>
        <w:t xml:space="preserve"> </w:t>
      </w:r>
      <w:r>
        <w:rPr>
          <w:rStyle w:val="47"/>
          <w:rFonts w:ascii="Arial" w:hAnsi="Arial" w:cs="Arial" w:eastAsiaTheme="majorEastAsia"/>
        </w:rPr>
        <w:t>Taylor’s (1911) scientific management illustrates this approach by focusing on efficiency through task specialisation and standardisation.</w:t>
      </w:r>
      <w:r>
        <w:rPr>
          <w:rFonts w:ascii="Arial" w:hAnsi="Arial" w:cs="Arial"/>
        </w:rPr>
        <w:t xml:space="preserve"> </w:t>
      </w:r>
      <w:r>
        <w:rPr>
          <w:rStyle w:val="47"/>
          <w:rFonts w:ascii="Arial" w:hAnsi="Arial" w:cs="Arial" w:eastAsiaTheme="majorEastAsia"/>
        </w:rPr>
        <w:t>However, these practices may limit employee autonomy and collaboration in a digital healthcare organisation such as NexSpace Health Systems.</w:t>
      </w:r>
      <w:r>
        <w:rPr>
          <w:rFonts w:ascii="Arial" w:hAnsi="Arial" w:cs="Arial"/>
        </w:rPr>
        <w:t xml:space="preserve"> </w:t>
      </w:r>
      <w:r>
        <w:rPr>
          <w:rStyle w:val="47"/>
          <w:rFonts w:ascii="Arial" w:hAnsi="Arial" w:cs="Arial" w:eastAsiaTheme="majorEastAsia"/>
        </w:rPr>
        <w:t>Four modern working practices are capable of overcoming these. Flexible working is where staff have the flexibility to work hours and location within their role if appropriate.</w:t>
      </w:r>
      <w:r>
        <w:rPr>
          <w:rFonts w:ascii="Arial" w:hAnsi="Arial" w:cs="Arial"/>
        </w:rPr>
        <w:t xml:space="preserve"> </w:t>
      </w:r>
      <w:r>
        <w:rPr>
          <w:rStyle w:val="47"/>
          <w:rFonts w:ascii="Arial" w:hAnsi="Arial" w:cs="Arial" w:eastAsiaTheme="majorEastAsia"/>
        </w:rPr>
        <w:t>This can help with balancing work and life and retention, but clinical needs, cybersecurity and team coordination must be kept in mind.</w:t>
      </w:r>
      <w:r>
        <w:rPr>
          <w:rFonts w:ascii="Arial" w:hAnsi="Arial" w:cs="Arial"/>
        </w:rPr>
        <w:t xml:space="preserve"> </w:t>
      </w:r>
      <w:r>
        <w:rPr>
          <w:rStyle w:val="47"/>
          <w:rFonts w:ascii="Arial" w:hAnsi="Arial" w:cs="Arial" w:eastAsiaTheme="majorEastAsia"/>
        </w:rPr>
        <w:t>Agile working relies on cross-disciplinary teams that operate in short development cycles, hold regular reviews and take action based on feedback.</w:t>
      </w:r>
      <w:r>
        <w:rPr>
          <w:rFonts w:ascii="Arial" w:hAnsi="Arial" w:cs="Arial"/>
        </w:rPr>
        <w:t xml:space="preserve"> </w:t>
      </w:r>
      <w:r>
        <w:rPr>
          <w:rStyle w:val="47"/>
          <w:rFonts w:ascii="Arial" w:hAnsi="Arial" w:cs="Arial" w:eastAsiaTheme="majorEastAsia"/>
        </w:rPr>
        <w:t>Beck et al. (2001) stress teamwork and adaptability.</w:t>
      </w:r>
      <w:r>
        <w:rPr>
          <w:rFonts w:ascii="Arial" w:hAnsi="Arial" w:cs="Arial"/>
        </w:rPr>
        <w:t xml:space="preserve"> </w:t>
      </w:r>
      <w:r>
        <w:rPr>
          <w:rStyle w:val="47"/>
          <w:rFonts w:ascii="Arial" w:hAnsi="Arial" w:cs="Arial" w:eastAsiaTheme="majorEastAsia"/>
        </w:rPr>
        <w:t>This way, NexSpace can enhance digital services and solve problems faster. Employee autonomy and participation includes the employee in decisions concerning task allocation, working methods and process improvement.</w:t>
      </w:r>
      <w:r>
        <w:rPr>
          <w:rFonts w:ascii="Arial" w:hAnsi="Arial" w:cs="Arial"/>
        </w:rPr>
        <w:t xml:space="preserve"> </w:t>
      </w:r>
      <w:r>
        <w:rPr>
          <w:rStyle w:val="47"/>
          <w:rFonts w:ascii="Arial" w:hAnsi="Arial" w:cs="Arial" w:eastAsiaTheme="majorEastAsia"/>
        </w:rPr>
        <w:t>Ryan and Deci (2000) state that autonomy enhances motivation when employees have opportunities to gain competence and engage in meaningful relationships.</w:t>
      </w:r>
      <w:r>
        <w:rPr>
          <w:rFonts w:ascii="Arial" w:hAnsi="Arial" w:cs="Arial"/>
        </w:rPr>
        <w:t xml:space="preserve"> </w:t>
      </w:r>
      <w:r>
        <w:rPr>
          <w:rStyle w:val="47"/>
          <w:rFonts w:ascii="Arial" w:hAnsi="Arial" w:cs="Arial" w:eastAsiaTheme="majorEastAsia"/>
        </w:rPr>
        <w:t>But proper management guidance is still needed.</w:t>
      </w:r>
      <w:r>
        <w:rPr>
          <w:rFonts w:ascii="Arial" w:hAnsi="Arial" w:cs="Arial"/>
        </w:rPr>
        <w:t xml:space="preserve"> </w:t>
      </w:r>
      <w:r>
        <w:rPr>
          <w:rStyle w:val="47"/>
          <w:rFonts w:ascii="Arial" w:hAnsi="Arial" w:cs="Arial" w:eastAsiaTheme="majorEastAsia"/>
        </w:rPr>
        <w:t>AI can assist with the day-to-day administration, information retrieval and initial analysis, and experienced specialists can still make clinical interpretations and decisions.</w:t>
      </w:r>
      <w:r>
        <w:rPr>
          <w:rFonts w:ascii="Arial" w:hAnsi="Arial" w:cs="Arial"/>
        </w:rPr>
        <w:t xml:space="preserve"> </w:t>
      </w:r>
      <w:r>
        <w:rPr>
          <w:rStyle w:val="47"/>
          <w:rFonts w:ascii="Arial" w:hAnsi="Arial" w:cs="Arial" w:eastAsiaTheme="majorEastAsia"/>
        </w:rPr>
        <w:t>The OECD (2024) identifies advantages and threats of the use of AI in the workplace. Overall, traditional systems can offer continuity and responsibility, but there are potential limitations to innovation when solely relying on them.</w:t>
      </w:r>
      <w:r>
        <w:rPr>
          <w:rFonts w:ascii="Arial" w:hAnsi="Arial" w:cs="Arial"/>
        </w:rPr>
        <w:t xml:space="preserve"> </w:t>
      </w:r>
      <w:r>
        <w:rPr>
          <w:rStyle w:val="47"/>
          <w:rFonts w:ascii="Arial" w:hAnsi="Arial" w:cs="Arial" w:eastAsiaTheme="majorEastAsia"/>
        </w:rPr>
        <w:t>NexSpace needs to, therefore, integrate clear standards with flexible work, agile delivery, employee engagement and responsible human-AI collaboration.</w:t>
      </w:r>
      <w:r>
        <w:rPr>
          <w:rFonts w:ascii="Arial" w:hAnsi="Arial" w:cs="Arial"/>
        </w:rPr>
        <w:t xml:space="preserve"> </w:t>
      </w:r>
      <w:r>
        <w:rPr>
          <w:rStyle w:val="47"/>
          <w:rFonts w:ascii="Arial" w:hAnsi="Arial" w:cs="Arial" w:eastAsiaTheme="majorEastAsia"/>
        </w:rPr>
        <w:t>This can facilitate innovation while maintaining the quality of health care, employee well-being, and professional responsibility.</w:t>
      </w:r>
    </w:p>
    <w:p w14:paraId="53CF322C">
      <w:pPr>
        <w:pStyle w:val="3"/>
      </w:pPr>
      <w:bookmarkStart w:id="3" w:name="_Toc242182228"/>
      <w:r>
        <w:t>A2. Critical Theoretical Evaluation</w:t>
      </w:r>
      <w:bookmarkEnd w:id="3"/>
    </w:p>
    <w:p w14:paraId="0A2F9E69">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High-Performance Work Systems (HPWS) require employee skills, motivation and opportunities to reinforce organisational practices (Jiang et al., 2012). For NexSpace, qualified digital and healthcare professionals need decision-making power to use their expertise innovatively. However, Boxall (2012) argues that high-performance practices depend on organisational context and cannot be copied from other companies. NexSpace must therefore adapt HPWS to digital healthcare.Self-Determination Theory (SDT) explains the importance of autonomy. Ryan and Deci (2000) identify autonomy, competence and relatedness as three psychological needs underlying motivation. However, autonomy without resources can transfer organisational pressure onto employees. The Job Demands-Resources (JD-R) model explains this concern: job demands can cause strain, while resources such as autonomy, feedback and managerial support can improve engagement and performance (Bakker and Demerouti, 2007).Sociotechnical Systems Theory (STS) is important because NexSpace's performance depends on interactions between workers and digital technologies. Trist and Bamforth (1951) argue that social and technical systems should be designed together, while Clegg (2000) highlights the importance of organisational structures within technological systems.Psychological safety is another critical aspect. Edmondson (1999) found that it supports team learning by encouraging employees to share errors, questions and work hypotheses. Similarly, West et al. (2015) demonstrate the importance of supportive teamwork for healthcare quality and staff wellbeing.</w:t>
      </w:r>
    </w:p>
    <w:p w14:paraId="601AAAC3">
      <w:pPr>
        <w:pStyle w:val="3"/>
      </w:pPr>
      <w:bookmarkStart w:id="4" w:name="_Toc242182229"/>
      <w:r>
        <w:t>A3. Innovative Working Framework for NexSpace</w:t>
      </w:r>
      <w:bookmarkEnd w:id="4"/>
    </w:p>
    <w:p w14:paraId="7A15D1D4">
      <w:pPr>
        <w:pStyle w:val="17"/>
        <w:spacing w:line="360" w:lineRule="auto"/>
        <w:jc w:val="both"/>
        <w:rPr>
          <w:rFonts w:ascii="Arial" w:hAnsi="Arial" w:cs="Arial"/>
        </w:rPr>
      </w:pPr>
      <w:r>
        <w:rPr>
          <w:rStyle w:val="47"/>
          <w:rFonts w:ascii="Arial" w:hAnsi="Arial" w:cs="Arial" w:eastAsiaTheme="majorEastAsia"/>
        </w:rPr>
        <w:t>An Adaptive Digital Work System (ADWS) should be implemented in NexSpace based on flexible working, agile delivery, employee autonomy, cross-functional collaboration, human-AI collaboration and robust governance.</w:t>
      </w:r>
      <w:r>
        <w:rPr>
          <w:rFonts w:ascii="Arial" w:hAnsi="Arial" w:cs="Arial"/>
        </w:rPr>
        <w:t xml:space="preserve"> </w:t>
      </w:r>
      <w:r>
        <w:rPr>
          <w:rStyle w:val="47"/>
          <w:rFonts w:ascii="Arial" w:hAnsi="Arial" w:cs="Arial" w:eastAsiaTheme="majorEastAsia"/>
        </w:rPr>
        <w:t>The framework will allow employees to tailor their working practices and play a role in innovation while providing clarity, quality of healthcare and data protection.</w:t>
      </w:r>
    </w:p>
    <w:p w14:paraId="74F392DD">
      <w:pPr>
        <w:spacing w:line="360" w:lineRule="auto"/>
        <w:jc w:val="both"/>
        <w:rPr>
          <w:rFonts w:ascii="Arial" w:hAnsi="Arial" w:cs="Arial"/>
        </w:rPr>
      </w:pPr>
    </w:p>
    <w:p w14:paraId="57AD880B">
      <w:pPr>
        <w:spacing w:line="360" w:lineRule="auto"/>
        <w:jc w:val="both"/>
        <w:rPr>
          <w:rFonts w:ascii="Arial" w:hAnsi="Arial" w:cs="Arial"/>
        </w:rPr>
      </w:pPr>
      <w:r>
        <w:rPr>
          <w:rFonts w:ascii="Arial" w:hAnsi="Arial" w:cs="Arial"/>
          <w:lang w:eastAsia="en-GB"/>
        </w:rPr>
        <w:drawing>
          <wp:inline distT="0" distB="0" distL="0" distR="0">
            <wp:extent cx="5944235" cy="33851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84661"/>
                    </a:xfrm>
                    <a:prstGeom prst="rect">
                      <a:avLst/>
                    </a:prstGeom>
                  </pic:spPr>
                </pic:pic>
              </a:graphicData>
            </a:graphic>
          </wp:inline>
        </w:drawing>
      </w:r>
    </w:p>
    <w:p w14:paraId="25F5C5CC">
      <w:pPr>
        <w:spacing w:line="360" w:lineRule="auto"/>
        <w:jc w:val="center"/>
        <w:rPr>
          <w:rFonts w:ascii="Arial" w:hAnsi="Arial" w:cs="Arial"/>
        </w:rPr>
      </w:pPr>
      <w:r>
        <w:rPr>
          <w:rFonts w:ascii="Arial" w:hAnsi="Arial" w:cs="Arial"/>
        </w:rPr>
        <w:t>Figure 1: Adaptive Digital Work System (ADWS) for NexSpace</w:t>
      </w:r>
    </w:p>
    <w:p w14:paraId="60B1F11C">
      <w:pPr>
        <w:spacing w:line="360" w:lineRule="auto"/>
        <w:jc w:val="center"/>
        <w:rPr>
          <w:rFonts w:ascii="Arial" w:hAnsi="Arial" w:cs="Arial"/>
        </w:rPr>
      </w:pPr>
      <w:r>
        <w:rPr>
          <w:rFonts w:ascii="Arial" w:hAnsi="Arial" w:cs="Arial"/>
        </w:rPr>
        <w:t>Source: Author’s own construction based on Beck et al. (2001), Trist and Bamforth (1951), Ryan and Deci (2000) and OECD (2024).</w:t>
      </w:r>
    </w:p>
    <w:p w14:paraId="40595383">
      <w:pPr>
        <w:spacing w:line="360" w:lineRule="auto"/>
        <w:jc w:val="both"/>
        <w:rPr>
          <w:rFonts w:ascii="Arial" w:hAnsi="Arial" w:cs="Arial"/>
        </w:rPr>
      </w:pPr>
    </w:p>
    <w:p w14:paraId="6FCB3A24">
      <w:pPr>
        <w:spacing w:line="360" w:lineRule="auto"/>
        <w:jc w:val="both"/>
        <w:rPr>
          <w:rFonts w:ascii="Arial" w:hAnsi="Arial" w:cs="Arial"/>
        </w:rPr>
      </w:pPr>
    </w:p>
    <w:p w14:paraId="62827A20">
      <w:pPr>
        <w:spacing w:line="360" w:lineRule="auto"/>
        <w:jc w:val="both"/>
        <w:rPr>
          <w:rFonts w:ascii="Arial" w:hAnsi="Arial" w:cs="Arial"/>
        </w:rPr>
      </w:pPr>
    </w:p>
    <w:p w14:paraId="45EE544D">
      <w:pPr>
        <w:spacing w:line="360" w:lineRule="auto"/>
        <w:jc w:val="both"/>
        <w:rPr>
          <w:rFonts w:ascii="Arial" w:hAnsi="Arial" w:cs="Arial"/>
        </w:rPr>
      </w:pPr>
    </w:p>
    <w:p w14:paraId="6324F30D">
      <w:pPr>
        <w:spacing w:line="360" w:lineRule="auto"/>
        <w:jc w:val="both"/>
        <w:rPr>
          <w:rFonts w:ascii="Arial" w:hAnsi="Arial" w:cs="Arial"/>
        </w:rPr>
      </w:pPr>
    </w:p>
    <w:p w14:paraId="64C8DB9B">
      <w:pPr>
        <w:spacing w:line="360" w:lineRule="auto"/>
        <w:jc w:val="both"/>
        <w:rPr>
          <w:rFonts w:ascii="Arial" w:hAnsi="Arial" w:cs="Arial"/>
        </w:rPr>
      </w:pPr>
      <w:r>
        <w:rPr>
          <w:rFonts w:ascii="Arial" w:hAnsi="Arial" w:cs="Arial"/>
        </w:rPr>
        <w:t>Table 1: Proposed Adaptive Digital Work System (ADWS) Practices at NexSpace Health Systems</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5"/>
        <w:gridCol w:w="4452"/>
        <w:gridCol w:w="2999"/>
      </w:tblGrid>
      <w:tr w14:paraId="5598FA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002060"/>
          </w:tcPr>
          <w:p w14:paraId="321FADCC">
            <w:pPr>
              <w:spacing w:after="160" w:line="360" w:lineRule="auto"/>
              <w:jc w:val="both"/>
              <w:rPr>
                <w:rFonts w:ascii="Arial" w:hAnsi="Arial" w:cs="Arial"/>
                <w:b/>
                <w:bCs/>
              </w:rPr>
            </w:pPr>
            <w:r>
              <w:rPr>
                <w:rFonts w:ascii="Arial" w:hAnsi="Arial" w:cs="Arial"/>
                <w:b/>
                <w:bCs/>
              </w:rPr>
              <w:t>Component</w:t>
            </w:r>
          </w:p>
        </w:tc>
        <w:tc>
          <w:tcPr>
            <w:tcW w:w="0" w:type="auto"/>
            <w:shd w:val="clear" w:color="auto" w:fill="002060"/>
          </w:tcPr>
          <w:p w14:paraId="045B47A6">
            <w:pPr>
              <w:spacing w:after="160" w:line="360" w:lineRule="auto"/>
              <w:jc w:val="both"/>
              <w:rPr>
                <w:rFonts w:ascii="Arial" w:hAnsi="Arial" w:cs="Arial"/>
                <w:b/>
                <w:bCs/>
              </w:rPr>
            </w:pPr>
            <w:r>
              <w:rPr>
                <w:rFonts w:ascii="Arial" w:hAnsi="Arial" w:cs="Arial"/>
                <w:b/>
                <w:bCs/>
              </w:rPr>
              <w:t>Proposed practice at NexSpace</w:t>
            </w:r>
          </w:p>
        </w:tc>
        <w:tc>
          <w:tcPr>
            <w:tcW w:w="0" w:type="auto"/>
            <w:shd w:val="clear" w:color="auto" w:fill="002060"/>
          </w:tcPr>
          <w:p w14:paraId="3CD86B4B">
            <w:pPr>
              <w:spacing w:after="160" w:line="360" w:lineRule="auto"/>
              <w:jc w:val="both"/>
              <w:rPr>
                <w:rFonts w:ascii="Arial" w:hAnsi="Arial" w:cs="Arial"/>
                <w:b/>
                <w:bCs/>
              </w:rPr>
            </w:pPr>
            <w:r>
              <w:rPr>
                <w:rFonts w:ascii="Arial" w:hAnsi="Arial" w:cs="Arial"/>
                <w:b/>
                <w:bCs/>
              </w:rPr>
              <w:t>Strategic benefit</w:t>
            </w:r>
          </w:p>
        </w:tc>
      </w:tr>
      <w:tr w14:paraId="05EC39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8D7B3A5">
            <w:pPr>
              <w:spacing w:after="160" w:line="360" w:lineRule="auto"/>
              <w:rPr>
                <w:rFonts w:ascii="Arial" w:hAnsi="Arial" w:cs="Arial"/>
              </w:rPr>
            </w:pPr>
            <w:r>
              <w:rPr>
                <w:rFonts w:ascii="Arial" w:hAnsi="Arial" w:cs="Arial"/>
              </w:rPr>
              <w:t>Cross-functional teams</w:t>
            </w:r>
          </w:p>
        </w:tc>
        <w:tc>
          <w:tcPr>
            <w:tcW w:w="0" w:type="auto"/>
          </w:tcPr>
          <w:p w14:paraId="3613A75F">
            <w:pPr>
              <w:spacing w:after="160" w:line="360" w:lineRule="auto"/>
              <w:rPr>
                <w:rFonts w:ascii="Arial" w:hAnsi="Arial" w:cs="Arial"/>
              </w:rPr>
            </w:pPr>
            <w:r>
              <w:rPr>
                <w:rFonts w:ascii="Arial" w:hAnsi="Arial" w:cs="Arial"/>
              </w:rPr>
              <w:t>Combine clinicians, software developers, data specialists, UX and cybersecurity professionals</w:t>
            </w:r>
          </w:p>
        </w:tc>
        <w:tc>
          <w:tcPr>
            <w:tcW w:w="0" w:type="auto"/>
          </w:tcPr>
          <w:p w14:paraId="2B08A69A">
            <w:pPr>
              <w:spacing w:after="160" w:line="360" w:lineRule="auto"/>
              <w:rPr>
                <w:rFonts w:ascii="Arial" w:hAnsi="Arial" w:cs="Arial"/>
              </w:rPr>
            </w:pPr>
            <w:r>
              <w:rPr>
                <w:rFonts w:ascii="Arial" w:hAnsi="Arial" w:cs="Arial"/>
              </w:rPr>
              <w:t>Faster and more integrated decision-making</w:t>
            </w:r>
          </w:p>
        </w:tc>
      </w:tr>
      <w:tr w14:paraId="7105BF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2682392">
            <w:pPr>
              <w:spacing w:after="160" w:line="360" w:lineRule="auto"/>
              <w:rPr>
                <w:rFonts w:ascii="Arial" w:hAnsi="Arial" w:cs="Arial"/>
              </w:rPr>
            </w:pPr>
            <w:r>
              <w:rPr>
                <w:rFonts w:ascii="Arial" w:hAnsi="Arial" w:cs="Arial"/>
              </w:rPr>
              <w:t>Flexible working</w:t>
            </w:r>
          </w:p>
        </w:tc>
        <w:tc>
          <w:tcPr>
            <w:tcW w:w="0" w:type="auto"/>
          </w:tcPr>
          <w:p w14:paraId="002979F9">
            <w:pPr>
              <w:spacing w:after="160" w:line="360" w:lineRule="auto"/>
              <w:rPr>
                <w:rFonts w:ascii="Arial" w:hAnsi="Arial" w:cs="Arial"/>
              </w:rPr>
            </w:pPr>
            <w:r>
              <w:rPr>
                <w:rFonts w:ascii="Arial" w:hAnsi="Arial" w:cs="Arial"/>
              </w:rPr>
              <w:t>Role-appropriate flexibility in working hours and location, with agreed collaboration periods</w:t>
            </w:r>
          </w:p>
        </w:tc>
        <w:tc>
          <w:tcPr>
            <w:tcW w:w="0" w:type="auto"/>
          </w:tcPr>
          <w:p w14:paraId="52390871">
            <w:pPr>
              <w:spacing w:after="160" w:line="360" w:lineRule="auto"/>
              <w:rPr>
                <w:rFonts w:ascii="Arial" w:hAnsi="Arial" w:cs="Arial"/>
              </w:rPr>
            </w:pPr>
            <w:r>
              <w:rPr>
                <w:rFonts w:ascii="Arial" w:hAnsi="Arial" w:cs="Arial"/>
              </w:rPr>
              <w:t>Improved work-life balance and workforce adaptability</w:t>
            </w:r>
          </w:p>
        </w:tc>
      </w:tr>
      <w:tr w14:paraId="38482E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4992149">
            <w:pPr>
              <w:spacing w:after="160" w:line="360" w:lineRule="auto"/>
              <w:rPr>
                <w:rFonts w:ascii="Arial" w:hAnsi="Arial" w:cs="Arial"/>
              </w:rPr>
            </w:pPr>
            <w:r>
              <w:rPr>
                <w:rFonts w:ascii="Arial" w:hAnsi="Arial" w:cs="Arial"/>
              </w:rPr>
              <w:t>Employee autonomy</w:t>
            </w:r>
          </w:p>
        </w:tc>
        <w:tc>
          <w:tcPr>
            <w:tcW w:w="0" w:type="auto"/>
          </w:tcPr>
          <w:p w14:paraId="019E916A">
            <w:pPr>
              <w:spacing w:after="160" w:line="360" w:lineRule="auto"/>
              <w:rPr>
                <w:rFonts w:ascii="Arial" w:hAnsi="Arial" w:cs="Arial"/>
              </w:rPr>
            </w:pPr>
            <w:r>
              <w:rPr>
                <w:rFonts w:ascii="Arial" w:hAnsi="Arial" w:cs="Arial"/>
              </w:rPr>
              <w:t>Teams determine task allocation and work methods within governance boundaries</w:t>
            </w:r>
          </w:p>
        </w:tc>
        <w:tc>
          <w:tcPr>
            <w:tcW w:w="0" w:type="auto"/>
          </w:tcPr>
          <w:p w14:paraId="3B3D4335">
            <w:pPr>
              <w:spacing w:after="160" w:line="360" w:lineRule="auto"/>
              <w:rPr>
                <w:rFonts w:ascii="Arial" w:hAnsi="Arial" w:cs="Arial"/>
              </w:rPr>
            </w:pPr>
            <w:r>
              <w:rPr>
                <w:rFonts w:ascii="Arial" w:hAnsi="Arial" w:cs="Arial"/>
              </w:rPr>
              <w:t>Higher ownership and motivation</w:t>
            </w:r>
          </w:p>
        </w:tc>
      </w:tr>
      <w:tr w14:paraId="075AC0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43979DF">
            <w:pPr>
              <w:spacing w:after="160" w:line="360" w:lineRule="auto"/>
              <w:rPr>
                <w:rFonts w:ascii="Arial" w:hAnsi="Arial" w:cs="Arial"/>
              </w:rPr>
            </w:pPr>
            <w:r>
              <w:rPr>
                <w:rFonts w:ascii="Arial" w:hAnsi="Arial" w:cs="Arial"/>
              </w:rPr>
              <w:t>Agile delivery</w:t>
            </w:r>
          </w:p>
        </w:tc>
        <w:tc>
          <w:tcPr>
            <w:tcW w:w="0" w:type="auto"/>
          </w:tcPr>
          <w:p w14:paraId="6C052757">
            <w:pPr>
              <w:spacing w:after="160" w:line="360" w:lineRule="auto"/>
              <w:rPr>
                <w:rFonts w:ascii="Arial" w:hAnsi="Arial" w:cs="Arial"/>
              </w:rPr>
            </w:pPr>
            <w:r>
              <w:rPr>
                <w:rFonts w:ascii="Arial" w:hAnsi="Arial" w:cs="Arial"/>
              </w:rPr>
              <w:t>Short development cycles and regular user feedback</w:t>
            </w:r>
          </w:p>
        </w:tc>
        <w:tc>
          <w:tcPr>
            <w:tcW w:w="0" w:type="auto"/>
          </w:tcPr>
          <w:p w14:paraId="1CC331D0">
            <w:pPr>
              <w:spacing w:after="160" w:line="360" w:lineRule="auto"/>
              <w:rPr>
                <w:rFonts w:ascii="Arial" w:hAnsi="Arial" w:cs="Arial"/>
              </w:rPr>
            </w:pPr>
            <w:r>
              <w:rPr>
                <w:rFonts w:ascii="Arial" w:hAnsi="Arial" w:cs="Arial"/>
              </w:rPr>
              <w:t>Faster innovation</w:t>
            </w:r>
          </w:p>
        </w:tc>
      </w:tr>
      <w:tr w14:paraId="03343F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F892AA5">
            <w:pPr>
              <w:spacing w:after="160" w:line="360" w:lineRule="auto"/>
              <w:rPr>
                <w:rFonts w:ascii="Arial" w:hAnsi="Arial" w:cs="Arial"/>
              </w:rPr>
            </w:pPr>
            <w:r>
              <w:rPr>
                <w:rFonts w:ascii="Arial" w:hAnsi="Arial" w:cs="Arial"/>
              </w:rPr>
              <w:t>Human-AI collaboration</w:t>
            </w:r>
          </w:p>
        </w:tc>
        <w:tc>
          <w:tcPr>
            <w:tcW w:w="0" w:type="auto"/>
          </w:tcPr>
          <w:p w14:paraId="0C35DD6D">
            <w:pPr>
              <w:spacing w:after="160" w:line="360" w:lineRule="auto"/>
              <w:rPr>
                <w:rFonts w:ascii="Arial" w:hAnsi="Arial" w:cs="Arial"/>
              </w:rPr>
            </w:pPr>
            <w:r>
              <w:rPr>
                <w:rFonts w:ascii="Arial" w:hAnsi="Arial" w:cs="Arial"/>
              </w:rPr>
              <w:t>AI supports routine analysis and administration while humans retain judgement</w:t>
            </w:r>
          </w:p>
        </w:tc>
        <w:tc>
          <w:tcPr>
            <w:tcW w:w="0" w:type="auto"/>
          </w:tcPr>
          <w:p w14:paraId="097C5E24">
            <w:pPr>
              <w:spacing w:after="160" w:line="360" w:lineRule="auto"/>
              <w:rPr>
                <w:rFonts w:ascii="Arial" w:hAnsi="Arial" w:cs="Arial"/>
              </w:rPr>
            </w:pPr>
            <w:r>
              <w:rPr>
                <w:rFonts w:ascii="Arial" w:hAnsi="Arial" w:cs="Arial"/>
              </w:rPr>
              <w:t>Productivity and quality</w:t>
            </w:r>
          </w:p>
        </w:tc>
      </w:tr>
      <w:tr w14:paraId="196614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067E9D31">
            <w:pPr>
              <w:spacing w:after="160" w:line="360" w:lineRule="auto"/>
              <w:rPr>
                <w:rFonts w:ascii="Arial" w:hAnsi="Arial" w:cs="Arial"/>
              </w:rPr>
            </w:pPr>
            <w:r>
              <w:rPr>
                <w:rFonts w:ascii="Arial" w:hAnsi="Arial" w:cs="Arial"/>
              </w:rPr>
              <w:t>Employee voice</w:t>
            </w:r>
          </w:p>
        </w:tc>
        <w:tc>
          <w:tcPr>
            <w:tcW w:w="0" w:type="auto"/>
          </w:tcPr>
          <w:p w14:paraId="42611E9F">
            <w:pPr>
              <w:spacing w:after="160" w:line="360" w:lineRule="auto"/>
              <w:rPr>
                <w:rFonts w:ascii="Arial" w:hAnsi="Arial" w:cs="Arial"/>
              </w:rPr>
            </w:pPr>
            <w:r>
              <w:rPr>
                <w:rFonts w:ascii="Arial" w:hAnsi="Arial" w:cs="Arial"/>
              </w:rPr>
              <w:t>Retrospectives, feedback sessions and risk-reporting mechanisms</w:t>
            </w:r>
          </w:p>
        </w:tc>
        <w:tc>
          <w:tcPr>
            <w:tcW w:w="0" w:type="auto"/>
          </w:tcPr>
          <w:p w14:paraId="22E07E9D">
            <w:pPr>
              <w:spacing w:after="160" w:line="360" w:lineRule="auto"/>
              <w:rPr>
                <w:rFonts w:ascii="Arial" w:hAnsi="Arial" w:cs="Arial"/>
              </w:rPr>
            </w:pPr>
            <w:r>
              <w:rPr>
                <w:rFonts w:ascii="Arial" w:hAnsi="Arial" w:cs="Arial"/>
              </w:rPr>
              <w:t>Learning and psychological safety</w:t>
            </w:r>
          </w:p>
        </w:tc>
      </w:tr>
      <w:tr w14:paraId="04F36B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C397036">
            <w:pPr>
              <w:spacing w:after="160" w:line="360" w:lineRule="auto"/>
              <w:rPr>
                <w:rFonts w:ascii="Arial" w:hAnsi="Arial" w:cs="Arial"/>
              </w:rPr>
            </w:pPr>
            <w:r>
              <w:rPr>
                <w:rFonts w:ascii="Arial" w:hAnsi="Arial" w:cs="Arial"/>
              </w:rPr>
              <w:t>Outcome-based performance</w:t>
            </w:r>
          </w:p>
        </w:tc>
        <w:tc>
          <w:tcPr>
            <w:tcW w:w="0" w:type="auto"/>
          </w:tcPr>
          <w:p w14:paraId="4292C319">
            <w:pPr>
              <w:spacing w:after="160" w:line="360" w:lineRule="auto"/>
              <w:rPr>
                <w:rFonts w:ascii="Arial" w:hAnsi="Arial" w:cs="Arial"/>
              </w:rPr>
            </w:pPr>
            <w:r>
              <w:rPr>
                <w:rFonts w:ascii="Arial" w:hAnsi="Arial" w:cs="Arial"/>
              </w:rPr>
              <w:t>Evaluate results rather than online presence</w:t>
            </w:r>
          </w:p>
        </w:tc>
        <w:tc>
          <w:tcPr>
            <w:tcW w:w="0" w:type="auto"/>
          </w:tcPr>
          <w:p w14:paraId="13537D1D">
            <w:pPr>
              <w:spacing w:after="160" w:line="360" w:lineRule="auto"/>
              <w:rPr>
                <w:rFonts w:ascii="Arial" w:hAnsi="Arial" w:cs="Arial"/>
              </w:rPr>
            </w:pPr>
            <w:r>
              <w:rPr>
                <w:rFonts w:ascii="Arial" w:hAnsi="Arial" w:cs="Arial"/>
              </w:rPr>
              <w:t>Greater accountability</w:t>
            </w:r>
          </w:p>
        </w:tc>
      </w:tr>
    </w:tbl>
    <w:p w14:paraId="14F93FE6">
      <w:pPr>
        <w:spacing w:line="360" w:lineRule="auto"/>
        <w:jc w:val="both"/>
        <w:rPr>
          <w:rFonts w:ascii="Arial" w:hAnsi="Arial" w:cs="Arial"/>
        </w:rPr>
      </w:pPr>
    </w:p>
    <w:p w14:paraId="255F0475">
      <w:pPr>
        <w:spacing w:line="360" w:lineRule="auto"/>
        <w:jc w:val="both"/>
        <w:rPr>
          <w:rFonts w:ascii="Arial" w:hAnsi="Arial" w:cs="Arial"/>
        </w:rPr>
      </w:pPr>
      <w:r>
        <w:rPr>
          <w:rFonts w:ascii="Arial" w:hAnsi="Arial" w:cs="Arial"/>
        </w:rPr>
        <w:t xml:space="preserve"> This is in line with the High-Involvement Work System principles as employees are provided information, skills and opportunities for involvement in organisational decisions (Wood et al., 2012). The use of AI needs to be introduced as an augmentation mechanism as well as an automation mechanism. The use of AI is growing, but only 6% of leaders say their organisations are making meaningful progress towards designing human AI interactions (Deloitte, 2026). Administration documentation, summarisation of data, routine data retrieval, and preliminary analysis may be done using AI tools by NexSpace (GitLab, 2026). Responsibility for clinical interpretation and subsequent clinical decisions should remain with human professionals. According to OECD (2024), AI can enhance workers' performance, but also raise issues around work intensity and autonomy and data use (Beck et al., 2001).</w:t>
      </w:r>
    </w:p>
    <w:p w14:paraId="3C299478">
      <w:pPr>
        <w:pStyle w:val="3"/>
      </w:pPr>
      <w:bookmarkStart w:id="5" w:name="_Toc242182230"/>
      <w:r>
        <w:t>A4. Performance Impact</w:t>
      </w:r>
      <w:bookmarkEnd w:id="5"/>
    </w:p>
    <w:p w14:paraId="03601240">
      <w:pPr>
        <w:pStyle w:val="17"/>
        <w:spacing w:line="360" w:lineRule="auto"/>
        <w:jc w:val="both"/>
        <w:rPr>
          <w:rFonts w:ascii="Arial" w:hAnsi="Arial" w:cs="Arial"/>
        </w:rPr>
      </w:pPr>
      <w:r>
        <w:rPr>
          <w:rStyle w:val="47"/>
          <w:rFonts w:ascii="Arial" w:hAnsi="Arial" w:cs="Arial" w:eastAsiaTheme="majorEastAsia"/>
        </w:rPr>
        <w:t>The Adaptive Digital Work System can help solve NexSpace's collaboration, innovation and workforce adaptability issues by connecting cross-functional teams, flexible working, agile delivery, and responsible human-AI collaboration.</w:t>
      </w:r>
      <w:r>
        <w:rPr>
          <w:rFonts w:ascii="Arial" w:hAnsi="Arial" w:cs="Arial"/>
        </w:rPr>
        <w:t xml:space="preserve"> </w:t>
      </w:r>
      <w:r>
        <w:rPr>
          <w:rStyle w:val="47"/>
          <w:rFonts w:ascii="Arial" w:hAnsi="Arial" w:cs="Arial" w:eastAsiaTheme="majorEastAsia"/>
        </w:rPr>
        <w:t>Cross-functional teams, including clinicians, developers, data specialists and cybersecurity professionals, can enhance communication, minimize silos and facilitate quicker identification of issues.</w:t>
      </w:r>
      <w:r>
        <w:rPr>
          <w:rFonts w:ascii="Arial" w:hAnsi="Arial" w:cs="Arial"/>
        </w:rPr>
        <w:t xml:space="preserve"> </w:t>
      </w:r>
      <w:r>
        <w:rPr>
          <w:rStyle w:val="47"/>
          <w:rFonts w:ascii="Arial" w:hAnsi="Arial" w:cs="Arial" w:eastAsiaTheme="majorEastAsia"/>
        </w:rPr>
        <w:t>Edmondson (1999) underscores the need for psychological safety in team learning, so that employees can voice issues and mistakes without fear.</w:t>
      </w:r>
      <w:r>
        <w:rPr>
          <w:rFonts w:ascii="Arial" w:hAnsi="Arial" w:cs="Arial"/>
        </w:rPr>
        <w:t xml:space="preserve"> </w:t>
      </w:r>
      <w:r>
        <w:rPr>
          <w:rStyle w:val="47"/>
          <w:rFonts w:ascii="Arial" w:hAnsi="Arial" w:cs="Arial" w:eastAsiaTheme="majorEastAsia"/>
        </w:rPr>
        <w:t>Flexible working may benefit employee wellbeing and retention, as long as it does not compromise clinical services or information security and collaboration requirements.</w:t>
      </w:r>
      <w:r>
        <w:rPr>
          <w:rFonts w:ascii="Arial" w:hAnsi="Arial" w:cs="Arial"/>
        </w:rPr>
        <w:t xml:space="preserve"> </w:t>
      </w:r>
      <w:r>
        <w:rPr>
          <w:rStyle w:val="47"/>
          <w:rFonts w:ascii="Arial" w:hAnsi="Arial" w:cs="Arial" w:eastAsiaTheme="majorEastAsia"/>
        </w:rPr>
        <w:t>Formalising the evaluation of employees by the agreed outcomes instead of the presence can also enhance accountability.</w:t>
      </w:r>
      <w:r>
        <w:rPr>
          <w:rFonts w:ascii="Arial" w:hAnsi="Arial" w:cs="Arial"/>
        </w:rPr>
        <w:t xml:space="preserve"> </w:t>
      </w:r>
      <w:r>
        <w:rPr>
          <w:rStyle w:val="47"/>
          <w:rFonts w:ascii="Arial" w:hAnsi="Arial" w:cs="Arial" w:eastAsiaTheme="majorEastAsia"/>
        </w:rPr>
        <w:t>Moreover, agile delivery enables the teams to evaluate solutions, collect feedback from users and improve digital services in brief development batches, thereby getting insights into potential issues at an early stage.</w:t>
      </w:r>
      <w:r>
        <w:rPr>
          <w:rFonts w:ascii="Arial" w:hAnsi="Arial" w:cs="Arial"/>
        </w:rPr>
        <w:t xml:space="preserve"> </w:t>
      </w:r>
      <w:r>
        <w:rPr>
          <w:rStyle w:val="47"/>
          <w:rFonts w:ascii="Arial" w:hAnsi="Arial" w:cs="Arial" w:eastAsiaTheme="majorEastAsia"/>
        </w:rPr>
        <w:t>AI can help alleviate repetitive administrative tasks and enable people to focus on work that demands judgment.</w:t>
      </w:r>
      <w:r>
        <w:rPr>
          <w:rFonts w:ascii="Arial" w:hAnsi="Arial" w:cs="Arial"/>
        </w:rPr>
        <w:t xml:space="preserve"> </w:t>
      </w:r>
      <w:r>
        <w:rPr>
          <w:rStyle w:val="47"/>
          <w:rFonts w:ascii="Arial" w:hAnsi="Arial" w:cs="Arial" w:eastAsiaTheme="majorEastAsia"/>
        </w:rPr>
        <w:t>But the outputs of AI have to be checked and clinical decisions still need to come from qualified professionals.</w:t>
      </w:r>
      <w:r>
        <w:rPr>
          <w:rFonts w:ascii="Arial" w:hAnsi="Arial" w:cs="Arial"/>
        </w:rPr>
        <w:t xml:space="preserve"> </w:t>
      </w:r>
      <w:r>
        <w:rPr>
          <w:rStyle w:val="47"/>
          <w:rFonts w:ascii="Arial" w:hAnsi="Arial" w:cs="Arial" w:eastAsiaTheme="majorEastAsia"/>
        </w:rPr>
        <w:t>NexSpace needs to assess the framework from the development-cycle-time, employee turnover, engagement scores, defect, user satisfaction and time saved due to automation.</w:t>
      </w:r>
      <w:r>
        <w:rPr>
          <w:rFonts w:ascii="Arial" w:hAnsi="Arial" w:cs="Arial"/>
        </w:rPr>
        <w:t xml:space="preserve"> </w:t>
      </w:r>
      <w:r>
        <w:rPr>
          <w:rStyle w:val="47"/>
          <w:rFonts w:ascii="Arial" w:hAnsi="Arial" w:cs="Arial" w:eastAsiaTheme="majorEastAsia"/>
        </w:rPr>
        <w:t>Set baseline measurements prior to implementation and compare to follow-up measurements would aid management in determining actual improvements.</w:t>
      </w:r>
      <w:r>
        <w:rPr>
          <w:rFonts w:ascii="Arial" w:hAnsi="Arial" w:cs="Arial"/>
        </w:rPr>
        <w:t xml:space="preserve"> </w:t>
      </w:r>
      <w:r>
        <w:rPr>
          <w:rStyle w:val="47"/>
          <w:rFonts w:ascii="Arial" w:hAnsi="Arial" w:cs="Arial" w:eastAsiaTheme="majorEastAsia"/>
        </w:rPr>
        <w:t>Overall, the framework is able to support productivity, innovation and employee wellbeing, as long as adequate governance, training and human oversight is maintained.</w:t>
      </w:r>
    </w:p>
    <w:p w14:paraId="406652BB">
      <w:pPr>
        <w:spacing w:line="360" w:lineRule="auto"/>
        <w:jc w:val="both"/>
        <w:rPr>
          <w:rFonts w:ascii="Arial" w:hAnsi="Arial" w:cs="Arial"/>
        </w:rPr>
      </w:pPr>
    </w:p>
    <w:p w14:paraId="50014500">
      <w:pPr>
        <w:spacing w:line="360" w:lineRule="auto"/>
        <w:jc w:val="both"/>
        <w:rPr>
          <w:rFonts w:ascii="Arial" w:hAnsi="Arial" w:cs="Arial"/>
        </w:rPr>
      </w:pPr>
      <w:r>
        <w:rPr>
          <w:rFonts w:ascii="Arial" w:hAnsi="Arial" w:cs="Arial"/>
          <w:lang w:eastAsia="en-GB"/>
        </w:rPr>
        <w:drawing>
          <wp:inline distT="0" distB="0" distL="0" distR="0">
            <wp:extent cx="5944235" cy="326834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943600" cy="3268124"/>
                    </a:xfrm>
                    <a:prstGeom prst="rect">
                      <a:avLst/>
                    </a:prstGeom>
                  </pic:spPr>
                </pic:pic>
              </a:graphicData>
            </a:graphic>
          </wp:inline>
        </w:drawing>
      </w:r>
    </w:p>
    <w:p w14:paraId="57395E9F">
      <w:pPr>
        <w:spacing w:line="360" w:lineRule="auto"/>
        <w:jc w:val="center"/>
        <w:rPr>
          <w:rFonts w:ascii="Arial" w:hAnsi="Arial" w:cs="Arial"/>
        </w:rPr>
      </w:pPr>
      <w:r>
        <w:rPr>
          <w:rFonts w:ascii="Arial" w:hAnsi="Arial" w:cs="Arial"/>
        </w:rPr>
        <w:t>Figure 2: Impact of the Adaptive Digital Work System (ADWS) on Employee and Organisational Performance</w:t>
      </w:r>
    </w:p>
    <w:p w14:paraId="5CF30D6E">
      <w:pPr>
        <w:spacing w:line="360" w:lineRule="auto"/>
        <w:jc w:val="center"/>
        <w:rPr>
          <w:rFonts w:ascii="Arial" w:hAnsi="Arial" w:cs="Arial"/>
          <w:b/>
          <w:bCs/>
        </w:rPr>
      </w:pPr>
      <w:r>
        <w:rPr>
          <w:rFonts w:ascii="Arial" w:hAnsi="Arial" w:cs="Arial"/>
        </w:rPr>
        <w:t>Source: Author’s own construction, informed by Jiang et al. (2012), Ryan and Deci (2000), Bakker and Demerouti (2007), and Deloitte (2026).</w:t>
      </w:r>
    </w:p>
    <w:p w14:paraId="3C955ACA">
      <w:pPr>
        <w:pStyle w:val="2"/>
      </w:pPr>
      <w:bookmarkStart w:id="6" w:name="_Toc242182231"/>
      <w:r>
        <w:t>Task B: Developing a Talent-Growth Ecosystem</w:t>
      </w:r>
      <w:bookmarkEnd w:id="6"/>
    </w:p>
    <w:p w14:paraId="48C8D1F9">
      <w:pPr>
        <w:pStyle w:val="3"/>
      </w:pPr>
      <w:bookmarkStart w:id="7" w:name="_Toc242182232"/>
      <w:r>
        <w:t>B1. The Talent Problem</w:t>
      </w:r>
      <w:bookmarkEnd w:id="7"/>
    </w:p>
    <w:p w14:paraId="752E0588">
      <w:pPr>
        <w:spacing w:line="360" w:lineRule="auto"/>
        <w:jc w:val="both"/>
        <w:rPr>
          <w:rFonts w:ascii="Arial" w:hAnsi="Arial" w:cs="Arial"/>
        </w:rPr>
      </w:pPr>
      <w:r>
        <w:rPr>
          <w:rFonts w:ascii="Arial" w:hAnsi="Arial" w:cs="Arial"/>
        </w:rPr>
        <w:t xml:space="preserve">NexSpace Health Systems is in a market where there is greater competition for digital, clinical and analytical skills and talents, so it is important the organisation takes a different approach to its talent strategy, one that is more about ongoing capability development than recruitment. Reskilling is a huge task, with the World Economic Forum (2025) predicting that 39% of the skills currently in the workforce will be "transformed or outdated by 2030". </w:t>
      </w:r>
    </w:p>
    <w:p w14:paraId="429411FD">
      <w:pPr>
        <w:pStyle w:val="3"/>
      </w:pPr>
      <w:bookmarkStart w:id="8" w:name="_Toc242182233"/>
    </w:p>
    <w:p w14:paraId="433F0A89">
      <w:pPr>
        <w:pStyle w:val="3"/>
      </w:pPr>
      <w:r>
        <w:t>B2. Critical Theoretical Evaluation</w:t>
      </w:r>
      <w:bookmarkEnd w:id="8"/>
    </w:p>
    <w:p w14:paraId="423EB461">
      <w:pPr>
        <w:spacing w:line="360" w:lineRule="auto"/>
        <w:jc w:val="both"/>
        <w:rPr>
          <w:rFonts w:ascii="Arial" w:hAnsi="Arial" w:cs="Arial"/>
        </w:rPr>
      </w:pPr>
      <w:r>
        <w:rPr>
          <w:rFonts w:ascii="Arial" w:hAnsi="Arial" w:cs="Arial"/>
        </w:rPr>
        <w:t xml:space="preserve">The Sustainable Talent Development requires learning to become to be part of the organisation, not simply formally part of the training program and therefore it is necessary to have an organisational basis that gives this to us, Senge (1990) Learning Organisation is such an organisational basis. The addition of the individual level to Dweck's (2006) Growth Mindset posits that abilities can be cultivated through attempts, feedback and learning the messages that are sent if employees are encouraged to believe that they can develop (in the absence of adequate learning resources, managerial support and career opportunities) might place too heavy a burden on the employees in terms of development. Edmondson's (1999) notion of PS is also a significant one for there to be a place where employees can ask questions, admit to their errors and question accepted practices without fear of interpersonal repercussions. However, if talent development initiatives focus solely on employees with high potential, an overly tailored approach to talent could lead to unequal perceptions regarding opportunities for development. (Collings &amp; Mellahi, 2009) Wrzesniewski and Dutton's theory of Job Crafting (2001) reinforces the ecosystem idea by acknowledging employees' role in their job. However, it is possible that without the job crafting, coordination, workload and accountability issues can occur. An alternative theory to motivate employees is called Self-Determination Theory (SDT). Autonomy, competence and relatedness are regarded by Deci and Ryan (2000) as three basic psychological needs that foster high quality motivation. This is particularly relevant throughout the UK, India and UAE where employees should have similar opportunities for development and internal opportunities whilst simultaneously being sensitive to professional, cultural and regulatory differences. It is based on the Resource Based View (RBV) that valuable, rare and difficult-to-imitate resources can lead to sustained competitive advantage (Barney, 1991). Human Capital Theory also justifies investing in the knowledge and skills of the employees since knowledge and development can boost the productive capability (Becker, 1964). Focusing on ability, motivation and opportunity, the AMO framework goes further to explain how ability and/or motivation can be realized in performance (Appelbaum et al., 2000). </w:t>
      </w:r>
    </w:p>
    <w:p w14:paraId="6E97D57D">
      <w:pPr>
        <w:pStyle w:val="3"/>
      </w:pPr>
      <w:bookmarkStart w:id="9" w:name="_Toc242182234"/>
      <w:r>
        <w:t>B3. NexSpace Talent-Growth Ecosystem</w:t>
      </w:r>
      <w:bookmarkEnd w:id="9"/>
    </w:p>
    <w:p w14:paraId="4ACC3CDB">
      <w:pPr>
        <w:spacing w:after="0" w:line="360" w:lineRule="auto"/>
        <w:jc w:val="both"/>
        <w:rPr>
          <w:rFonts w:ascii="Arial" w:hAnsi="Arial" w:eastAsia="Times New Roman" w:cs="Arial"/>
          <w:kern w:val="0"/>
          <w:lang w:val="en-US"/>
          <w14:ligatures w14:val="none"/>
        </w:rPr>
      </w:pPr>
      <w:r>
        <w:rPr>
          <w:rFonts w:ascii="Arial" w:hAnsi="Arial" w:eastAsia="Times New Roman" w:cs="Arial"/>
          <w:kern w:val="0"/>
          <w:lang w:val="en-US"/>
          <w14:ligatures w14:val="none"/>
        </w:rPr>
        <w:t>NexSpace needs to build a Talent-Growth Ecosystem (TGE) that links workforce planning, skills development, mentoring, internal mobility and performance management. This will enable employees to acquire the skills needed for existing and future jobs. Senge (1990) points to the need for continuous learning within organisations, while Appelbaum et al. (2000) emphasise the need for the employee to be able, willing and disposed to improve performance.The ecosystem should start with the planning of staff and skills gaps in AI literacy, health data analytics, cyberscrurity, digital product development and clinical technologies. Next, HR and department managers should review their employees' current skills, and create personalized development plans that outline learning goals and measurable results.The next step should include organized training, mentoring, cross-functional project experiences and peer learning. These activities would support employees to transfer their understanding and skills to other teams. NexSpace should also cater to internal mobility by promoting job openings and providing temporary project opportunities, lateral move/promotions. Have clear selection criteria would benefit employees in the UK, India and UAE to fairly avail development opportunities.Lastly, managers should conduct regular development conversations, skills assessments and performance feedback to review employee progress. While AI can help identify skills gaps and suggest learning materials, human decision-making should be at the heart of career and promotion decisions. CIPD (2025) highlights the need for responsible AI governance and human oversight. Therefore, NexSpace must consider the ecosystem from the perspective of reducing skills gaps, learning applications, internal mobility and employee retention, and adapting development activities to the changing need of the organisation and, in turn, the local professional landscape.</w:t>
      </w:r>
    </w:p>
    <w:p w14:paraId="7A26A08D">
      <w:pPr>
        <w:pStyle w:val="17"/>
      </w:pPr>
      <w:r>
        <w:rPr>
          <w14:ligatures w14:val="standardContextual"/>
        </w:rPr>
        <w:drawing>
          <wp:inline distT="0" distB="0" distL="0" distR="0">
            <wp:extent cx="5943600" cy="2971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3080DEB9">
      <w:pPr>
        <w:pStyle w:val="17"/>
        <w:jc w:val="center"/>
        <w:rPr>
          <w:rFonts w:ascii="Arial" w:hAnsi="Arial" w:cs="Arial"/>
        </w:rPr>
      </w:pPr>
      <w:r>
        <w:rPr>
          <w:rFonts w:ascii="Arial" w:hAnsi="Arial" w:cs="Arial"/>
        </w:rPr>
        <w:t>Figure 3: NexSpace Talent-Growth Ecosystem</w:t>
      </w:r>
    </w:p>
    <w:p w14:paraId="5AED1D3F">
      <w:pPr>
        <w:pStyle w:val="17"/>
        <w:jc w:val="center"/>
        <w:rPr>
          <w:rFonts w:ascii="Arial" w:hAnsi="Arial" w:cs="Arial"/>
        </w:rPr>
      </w:pPr>
      <w:r>
        <w:rPr>
          <w:rFonts w:ascii="Arial" w:hAnsi="Arial" w:cs="Arial"/>
        </w:rPr>
        <w:t>Source: Author’s own construction, informed by Senge (1990), Dweck (2006) and Appelbaum et al. (2000).</w:t>
      </w:r>
    </w:p>
    <w:p w14:paraId="65398EFC">
      <w:pPr>
        <w:spacing w:before="100" w:beforeAutospacing="1" w:after="100" w:afterAutospacing="1" w:line="240" w:lineRule="auto"/>
        <w:rPr>
          <w:rFonts w:ascii="Times New Roman" w:hAnsi="Times New Roman" w:eastAsia="Times New Roman" w:cs="Times New Roman"/>
          <w:kern w:val="0"/>
          <w:lang w:eastAsia="en-GB"/>
          <w14:ligatures w14:val="none"/>
        </w:rPr>
      </w:pPr>
    </w:p>
    <w:p w14:paraId="6A9E1FBD">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Table 2: Design of the Talent-Growth Ecosystem at NexSpace</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30"/>
        <w:gridCol w:w="4299"/>
        <w:gridCol w:w="2947"/>
      </w:tblGrid>
      <w:tr w14:paraId="79962B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2F5496" w:themeFill="accent1" w:themeFillShade="BF"/>
          </w:tcPr>
          <w:p w14:paraId="4F348813">
            <w:pPr>
              <w:spacing w:before="100" w:beforeAutospacing="1" w:after="100" w:afterAutospacing="1" w:line="360" w:lineRule="auto"/>
              <w:jc w:val="both"/>
              <w:rPr>
                <w:rFonts w:ascii="Arial" w:hAnsi="Arial" w:eastAsia="Times New Roman" w:cs="Arial"/>
                <w:b/>
                <w:bCs/>
                <w:kern w:val="0"/>
                <w:lang w:eastAsia="en-GB"/>
                <w14:ligatures w14:val="none"/>
              </w:rPr>
            </w:pPr>
            <w:r>
              <w:rPr>
                <w:rFonts w:ascii="Arial" w:hAnsi="Arial" w:eastAsia="Times New Roman" w:cs="Arial"/>
                <w:b/>
                <w:bCs/>
                <w:kern w:val="0"/>
                <w:lang w:eastAsia="en-GB"/>
                <w14:ligatures w14:val="none"/>
              </w:rPr>
              <w:t>Stage</w:t>
            </w:r>
          </w:p>
        </w:tc>
        <w:tc>
          <w:tcPr>
            <w:tcW w:w="0" w:type="auto"/>
            <w:shd w:val="clear" w:color="auto" w:fill="2F5496" w:themeFill="accent1" w:themeFillShade="BF"/>
          </w:tcPr>
          <w:p w14:paraId="2D5528C1">
            <w:pPr>
              <w:spacing w:before="100" w:beforeAutospacing="1" w:after="100" w:afterAutospacing="1" w:line="360" w:lineRule="auto"/>
              <w:jc w:val="both"/>
              <w:rPr>
                <w:rFonts w:ascii="Arial" w:hAnsi="Arial" w:eastAsia="Times New Roman" w:cs="Arial"/>
                <w:b/>
                <w:bCs/>
                <w:kern w:val="0"/>
                <w:lang w:eastAsia="en-GB"/>
                <w14:ligatures w14:val="none"/>
              </w:rPr>
            </w:pPr>
            <w:r>
              <w:rPr>
                <w:rFonts w:ascii="Arial" w:hAnsi="Arial" w:eastAsia="Times New Roman" w:cs="Arial"/>
                <w:b/>
                <w:bCs/>
                <w:kern w:val="0"/>
                <w:lang w:eastAsia="en-GB"/>
                <w14:ligatures w14:val="none"/>
              </w:rPr>
              <w:t>Main activity</w:t>
            </w:r>
          </w:p>
        </w:tc>
        <w:tc>
          <w:tcPr>
            <w:tcW w:w="0" w:type="auto"/>
            <w:shd w:val="clear" w:color="auto" w:fill="2F5496" w:themeFill="accent1" w:themeFillShade="BF"/>
          </w:tcPr>
          <w:p w14:paraId="37094483">
            <w:pPr>
              <w:spacing w:before="100" w:beforeAutospacing="1" w:after="100" w:afterAutospacing="1" w:line="360" w:lineRule="auto"/>
              <w:jc w:val="both"/>
              <w:rPr>
                <w:rFonts w:ascii="Arial" w:hAnsi="Arial" w:eastAsia="Times New Roman" w:cs="Arial"/>
                <w:b/>
                <w:bCs/>
                <w:kern w:val="0"/>
                <w:lang w:eastAsia="en-GB"/>
                <w14:ligatures w14:val="none"/>
              </w:rPr>
            </w:pPr>
            <w:r>
              <w:rPr>
                <w:rFonts w:ascii="Arial" w:hAnsi="Arial" w:eastAsia="Times New Roman" w:cs="Arial"/>
                <w:b/>
                <w:bCs/>
                <w:kern w:val="0"/>
                <w:lang w:eastAsia="en-GB"/>
                <w14:ligatures w14:val="none"/>
              </w:rPr>
              <w:t>Intended outcome</w:t>
            </w:r>
          </w:p>
        </w:tc>
      </w:tr>
      <w:tr w14:paraId="6201CB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113C73B">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 xml:space="preserve"> Workforce planning</w:t>
            </w:r>
          </w:p>
        </w:tc>
        <w:tc>
          <w:tcPr>
            <w:tcW w:w="0" w:type="auto"/>
          </w:tcPr>
          <w:p w14:paraId="3ECEE7E4">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Identify future skills and workforce needs</w:t>
            </w:r>
          </w:p>
        </w:tc>
        <w:tc>
          <w:tcPr>
            <w:tcW w:w="0" w:type="auto"/>
          </w:tcPr>
          <w:p w14:paraId="22A2FE48">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Clear capability priorities</w:t>
            </w:r>
          </w:p>
        </w:tc>
      </w:tr>
      <w:tr w14:paraId="0D574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9EBA1D0">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 xml:space="preserve"> Skills development</w:t>
            </w:r>
          </w:p>
        </w:tc>
        <w:tc>
          <w:tcPr>
            <w:tcW w:w="0" w:type="auto"/>
          </w:tcPr>
          <w:p w14:paraId="5FAB997A">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Assess skills gaps and prepare learning plans</w:t>
            </w:r>
          </w:p>
        </w:tc>
        <w:tc>
          <w:tcPr>
            <w:tcW w:w="0" w:type="auto"/>
          </w:tcPr>
          <w:p w14:paraId="552BD355">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Improved employee capabilities</w:t>
            </w:r>
          </w:p>
        </w:tc>
      </w:tr>
      <w:tr w14:paraId="0E66E6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76327F4">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 xml:space="preserve"> Learning and mentoring</w:t>
            </w:r>
          </w:p>
        </w:tc>
        <w:tc>
          <w:tcPr>
            <w:tcW w:w="0" w:type="auto"/>
          </w:tcPr>
          <w:p w14:paraId="6200A3A4">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Provide training, mentoring and project-based learning</w:t>
            </w:r>
          </w:p>
        </w:tc>
        <w:tc>
          <w:tcPr>
            <w:tcW w:w="0" w:type="auto"/>
          </w:tcPr>
          <w:p w14:paraId="4D92A8EA">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Practical application of knowledge</w:t>
            </w:r>
          </w:p>
        </w:tc>
      </w:tr>
      <w:tr w14:paraId="428E6E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1CB07554">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 xml:space="preserve"> Internal mobility</w:t>
            </w:r>
          </w:p>
        </w:tc>
        <w:tc>
          <w:tcPr>
            <w:tcW w:w="0" w:type="auto"/>
          </w:tcPr>
          <w:p w14:paraId="3891D5DB">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Offer internal vacancies and project assignments</w:t>
            </w:r>
          </w:p>
        </w:tc>
        <w:tc>
          <w:tcPr>
            <w:tcW w:w="0" w:type="auto"/>
          </w:tcPr>
          <w:p w14:paraId="4DC61131">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Career progression and retention</w:t>
            </w:r>
          </w:p>
        </w:tc>
      </w:tr>
      <w:tr w14:paraId="3BB511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D300FF6">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 xml:space="preserve"> Evaluation</w:t>
            </w:r>
          </w:p>
        </w:tc>
        <w:tc>
          <w:tcPr>
            <w:tcW w:w="0" w:type="auto"/>
          </w:tcPr>
          <w:p w14:paraId="67E13691">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Review skills, performance and development outcomes</w:t>
            </w:r>
          </w:p>
        </w:tc>
        <w:tc>
          <w:tcPr>
            <w:tcW w:w="0" w:type="auto"/>
          </w:tcPr>
          <w:p w14:paraId="45F74F96">
            <w:pPr>
              <w:spacing w:before="100" w:beforeAutospacing="1" w:after="100" w:afterAutospacing="1" w:line="360" w:lineRule="auto"/>
              <w:jc w:val="both"/>
              <w:rPr>
                <w:rFonts w:ascii="Arial" w:hAnsi="Arial" w:eastAsia="Times New Roman" w:cs="Arial"/>
                <w:kern w:val="0"/>
                <w:lang w:eastAsia="en-GB"/>
                <w14:ligatures w14:val="none"/>
              </w:rPr>
            </w:pPr>
            <w:r>
              <w:rPr>
                <w:rFonts w:ascii="Arial" w:hAnsi="Arial" w:eastAsia="Times New Roman" w:cs="Arial"/>
                <w:kern w:val="0"/>
                <w:lang w:eastAsia="en-GB"/>
                <w14:ligatures w14:val="none"/>
              </w:rPr>
              <w:t>Continuous improvement</w:t>
            </w:r>
          </w:p>
        </w:tc>
      </w:tr>
    </w:tbl>
    <w:p w14:paraId="117EC3FA">
      <w:pPr>
        <w:pStyle w:val="3"/>
      </w:pPr>
      <w:bookmarkStart w:id="10" w:name="_Toc242182235"/>
      <w:r>
        <w:t>B4. KPIs and Evaluation</w:t>
      </w:r>
      <w:bookmarkEnd w:id="10"/>
    </w:p>
    <w:p w14:paraId="55A67A04">
      <w:pPr>
        <w:spacing w:line="360" w:lineRule="auto"/>
        <w:jc w:val="both"/>
        <w:rPr>
          <w:rFonts w:ascii="Arial" w:hAnsi="Arial" w:cs="Arial"/>
        </w:rPr>
      </w:pPr>
      <w:r>
        <w:rPr>
          <w:rFonts w:ascii="Arial" w:hAnsi="Arial" w:cs="Arial"/>
        </w:rPr>
        <w:t>Internal promotion rates, critical role succession coverage, employee retention, skills gap reduction, learning application, internal mobility, employee engagement and time-to-competence are all useful measures.</w:t>
      </w:r>
    </w:p>
    <w:p w14:paraId="1B6764D6">
      <w:pPr>
        <w:spacing w:line="360" w:lineRule="auto"/>
        <w:jc w:val="both"/>
        <w:rPr>
          <w:rFonts w:ascii="Arial" w:hAnsi="Arial" w:cs="Arial"/>
        </w:rPr>
      </w:pPr>
      <w:r>
        <w:rPr>
          <w:rFonts w:ascii="Arial" w:hAnsi="Arial" w:cs="Arial"/>
        </w:rPr>
        <w:t>Table 3: Key Performance Indicators (KPIs) for Talent Development at NexSpace Health Systems</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65"/>
        <w:gridCol w:w="6711"/>
      </w:tblGrid>
      <w:tr w14:paraId="124030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002060"/>
          </w:tcPr>
          <w:p w14:paraId="3EDA88F8">
            <w:pPr>
              <w:spacing w:after="160" w:line="360" w:lineRule="auto"/>
              <w:jc w:val="center"/>
              <w:rPr>
                <w:rFonts w:ascii="Arial" w:hAnsi="Arial" w:cs="Arial"/>
              </w:rPr>
            </w:pPr>
            <w:r>
              <w:rPr>
                <w:rFonts w:ascii="Arial" w:hAnsi="Arial" w:cs="Arial"/>
              </w:rPr>
              <w:t>KPI</w:t>
            </w:r>
          </w:p>
        </w:tc>
        <w:tc>
          <w:tcPr>
            <w:tcW w:w="0" w:type="auto"/>
            <w:shd w:val="clear" w:color="auto" w:fill="002060"/>
          </w:tcPr>
          <w:p w14:paraId="60C575AC">
            <w:pPr>
              <w:spacing w:after="160" w:line="360" w:lineRule="auto"/>
              <w:jc w:val="center"/>
              <w:rPr>
                <w:rFonts w:ascii="Arial" w:hAnsi="Arial" w:cs="Arial"/>
              </w:rPr>
            </w:pPr>
            <w:r>
              <w:rPr>
                <w:rFonts w:ascii="Arial" w:hAnsi="Arial" w:cs="Arial"/>
              </w:rPr>
              <w:t>What NexSpace should assess</w:t>
            </w:r>
          </w:p>
        </w:tc>
      </w:tr>
      <w:tr w14:paraId="4AFBF3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43988450">
            <w:pPr>
              <w:spacing w:after="160" w:line="360" w:lineRule="auto"/>
              <w:jc w:val="both"/>
              <w:rPr>
                <w:rFonts w:ascii="Arial" w:hAnsi="Arial" w:cs="Arial"/>
              </w:rPr>
            </w:pPr>
            <w:r>
              <w:rPr>
                <w:rFonts w:ascii="Arial" w:hAnsi="Arial" w:cs="Arial"/>
              </w:rPr>
              <w:t>Internal mobility rate</w:t>
            </w:r>
          </w:p>
        </w:tc>
        <w:tc>
          <w:tcPr>
            <w:tcW w:w="0" w:type="auto"/>
          </w:tcPr>
          <w:p w14:paraId="4D18C9A1">
            <w:pPr>
              <w:spacing w:after="160" w:line="360" w:lineRule="auto"/>
              <w:jc w:val="both"/>
              <w:rPr>
                <w:rFonts w:ascii="Arial" w:hAnsi="Arial" w:cs="Arial"/>
              </w:rPr>
            </w:pPr>
            <w:r>
              <w:rPr>
                <w:rFonts w:ascii="Arial" w:hAnsi="Arial" w:cs="Arial"/>
              </w:rPr>
              <w:t>Percentage of vacancies filled internally</w:t>
            </w:r>
          </w:p>
        </w:tc>
      </w:tr>
      <w:tr w14:paraId="12E6990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EC45F1B">
            <w:pPr>
              <w:spacing w:after="160" w:line="360" w:lineRule="auto"/>
              <w:jc w:val="both"/>
              <w:rPr>
                <w:rFonts w:ascii="Arial" w:hAnsi="Arial" w:cs="Arial"/>
              </w:rPr>
            </w:pPr>
            <w:r>
              <w:rPr>
                <w:rFonts w:ascii="Arial" w:hAnsi="Arial" w:cs="Arial"/>
              </w:rPr>
              <w:t>Skills-gap reduction</w:t>
            </w:r>
          </w:p>
        </w:tc>
        <w:tc>
          <w:tcPr>
            <w:tcW w:w="0" w:type="auto"/>
          </w:tcPr>
          <w:p w14:paraId="0E8156AB">
            <w:pPr>
              <w:spacing w:after="160" w:line="360" w:lineRule="auto"/>
              <w:jc w:val="both"/>
              <w:rPr>
                <w:rFonts w:ascii="Arial" w:hAnsi="Arial" w:cs="Arial"/>
              </w:rPr>
            </w:pPr>
            <w:r>
              <w:rPr>
                <w:rFonts w:ascii="Arial" w:hAnsi="Arial" w:cs="Arial"/>
              </w:rPr>
              <w:t>Change in identified critical capability gaps</w:t>
            </w:r>
          </w:p>
        </w:tc>
      </w:tr>
      <w:tr w14:paraId="4A0B9F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388FF74">
            <w:pPr>
              <w:spacing w:after="160" w:line="360" w:lineRule="auto"/>
              <w:jc w:val="both"/>
              <w:rPr>
                <w:rFonts w:ascii="Arial" w:hAnsi="Arial" w:cs="Arial"/>
              </w:rPr>
            </w:pPr>
            <w:r>
              <w:rPr>
                <w:rFonts w:ascii="Arial" w:hAnsi="Arial" w:cs="Arial"/>
              </w:rPr>
              <w:t>Retention of critical talent</w:t>
            </w:r>
          </w:p>
        </w:tc>
        <w:tc>
          <w:tcPr>
            <w:tcW w:w="0" w:type="auto"/>
          </w:tcPr>
          <w:p w14:paraId="29BCC62E">
            <w:pPr>
              <w:spacing w:after="160" w:line="360" w:lineRule="auto"/>
              <w:jc w:val="both"/>
              <w:rPr>
                <w:rFonts w:ascii="Arial" w:hAnsi="Arial" w:cs="Arial"/>
              </w:rPr>
            </w:pPr>
            <w:r>
              <w:rPr>
                <w:rFonts w:ascii="Arial" w:hAnsi="Arial" w:cs="Arial"/>
              </w:rPr>
              <w:t>Turnover among strategically important employees</w:t>
            </w:r>
          </w:p>
        </w:tc>
      </w:tr>
      <w:tr w14:paraId="0426DF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AF90524">
            <w:pPr>
              <w:spacing w:after="160" w:line="360" w:lineRule="auto"/>
              <w:jc w:val="both"/>
              <w:rPr>
                <w:rFonts w:ascii="Arial" w:hAnsi="Arial" w:cs="Arial"/>
              </w:rPr>
            </w:pPr>
            <w:r>
              <w:rPr>
                <w:rFonts w:ascii="Arial" w:hAnsi="Arial" w:cs="Arial"/>
              </w:rPr>
              <w:t>Time-to-competence</w:t>
            </w:r>
          </w:p>
        </w:tc>
        <w:tc>
          <w:tcPr>
            <w:tcW w:w="0" w:type="auto"/>
          </w:tcPr>
          <w:p w14:paraId="7E46FB62">
            <w:pPr>
              <w:spacing w:after="160" w:line="360" w:lineRule="auto"/>
              <w:jc w:val="both"/>
              <w:rPr>
                <w:rFonts w:ascii="Arial" w:hAnsi="Arial" w:cs="Arial"/>
              </w:rPr>
            </w:pPr>
            <w:r>
              <w:rPr>
                <w:rFonts w:ascii="Arial" w:hAnsi="Arial" w:cs="Arial"/>
              </w:rPr>
              <w:t>Time required for employees to reach required capability levels</w:t>
            </w:r>
          </w:p>
        </w:tc>
      </w:tr>
      <w:tr w14:paraId="327957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2583558">
            <w:pPr>
              <w:spacing w:after="160" w:line="360" w:lineRule="auto"/>
              <w:jc w:val="both"/>
              <w:rPr>
                <w:rFonts w:ascii="Arial" w:hAnsi="Arial" w:cs="Arial"/>
              </w:rPr>
            </w:pPr>
            <w:r>
              <w:rPr>
                <w:rFonts w:ascii="Arial" w:hAnsi="Arial" w:cs="Arial"/>
              </w:rPr>
              <w:t>Learning application</w:t>
            </w:r>
          </w:p>
        </w:tc>
        <w:tc>
          <w:tcPr>
            <w:tcW w:w="0" w:type="auto"/>
          </w:tcPr>
          <w:p w14:paraId="6D034BA1">
            <w:pPr>
              <w:spacing w:after="160" w:line="360" w:lineRule="auto"/>
              <w:jc w:val="both"/>
              <w:rPr>
                <w:rFonts w:ascii="Arial" w:hAnsi="Arial" w:cs="Arial"/>
              </w:rPr>
            </w:pPr>
            <w:r>
              <w:rPr>
                <w:rFonts w:ascii="Arial" w:hAnsi="Arial" w:cs="Arial"/>
              </w:rPr>
              <w:t>Percentage of development activities applied to work</w:t>
            </w:r>
          </w:p>
        </w:tc>
      </w:tr>
      <w:tr w14:paraId="53AD55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41CA945">
            <w:pPr>
              <w:spacing w:after="160" w:line="360" w:lineRule="auto"/>
              <w:jc w:val="both"/>
              <w:rPr>
                <w:rFonts w:ascii="Arial" w:hAnsi="Arial" w:cs="Arial"/>
              </w:rPr>
            </w:pPr>
            <w:r>
              <w:rPr>
                <w:rFonts w:ascii="Arial" w:hAnsi="Arial" w:cs="Arial"/>
              </w:rPr>
              <w:t>Succession coverage</w:t>
            </w:r>
          </w:p>
        </w:tc>
        <w:tc>
          <w:tcPr>
            <w:tcW w:w="0" w:type="auto"/>
          </w:tcPr>
          <w:p w14:paraId="0A96BBBF">
            <w:pPr>
              <w:spacing w:after="160" w:line="360" w:lineRule="auto"/>
              <w:jc w:val="both"/>
              <w:rPr>
                <w:rFonts w:ascii="Arial" w:hAnsi="Arial" w:cs="Arial"/>
              </w:rPr>
            </w:pPr>
            <w:r>
              <w:rPr>
                <w:rFonts w:ascii="Arial" w:hAnsi="Arial" w:cs="Arial"/>
              </w:rPr>
              <w:t>Availability of prepared successors for critical roles</w:t>
            </w:r>
          </w:p>
        </w:tc>
      </w:tr>
      <w:tr w14:paraId="5FDDE2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BBB6AD1">
            <w:pPr>
              <w:spacing w:after="160" w:line="360" w:lineRule="auto"/>
              <w:jc w:val="both"/>
              <w:rPr>
                <w:rFonts w:ascii="Arial" w:hAnsi="Arial" w:cs="Arial"/>
              </w:rPr>
            </w:pPr>
            <w:r>
              <w:rPr>
                <w:rFonts w:ascii="Arial" w:hAnsi="Arial" w:cs="Arial"/>
              </w:rPr>
              <w:t>Employee engagement</w:t>
            </w:r>
          </w:p>
        </w:tc>
        <w:tc>
          <w:tcPr>
            <w:tcW w:w="0" w:type="auto"/>
          </w:tcPr>
          <w:p w14:paraId="1FFD9F88">
            <w:pPr>
              <w:spacing w:after="160" w:line="360" w:lineRule="auto"/>
              <w:jc w:val="both"/>
              <w:rPr>
                <w:rFonts w:ascii="Arial" w:hAnsi="Arial" w:cs="Arial"/>
              </w:rPr>
            </w:pPr>
            <w:r>
              <w:rPr>
                <w:rFonts w:ascii="Arial" w:hAnsi="Arial" w:cs="Arial"/>
              </w:rPr>
              <w:t>Perceptions of development and career opportunities</w:t>
            </w:r>
          </w:p>
        </w:tc>
      </w:tr>
    </w:tbl>
    <w:p w14:paraId="4ADD83E4">
      <w:pPr>
        <w:pStyle w:val="2"/>
      </w:pPr>
      <w:bookmarkStart w:id="11" w:name="_Toc242182236"/>
      <w:r>
        <w:t>Task C: Reflective Report</w:t>
      </w:r>
      <w:bookmarkEnd w:id="11"/>
    </w:p>
    <w:p w14:paraId="2F199766">
      <w:pPr>
        <w:pStyle w:val="3"/>
      </w:pPr>
      <w:bookmarkStart w:id="12" w:name="_Toc242182237"/>
      <w:r>
        <w:t>C1. AI as a Strategic Tool in HRM</w:t>
      </w:r>
      <w:bookmarkEnd w:id="12"/>
    </w:p>
    <w:p w14:paraId="549797AD">
      <w:pPr>
        <w:spacing w:line="360" w:lineRule="auto"/>
        <w:jc w:val="both"/>
        <w:rPr>
          <w:rFonts w:ascii="Arial" w:hAnsi="Arial" w:cs="Arial"/>
        </w:rPr>
      </w:pPr>
      <w:r>
        <w:rPr>
          <w:rFonts w:ascii="Arial" w:hAnsi="Arial" w:cs="Arial"/>
        </w:rPr>
        <w:t xml:space="preserve">AI should be a decision-support tool, not a decision maker, in the following areas: Recruitment; Workforce planning; Learning and development; Identifying skills gaps; Employee analytics; Career development. It could perpetuate algorithmic bias, be based on incomplete data or make inaccurate suggestions, and wide-ranging employee analytics could raise privacy, data security and over-monitoring issues (OECD, 2024). As a result, HR teams must continue to have the responsibility for making consequential decisions and using ethical sense, contextual awareness and empathy when understanding the implications of AI-driven insights. In this context, CIPD (2025) stresses that the use of AI must be both responsible and ethical, suggesting that the implementation of such technology in HR must be accompanied by the human element and the responsibility of HR practitioners. </w:t>
      </w:r>
    </w:p>
    <w:p w14:paraId="29D3CF7C">
      <w:pPr>
        <w:pStyle w:val="3"/>
      </w:pPr>
      <w:bookmarkStart w:id="13" w:name="_Toc242182238"/>
      <w:r>
        <w:t>C2. Reflective Analysis: Three Personal AI Experiences</w:t>
      </w:r>
      <w:bookmarkEnd w:id="13"/>
    </w:p>
    <w:p w14:paraId="271BEDD1">
      <w:pPr>
        <w:spacing w:line="360" w:lineRule="auto"/>
        <w:jc w:val="both"/>
        <w:rPr>
          <w:rFonts w:ascii="Arial" w:hAnsi="Arial" w:cs="Arial"/>
        </w:rPr>
      </w:pPr>
      <w:r>
        <w:rPr>
          <w:rFonts w:ascii="Arial" w:hAnsi="Arial" w:cs="Arial"/>
        </w:rPr>
        <w:t xml:space="preserve">My first experience was using AI to aid learning and research in an academic setting. I have also leveraged AI to simplify and articulate complex human resources and digital transformation topics before reaching out to academic sources for clarification, guidance, and suggestions on areas for investigation. But sometimes, the answers from AI were factually incorrect or not backed by enough research. Thus, I learned that the use of information in an effective manner does not ensure its accuracy; therefore, it is important to check the information from independent sources, such as a credible academic and professional sources. The AI application for my second experience was for assisting with professional problem-solving. I applied AI to a work problem to arrange the information and also to determine what I believed may be the reasons and also alternative strategies to tackle the problem. The recommendations, however, were rather general and were not able to sufficiently take into consideration the specific circumstances of an organisation. My third use case was related to AI's role in enhancing professional communication. I discuss the clarity and the structure of the professional and academic communication with the help of AI and propose alternative ways of expressing ideas. I knew, though, that an overreliance on AI might diminish independent thought and authenticity of communication. As a result, I have developed a skill in applying AI as a supporting and reviewing tool, but not taking ownership of the final content, judgement and professional message. </w:t>
      </w:r>
    </w:p>
    <w:p w14:paraId="4A930EBA">
      <w:pPr>
        <w:spacing w:line="360" w:lineRule="auto"/>
        <w:jc w:val="both"/>
        <w:rPr>
          <w:rFonts w:ascii="Arial" w:hAnsi="Arial" w:cs="Arial"/>
          <w:b/>
          <w:bCs/>
        </w:rPr>
      </w:pPr>
    </w:p>
    <w:p w14:paraId="210FA32A">
      <w:pPr>
        <w:pStyle w:val="3"/>
      </w:pPr>
      <w:bookmarkStart w:id="14" w:name="_Toc242182239"/>
    </w:p>
    <w:p w14:paraId="6FF350D8">
      <w:pPr>
        <w:pStyle w:val="3"/>
      </w:pPr>
    </w:p>
    <w:p w14:paraId="1B8D14D7">
      <w:pPr>
        <w:pStyle w:val="3"/>
      </w:pPr>
    </w:p>
    <w:p w14:paraId="50066324">
      <w:pPr>
        <w:pStyle w:val="3"/>
      </w:pPr>
      <w:r>
        <w:t>C3. Personal Capability Development Plan</w:t>
      </w:r>
      <w:bookmarkEnd w:id="14"/>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69"/>
        <w:gridCol w:w="2176"/>
        <w:gridCol w:w="1778"/>
        <w:gridCol w:w="1301"/>
        <w:gridCol w:w="2552"/>
      </w:tblGrid>
      <w:tr w14:paraId="170996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002060"/>
          </w:tcPr>
          <w:p w14:paraId="201636D2">
            <w:pPr>
              <w:spacing w:after="160" w:line="360" w:lineRule="auto"/>
              <w:rPr>
                <w:rFonts w:ascii="Arial" w:hAnsi="Arial" w:cs="Arial"/>
              </w:rPr>
            </w:pPr>
            <w:r>
              <w:rPr>
                <w:rFonts w:ascii="Arial" w:hAnsi="Arial" w:cs="Arial"/>
              </w:rPr>
              <w:t>Capability</w:t>
            </w:r>
          </w:p>
        </w:tc>
        <w:tc>
          <w:tcPr>
            <w:tcW w:w="0" w:type="auto"/>
            <w:shd w:val="clear" w:color="auto" w:fill="002060"/>
          </w:tcPr>
          <w:p w14:paraId="0F41C87F">
            <w:pPr>
              <w:spacing w:after="160" w:line="360" w:lineRule="auto"/>
              <w:rPr>
                <w:rFonts w:ascii="Arial" w:hAnsi="Arial" w:cs="Arial"/>
              </w:rPr>
            </w:pPr>
            <w:r>
              <w:rPr>
                <w:rFonts w:ascii="Arial" w:hAnsi="Arial" w:cs="Arial"/>
              </w:rPr>
              <w:t>Current development need</w:t>
            </w:r>
          </w:p>
        </w:tc>
        <w:tc>
          <w:tcPr>
            <w:tcW w:w="0" w:type="auto"/>
            <w:shd w:val="clear" w:color="auto" w:fill="002060"/>
          </w:tcPr>
          <w:p w14:paraId="69B55812">
            <w:pPr>
              <w:spacing w:after="160" w:line="360" w:lineRule="auto"/>
              <w:rPr>
                <w:rFonts w:ascii="Arial" w:hAnsi="Arial" w:cs="Arial"/>
              </w:rPr>
            </w:pPr>
            <w:r>
              <w:rPr>
                <w:rFonts w:ascii="Arial" w:hAnsi="Arial" w:cs="Arial"/>
              </w:rPr>
              <w:t>Action</w:t>
            </w:r>
          </w:p>
        </w:tc>
        <w:tc>
          <w:tcPr>
            <w:tcW w:w="0" w:type="auto"/>
            <w:shd w:val="clear" w:color="auto" w:fill="002060"/>
          </w:tcPr>
          <w:p w14:paraId="6D00A39F">
            <w:pPr>
              <w:spacing w:after="160" w:line="360" w:lineRule="auto"/>
              <w:rPr>
                <w:rFonts w:ascii="Arial" w:hAnsi="Arial" w:cs="Arial"/>
              </w:rPr>
            </w:pPr>
            <w:r>
              <w:rPr>
                <w:rFonts w:ascii="Arial" w:hAnsi="Arial" w:cs="Arial"/>
              </w:rPr>
              <w:t>Timescale</w:t>
            </w:r>
          </w:p>
        </w:tc>
        <w:tc>
          <w:tcPr>
            <w:tcW w:w="0" w:type="auto"/>
            <w:shd w:val="clear" w:color="auto" w:fill="002060"/>
          </w:tcPr>
          <w:p w14:paraId="4C91F8FB">
            <w:pPr>
              <w:spacing w:after="160" w:line="360" w:lineRule="auto"/>
              <w:rPr>
                <w:rFonts w:ascii="Arial" w:hAnsi="Arial" w:cs="Arial"/>
              </w:rPr>
            </w:pPr>
            <w:r>
              <w:rPr>
                <w:rFonts w:ascii="Arial" w:hAnsi="Arial" w:cs="Arial"/>
              </w:rPr>
              <w:t>Success measure</w:t>
            </w:r>
          </w:p>
        </w:tc>
      </w:tr>
      <w:tr w14:paraId="5A2FE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65E01DEB">
            <w:pPr>
              <w:spacing w:after="160" w:line="360" w:lineRule="auto"/>
              <w:rPr>
                <w:rFonts w:ascii="Arial" w:hAnsi="Arial" w:cs="Arial"/>
                <w:b/>
                <w:bCs/>
                <w:sz w:val="20"/>
                <w:szCs w:val="20"/>
              </w:rPr>
            </w:pPr>
            <w:r>
              <w:rPr>
                <w:rFonts w:ascii="Arial" w:hAnsi="Arial" w:cs="Arial"/>
                <w:b/>
                <w:bCs/>
                <w:sz w:val="20"/>
                <w:szCs w:val="20"/>
              </w:rPr>
              <w:t>AI literacy</w:t>
            </w:r>
          </w:p>
        </w:tc>
        <w:tc>
          <w:tcPr>
            <w:tcW w:w="0" w:type="auto"/>
          </w:tcPr>
          <w:p w14:paraId="61E8A3A6">
            <w:pPr>
              <w:spacing w:after="160" w:line="360" w:lineRule="auto"/>
              <w:rPr>
                <w:rFonts w:ascii="Arial" w:hAnsi="Arial" w:cs="Arial"/>
                <w:b/>
                <w:bCs/>
                <w:sz w:val="20"/>
                <w:szCs w:val="20"/>
              </w:rPr>
            </w:pPr>
            <w:r>
              <w:rPr>
                <w:rFonts w:ascii="Arial" w:hAnsi="Arial" w:cs="Arial"/>
                <w:b/>
                <w:bCs/>
                <w:sz w:val="20"/>
                <w:szCs w:val="20"/>
              </w:rPr>
              <w:t>Understand AI limitations and ethical risks</w:t>
            </w:r>
          </w:p>
        </w:tc>
        <w:tc>
          <w:tcPr>
            <w:tcW w:w="0" w:type="auto"/>
          </w:tcPr>
          <w:p w14:paraId="34DB0AFF">
            <w:pPr>
              <w:spacing w:after="160" w:line="360" w:lineRule="auto"/>
              <w:rPr>
                <w:rFonts w:ascii="Arial" w:hAnsi="Arial" w:cs="Arial"/>
                <w:b/>
                <w:bCs/>
                <w:sz w:val="20"/>
                <w:szCs w:val="20"/>
              </w:rPr>
            </w:pPr>
            <w:r>
              <w:rPr>
                <w:rFonts w:ascii="Arial" w:hAnsi="Arial" w:cs="Arial"/>
                <w:b/>
                <w:bCs/>
                <w:sz w:val="20"/>
                <w:szCs w:val="20"/>
              </w:rPr>
              <w:t>Complete responsible-AI learning and evaluate AI outputs</w:t>
            </w:r>
          </w:p>
        </w:tc>
        <w:tc>
          <w:tcPr>
            <w:tcW w:w="0" w:type="auto"/>
          </w:tcPr>
          <w:p w14:paraId="52419D7F">
            <w:pPr>
              <w:spacing w:after="160" w:line="360" w:lineRule="auto"/>
              <w:rPr>
                <w:rFonts w:ascii="Arial" w:hAnsi="Arial" w:cs="Arial"/>
                <w:b/>
                <w:bCs/>
                <w:sz w:val="20"/>
                <w:szCs w:val="20"/>
              </w:rPr>
            </w:pPr>
            <w:r>
              <w:rPr>
                <w:rFonts w:ascii="Arial" w:hAnsi="Arial" w:cs="Arial"/>
                <w:b/>
                <w:bCs/>
                <w:sz w:val="20"/>
                <w:szCs w:val="20"/>
              </w:rPr>
              <w:t>3 months</w:t>
            </w:r>
          </w:p>
        </w:tc>
        <w:tc>
          <w:tcPr>
            <w:tcW w:w="0" w:type="auto"/>
          </w:tcPr>
          <w:p w14:paraId="3A43E834">
            <w:pPr>
              <w:spacing w:after="160" w:line="360" w:lineRule="auto"/>
              <w:rPr>
                <w:rFonts w:ascii="Arial" w:hAnsi="Arial" w:cs="Arial"/>
                <w:b/>
                <w:bCs/>
                <w:sz w:val="20"/>
                <w:szCs w:val="20"/>
              </w:rPr>
            </w:pPr>
            <w:r>
              <w:rPr>
                <w:rFonts w:ascii="Arial" w:hAnsi="Arial" w:cs="Arial"/>
                <w:b/>
                <w:bCs/>
                <w:sz w:val="20"/>
                <w:szCs w:val="20"/>
              </w:rPr>
              <w:t>Identify bias, limitations and verification requirements</w:t>
            </w:r>
          </w:p>
        </w:tc>
      </w:tr>
      <w:tr w14:paraId="365455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7BFB4F34">
            <w:pPr>
              <w:spacing w:after="160" w:line="360" w:lineRule="auto"/>
              <w:rPr>
                <w:rFonts w:ascii="Arial" w:hAnsi="Arial" w:cs="Arial"/>
                <w:b/>
                <w:bCs/>
                <w:sz w:val="20"/>
                <w:szCs w:val="20"/>
              </w:rPr>
            </w:pPr>
            <w:r>
              <w:rPr>
                <w:rFonts w:ascii="Arial" w:hAnsi="Arial" w:cs="Arial"/>
                <w:b/>
                <w:bCs/>
                <w:sz w:val="20"/>
                <w:szCs w:val="20"/>
              </w:rPr>
              <w:t>Critical thinking</w:t>
            </w:r>
          </w:p>
        </w:tc>
        <w:tc>
          <w:tcPr>
            <w:tcW w:w="0" w:type="auto"/>
          </w:tcPr>
          <w:p w14:paraId="731A8AFA">
            <w:pPr>
              <w:spacing w:after="160" w:line="360" w:lineRule="auto"/>
              <w:rPr>
                <w:rFonts w:ascii="Arial" w:hAnsi="Arial" w:cs="Arial"/>
                <w:b/>
                <w:bCs/>
                <w:sz w:val="20"/>
                <w:szCs w:val="20"/>
              </w:rPr>
            </w:pPr>
            <w:r>
              <w:rPr>
                <w:rFonts w:ascii="Arial" w:hAnsi="Arial" w:cs="Arial"/>
                <w:b/>
                <w:bCs/>
                <w:sz w:val="20"/>
                <w:szCs w:val="20"/>
              </w:rPr>
              <w:t>Avoid accepting AI outputs uncritically</w:t>
            </w:r>
          </w:p>
        </w:tc>
        <w:tc>
          <w:tcPr>
            <w:tcW w:w="0" w:type="auto"/>
          </w:tcPr>
          <w:p w14:paraId="5C529A38">
            <w:pPr>
              <w:spacing w:after="160" w:line="360" w:lineRule="auto"/>
              <w:rPr>
                <w:rFonts w:ascii="Arial" w:hAnsi="Arial" w:cs="Arial"/>
                <w:b/>
                <w:bCs/>
                <w:sz w:val="20"/>
                <w:szCs w:val="20"/>
              </w:rPr>
            </w:pPr>
            <w:r>
              <w:rPr>
                <w:rFonts w:ascii="Arial" w:hAnsi="Arial" w:cs="Arial"/>
                <w:b/>
                <w:bCs/>
                <w:sz w:val="20"/>
                <w:szCs w:val="20"/>
              </w:rPr>
              <w:t>Cross-check AI information against credible sources</w:t>
            </w:r>
          </w:p>
        </w:tc>
        <w:tc>
          <w:tcPr>
            <w:tcW w:w="0" w:type="auto"/>
          </w:tcPr>
          <w:p w14:paraId="67F34ADB">
            <w:pPr>
              <w:spacing w:after="160" w:line="360" w:lineRule="auto"/>
              <w:rPr>
                <w:rFonts w:ascii="Arial" w:hAnsi="Arial" w:cs="Arial"/>
                <w:b/>
                <w:bCs/>
                <w:sz w:val="20"/>
                <w:szCs w:val="20"/>
              </w:rPr>
            </w:pPr>
            <w:r>
              <w:rPr>
                <w:rFonts w:ascii="Arial" w:hAnsi="Arial" w:cs="Arial"/>
                <w:b/>
                <w:bCs/>
                <w:sz w:val="20"/>
                <w:szCs w:val="20"/>
              </w:rPr>
              <w:t>Ongoing</w:t>
            </w:r>
          </w:p>
        </w:tc>
        <w:tc>
          <w:tcPr>
            <w:tcW w:w="0" w:type="auto"/>
          </w:tcPr>
          <w:p w14:paraId="7B8B9EB4">
            <w:pPr>
              <w:spacing w:after="160" w:line="360" w:lineRule="auto"/>
              <w:rPr>
                <w:rFonts w:ascii="Arial" w:hAnsi="Arial" w:cs="Arial"/>
                <w:b/>
                <w:bCs/>
                <w:sz w:val="20"/>
                <w:szCs w:val="20"/>
              </w:rPr>
            </w:pPr>
            <w:r>
              <w:rPr>
                <w:rFonts w:ascii="Arial" w:hAnsi="Arial" w:cs="Arial"/>
                <w:b/>
                <w:bCs/>
                <w:sz w:val="20"/>
                <w:szCs w:val="20"/>
              </w:rPr>
              <w:t>Consistent evidence verification</w:t>
            </w:r>
          </w:p>
        </w:tc>
      </w:tr>
      <w:tr w14:paraId="19964C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5C6E6CC7">
            <w:pPr>
              <w:spacing w:after="160" w:line="360" w:lineRule="auto"/>
              <w:rPr>
                <w:rFonts w:ascii="Arial" w:hAnsi="Arial" w:cs="Arial"/>
                <w:b/>
                <w:bCs/>
                <w:sz w:val="20"/>
                <w:szCs w:val="20"/>
              </w:rPr>
            </w:pPr>
            <w:r>
              <w:rPr>
                <w:rFonts w:ascii="Arial" w:hAnsi="Arial" w:cs="Arial"/>
                <w:b/>
                <w:bCs/>
                <w:sz w:val="20"/>
                <w:szCs w:val="20"/>
              </w:rPr>
              <w:t>HR analytics</w:t>
            </w:r>
          </w:p>
        </w:tc>
        <w:tc>
          <w:tcPr>
            <w:tcW w:w="0" w:type="auto"/>
          </w:tcPr>
          <w:p w14:paraId="134FED4E">
            <w:pPr>
              <w:spacing w:after="160" w:line="360" w:lineRule="auto"/>
              <w:rPr>
                <w:rFonts w:ascii="Arial" w:hAnsi="Arial" w:cs="Arial"/>
                <w:b/>
                <w:bCs/>
                <w:sz w:val="20"/>
                <w:szCs w:val="20"/>
              </w:rPr>
            </w:pPr>
            <w:r>
              <w:rPr>
                <w:rFonts w:ascii="Arial" w:hAnsi="Arial" w:cs="Arial"/>
                <w:b/>
                <w:bCs/>
                <w:sz w:val="20"/>
                <w:szCs w:val="20"/>
              </w:rPr>
              <w:t>Strengthen workforce-data interpretation</w:t>
            </w:r>
          </w:p>
        </w:tc>
        <w:tc>
          <w:tcPr>
            <w:tcW w:w="0" w:type="auto"/>
          </w:tcPr>
          <w:p w14:paraId="7C4F8919">
            <w:pPr>
              <w:spacing w:after="160" w:line="360" w:lineRule="auto"/>
              <w:rPr>
                <w:rFonts w:ascii="Arial" w:hAnsi="Arial" w:cs="Arial"/>
                <w:b/>
                <w:bCs/>
                <w:sz w:val="20"/>
                <w:szCs w:val="20"/>
              </w:rPr>
            </w:pPr>
            <w:r>
              <w:rPr>
                <w:rFonts w:ascii="Arial" w:hAnsi="Arial" w:cs="Arial"/>
                <w:b/>
                <w:bCs/>
                <w:sz w:val="20"/>
                <w:szCs w:val="20"/>
              </w:rPr>
              <w:t>Develop Excel/Power BI and HR analytics skills</w:t>
            </w:r>
          </w:p>
        </w:tc>
        <w:tc>
          <w:tcPr>
            <w:tcW w:w="0" w:type="auto"/>
          </w:tcPr>
          <w:p w14:paraId="124B7407">
            <w:pPr>
              <w:spacing w:after="160" w:line="360" w:lineRule="auto"/>
              <w:rPr>
                <w:rFonts w:ascii="Arial" w:hAnsi="Arial" w:cs="Arial"/>
                <w:b/>
                <w:bCs/>
                <w:sz w:val="20"/>
                <w:szCs w:val="20"/>
              </w:rPr>
            </w:pPr>
            <w:r>
              <w:rPr>
                <w:rFonts w:ascii="Arial" w:hAnsi="Arial" w:cs="Arial"/>
                <w:b/>
                <w:bCs/>
                <w:sz w:val="20"/>
                <w:szCs w:val="20"/>
              </w:rPr>
              <w:t>6 months</w:t>
            </w:r>
          </w:p>
        </w:tc>
        <w:tc>
          <w:tcPr>
            <w:tcW w:w="0" w:type="auto"/>
          </w:tcPr>
          <w:p w14:paraId="73AEF267">
            <w:pPr>
              <w:spacing w:after="160" w:line="360" w:lineRule="auto"/>
              <w:rPr>
                <w:rFonts w:ascii="Arial" w:hAnsi="Arial" w:cs="Arial"/>
                <w:b/>
                <w:bCs/>
                <w:sz w:val="20"/>
                <w:szCs w:val="20"/>
              </w:rPr>
            </w:pPr>
            <w:r>
              <w:rPr>
                <w:rFonts w:ascii="Arial" w:hAnsi="Arial" w:cs="Arial"/>
                <w:b/>
                <w:bCs/>
                <w:sz w:val="20"/>
                <w:szCs w:val="20"/>
              </w:rPr>
              <w:t>Complete an HR analytics project</w:t>
            </w:r>
          </w:p>
        </w:tc>
      </w:tr>
      <w:tr w14:paraId="7BB4A3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14:paraId="3607B0F5">
            <w:pPr>
              <w:spacing w:after="160" w:line="360" w:lineRule="auto"/>
              <w:rPr>
                <w:rFonts w:ascii="Arial" w:hAnsi="Arial" w:cs="Arial"/>
                <w:b/>
                <w:bCs/>
                <w:sz w:val="20"/>
                <w:szCs w:val="20"/>
              </w:rPr>
            </w:pPr>
            <w:r>
              <w:rPr>
                <w:rFonts w:ascii="Arial" w:hAnsi="Arial" w:cs="Arial"/>
                <w:b/>
                <w:bCs/>
                <w:sz w:val="20"/>
                <w:szCs w:val="20"/>
              </w:rPr>
              <w:t>Professional communication</w:t>
            </w:r>
          </w:p>
        </w:tc>
        <w:tc>
          <w:tcPr>
            <w:tcW w:w="0" w:type="auto"/>
          </w:tcPr>
          <w:p w14:paraId="601C7E5E">
            <w:pPr>
              <w:spacing w:after="160" w:line="360" w:lineRule="auto"/>
              <w:rPr>
                <w:rFonts w:ascii="Arial" w:hAnsi="Arial" w:cs="Arial"/>
                <w:b/>
                <w:bCs/>
                <w:sz w:val="20"/>
                <w:szCs w:val="20"/>
              </w:rPr>
            </w:pPr>
            <w:r>
              <w:rPr>
                <w:rFonts w:ascii="Arial" w:hAnsi="Arial" w:cs="Arial"/>
                <w:b/>
                <w:bCs/>
                <w:sz w:val="20"/>
                <w:szCs w:val="20"/>
              </w:rPr>
              <w:t>Communicate evidence-based recommendations effectively</w:t>
            </w:r>
          </w:p>
        </w:tc>
        <w:tc>
          <w:tcPr>
            <w:tcW w:w="0" w:type="auto"/>
          </w:tcPr>
          <w:p w14:paraId="4028D469">
            <w:pPr>
              <w:spacing w:after="160" w:line="360" w:lineRule="auto"/>
              <w:rPr>
                <w:rFonts w:ascii="Arial" w:hAnsi="Arial" w:cs="Arial"/>
                <w:b/>
                <w:bCs/>
                <w:sz w:val="20"/>
                <w:szCs w:val="20"/>
              </w:rPr>
            </w:pPr>
            <w:r>
              <w:rPr>
                <w:rFonts w:ascii="Arial" w:hAnsi="Arial" w:cs="Arial"/>
                <w:b/>
                <w:bCs/>
                <w:sz w:val="20"/>
                <w:szCs w:val="20"/>
              </w:rPr>
              <w:t>Practise professional reports and presentations</w:t>
            </w:r>
          </w:p>
        </w:tc>
        <w:tc>
          <w:tcPr>
            <w:tcW w:w="0" w:type="auto"/>
          </w:tcPr>
          <w:p w14:paraId="79698813">
            <w:pPr>
              <w:spacing w:after="160" w:line="360" w:lineRule="auto"/>
              <w:rPr>
                <w:rFonts w:ascii="Arial" w:hAnsi="Arial" w:cs="Arial"/>
                <w:b/>
                <w:bCs/>
                <w:sz w:val="20"/>
                <w:szCs w:val="20"/>
              </w:rPr>
            </w:pPr>
            <w:r>
              <w:rPr>
                <w:rFonts w:ascii="Arial" w:hAnsi="Arial" w:cs="Arial"/>
                <w:b/>
                <w:bCs/>
                <w:sz w:val="20"/>
                <w:szCs w:val="20"/>
              </w:rPr>
              <w:t>6 months</w:t>
            </w:r>
          </w:p>
        </w:tc>
        <w:tc>
          <w:tcPr>
            <w:tcW w:w="0" w:type="auto"/>
          </w:tcPr>
          <w:p w14:paraId="60962920">
            <w:pPr>
              <w:spacing w:after="160" w:line="360" w:lineRule="auto"/>
              <w:rPr>
                <w:rFonts w:ascii="Arial" w:hAnsi="Arial" w:cs="Arial"/>
                <w:b/>
                <w:bCs/>
                <w:sz w:val="20"/>
                <w:szCs w:val="20"/>
              </w:rPr>
            </w:pPr>
            <w:r>
              <w:rPr>
                <w:rFonts w:ascii="Arial" w:hAnsi="Arial" w:cs="Arial"/>
                <w:b/>
                <w:bCs/>
                <w:sz w:val="20"/>
                <w:szCs w:val="20"/>
              </w:rPr>
              <w:t>Improved academic/professional feedback</w:t>
            </w:r>
          </w:p>
        </w:tc>
      </w:tr>
    </w:tbl>
    <w:p w14:paraId="2D94143F">
      <w:pPr>
        <w:spacing w:line="360" w:lineRule="auto"/>
        <w:jc w:val="both"/>
        <w:rPr>
          <w:rFonts w:ascii="Arial" w:hAnsi="Arial" w:cs="Arial"/>
          <w:b/>
          <w:bCs/>
        </w:rPr>
      </w:pPr>
    </w:p>
    <w:p w14:paraId="5C021CEE">
      <w:pPr>
        <w:pStyle w:val="3"/>
      </w:pPr>
      <w:bookmarkStart w:id="15" w:name="_Toc242182240"/>
      <w:r>
        <w:t>C4. Reflective Closing Statement</w:t>
      </w:r>
      <w:bookmarkEnd w:id="15"/>
    </w:p>
    <w:p w14:paraId="6A3C4F7B">
      <w:pPr>
        <w:spacing w:line="360" w:lineRule="auto"/>
        <w:jc w:val="both"/>
        <w:rPr>
          <w:rFonts w:ascii="Arial" w:hAnsi="Arial" w:cs="Arial"/>
        </w:rPr>
      </w:pPr>
      <w:r>
        <w:rPr>
          <w:rFonts w:ascii="Arial" w:hAnsi="Arial" w:cs="Arial"/>
        </w:rPr>
        <w:t xml:space="preserve">From these experiences, I have learned that while AI will play a crucial role in my future HR career, it should not replace professional judgment but rather serve as a valuable tool in my arsenal. It will therefore continue to be fundamental for responsible and sustainable employability to have continuous learning. </w:t>
      </w:r>
    </w:p>
    <w:p w14:paraId="4D9DACAE">
      <w:pPr>
        <w:spacing w:line="360" w:lineRule="auto"/>
        <w:jc w:val="both"/>
        <w:rPr>
          <w:rFonts w:ascii="Arial" w:hAnsi="Arial" w:cs="Arial"/>
        </w:rPr>
      </w:pPr>
    </w:p>
    <w:p w14:paraId="3D0EDF4D">
      <w:pPr>
        <w:pStyle w:val="2"/>
        <w:tabs>
          <w:tab w:val="left" w:pos="3646"/>
        </w:tabs>
      </w:pPr>
      <w:bookmarkStart w:id="16" w:name="_Toc242182241"/>
      <w:r>
        <w:t>Conclusion</w:t>
      </w:r>
      <w:bookmarkEnd w:id="16"/>
      <w:r>
        <w:tab/>
      </w:r>
    </w:p>
    <w:p w14:paraId="29AF68F4">
      <w:pPr>
        <w:pStyle w:val="17"/>
        <w:spacing w:line="360" w:lineRule="auto"/>
        <w:jc w:val="both"/>
      </w:pPr>
      <w:r>
        <w:rPr>
          <w:rFonts w:ascii="Arial" w:hAnsi="Arial" w:cs="Arial"/>
        </w:rPr>
        <w:t>NexSpace Health Systems needs a holistic approach to the work design, human talent development and AI-powered employee experience. Task C shows that transparent, ethically governed AI can personalise learning and support career development while retaining human judgement. It can help NexSpace be more innovative and adaptable while sustaining the clinical responsibility and confidence of employees and responsible governance in the digital healthcare environment.</w:t>
      </w:r>
    </w:p>
    <w:p w14:paraId="617F37DA">
      <w:pPr>
        <w:rPr>
          <w:rFonts w:ascii="Arial" w:hAnsi="Arial" w:eastAsiaTheme="majorEastAsia" w:cstheme="majorBidi"/>
          <w:b/>
          <w:color w:val="002060"/>
          <w:sz w:val="32"/>
          <w:szCs w:val="40"/>
          <w:u w:val="single"/>
        </w:rPr>
      </w:pPr>
      <w:bookmarkStart w:id="17" w:name="_Toc242182242"/>
      <w:r>
        <w:br w:type="page"/>
      </w:r>
    </w:p>
    <w:p w14:paraId="2E439434">
      <w:pPr>
        <w:pStyle w:val="2"/>
      </w:pPr>
      <w:r>
        <w:t>References</w:t>
      </w:r>
      <w:bookmarkEnd w:id="17"/>
    </w:p>
    <w:p w14:paraId="288ECCE7">
      <w:pPr>
        <w:spacing w:line="360" w:lineRule="auto"/>
        <w:ind w:left="720" w:hanging="720"/>
        <w:rPr>
          <w:rFonts w:ascii="Arial" w:hAnsi="Arial" w:cs="Arial"/>
        </w:rPr>
      </w:pPr>
      <w:r>
        <w:rPr>
          <w:rFonts w:ascii="Arial" w:hAnsi="Arial" w:cs="Arial"/>
        </w:rPr>
        <w:t xml:space="preserve">Appelbaum, E., Bailey, T., Berg, P. and Kalleberg, A.L. (2000) </w:t>
      </w:r>
      <w:r>
        <w:rPr>
          <w:rFonts w:ascii="Arial" w:hAnsi="Arial" w:cs="Arial"/>
          <w:i/>
          <w:iCs/>
        </w:rPr>
        <w:t>Manufacturing advantage: Why high-performance work systems pay off</w:t>
      </w:r>
      <w:r>
        <w:rPr>
          <w:rFonts w:ascii="Arial" w:hAnsi="Arial" w:cs="Arial"/>
        </w:rPr>
        <w:t>. Ithaca, NY: Cornell University Press.</w:t>
      </w:r>
    </w:p>
    <w:p w14:paraId="095782AD">
      <w:pPr>
        <w:spacing w:line="360" w:lineRule="auto"/>
        <w:ind w:left="720" w:hanging="720"/>
        <w:rPr>
          <w:rFonts w:ascii="Arial" w:hAnsi="Arial" w:cs="Arial"/>
        </w:rPr>
      </w:pPr>
      <w:r>
        <w:rPr>
          <w:rFonts w:ascii="Arial" w:hAnsi="Arial" w:cs="Arial"/>
        </w:rPr>
        <w:t xml:space="preserve">Bakker, A.B. and Demerouti, E. (2007) ‘The Job Demands-Resources model: State of the art’, </w:t>
      </w:r>
      <w:r>
        <w:rPr>
          <w:rFonts w:ascii="Arial" w:hAnsi="Arial" w:cs="Arial"/>
          <w:i/>
          <w:iCs/>
        </w:rPr>
        <w:t>Journal of Managerial Psychology</w:t>
      </w:r>
      <w:r>
        <w:rPr>
          <w:rFonts w:ascii="Arial" w:hAnsi="Arial" w:cs="Arial"/>
        </w:rPr>
        <w:t>, 22(3), pp. 309–328.</w:t>
      </w:r>
    </w:p>
    <w:p w14:paraId="7D3CE8A2">
      <w:pPr>
        <w:spacing w:line="360" w:lineRule="auto"/>
        <w:ind w:left="720" w:hanging="720"/>
        <w:rPr>
          <w:rFonts w:ascii="Arial" w:hAnsi="Arial" w:cs="Arial"/>
        </w:rPr>
      </w:pPr>
      <w:r>
        <w:rPr>
          <w:rFonts w:ascii="Arial" w:hAnsi="Arial" w:cs="Arial"/>
        </w:rPr>
        <w:t xml:space="preserve">Barney, J. (1991) ‘Firm resources and sustained competitive advantage’, </w:t>
      </w:r>
      <w:r>
        <w:rPr>
          <w:rFonts w:ascii="Arial" w:hAnsi="Arial" w:cs="Arial"/>
          <w:i/>
          <w:iCs/>
        </w:rPr>
        <w:t>Journal of Management</w:t>
      </w:r>
      <w:r>
        <w:rPr>
          <w:rFonts w:ascii="Arial" w:hAnsi="Arial" w:cs="Arial"/>
        </w:rPr>
        <w:t>, 17(1), pp. 99–120.</w:t>
      </w:r>
    </w:p>
    <w:p w14:paraId="24B57B20">
      <w:pPr>
        <w:spacing w:line="360" w:lineRule="auto"/>
        <w:ind w:left="720" w:hanging="720"/>
        <w:rPr>
          <w:rFonts w:ascii="Arial" w:hAnsi="Arial" w:cs="Arial"/>
        </w:rPr>
      </w:pPr>
      <w:r>
        <w:rPr>
          <w:rFonts w:ascii="Arial" w:hAnsi="Arial" w:cs="Arial"/>
        </w:rPr>
        <w:t>Beck, K., Beedle, M., van Bennekum, A., Cockburn, A., Cunningham, W., Fowler, M., Grenning, J., Highsmith, J., Hunt, A., Jeffries, R., Kern, J., Marick, B., Martin, R.C., Mellor, S., Schwaber, K., Sutherland, J. and Thomas, D. (2001) ‘Manifesto for Agile Software Development’.</w:t>
      </w:r>
    </w:p>
    <w:p w14:paraId="6141403B">
      <w:pPr>
        <w:spacing w:line="360" w:lineRule="auto"/>
        <w:ind w:left="720" w:hanging="720"/>
        <w:rPr>
          <w:rFonts w:ascii="Arial" w:hAnsi="Arial" w:cs="Arial"/>
        </w:rPr>
      </w:pPr>
      <w:r>
        <w:rPr>
          <w:rFonts w:ascii="Arial" w:hAnsi="Arial" w:cs="Arial"/>
        </w:rPr>
        <w:t xml:space="preserve">Becker, G.S. (1964) </w:t>
      </w:r>
      <w:r>
        <w:rPr>
          <w:rFonts w:ascii="Arial" w:hAnsi="Arial" w:cs="Arial"/>
          <w:i/>
          <w:iCs/>
        </w:rPr>
        <w:t>Human capital: A theoretical and empirical analysis, with special reference to education</w:t>
      </w:r>
      <w:r>
        <w:rPr>
          <w:rFonts w:ascii="Arial" w:hAnsi="Arial" w:cs="Arial"/>
        </w:rPr>
        <w:t>. New York: Columbia University Press.</w:t>
      </w:r>
    </w:p>
    <w:p w14:paraId="1F4A0DD3">
      <w:pPr>
        <w:spacing w:line="360" w:lineRule="auto"/>
        <w:ind w:left="720" w:hanging="720"/>
        <w:rPr>
          <w:rFonts w:ascii="Arial" w:hAnsi="Arial" w:cs="Arial"/>
        </w:rPr>
      </w:pPr>
      <w:r>
        <w:rPr>
          <w:rFonts w:ascii="Arial" w:hAnsi="Arial" w:cs="Arial"/>
        </w:rPr>
        <w:t xml:space="preserve">Boxall, P. (2012) ‘High-performance work systems: What, why, how and for whom?’, </w:t>
      </w:r>
      <w:r>
        <w:rPr>
          <w:rFonts w:ascii="Arial" w:hAnsi="Arial" w:cs="Arial"/>
          <w:i/>
          <w:iCs/>
        </w:rPr>
        <w:t>Asia Pacific Journal of Human Resources</w:t>
      </w:r>
      <w:r>
        <w:rPr>
          <w:rFonts w:ascii="Arial" w:hAnsi="Arial" w:cs="Arial"/>
        </w:rPr>
        <w:t>, 50(2), pp. 169–186.</w:t>
      </w:r>
    </w:p>
    <w:p w14:paraId="77010AD3">
      <w:pPr>
        <w:spacing w:line="360" w:lineRule="auto"/>
        <w:ind w:left="720" w:hanging="720"/>
        <w:rPr>
          <w:rFonts w:ascii="Arial" w:hAnsi="Arial" w:cs="Arial"/>
        </w:rPr>
      </w:pPr>
      <w:r>
        <w:rPr>
          <w:rFonts w:ascii="Arial" w:hAnsi="Arial" w:cs="Arial"/>
        </w:rPr>
        <w:t xml:space="preserve">CIPD (2025) </w:t>
      </w:r>
      <w:r>
        <w:rPr>
          <w:rFonts w:ascii="Arial" w:hAnsi="Arial" w:cs="Arial"/>
          <w:i/>
          <w:iCs/>
        </w:rPr>
        <w:t>Responsible AI adoption in organisations: Evidence to support effective implementation</w:t>
      </w:r>
      <w:r>
        <w:rPr>
          <w:rFonts w:ascii="Arial" w:hAnsi="Arial" w:cs="Arial"/>
        </w:rPr>
        <w:t>. London: Chartered Institute of Personnel and Development.</w:t>
      </w:r>
    </w:p>
    <w:p w14:paraId="7E09432D">
      <w:pPr>
        <w:spacing w:line="360" w:lineRule="auto"/>
        <w:ind w:left="720" w:hanging="720"/>
        <w:rPr>
          <w:rFonts w:ascii="Arial" w:hAnsi="Arial" w:cs="Arial"/>
        </w:rPr>
      </w:pPr>
      <w:r>
        <w:rPr>
          <w:rFonts w:ascii="Arial" w:hAnsi="Arial" w:cs="Arial"/>
        </w:rPr>
        <w:t xml:space="preserve">Clegg, C.W. (2000) ‘Sociotechnical principles for system design’, </w:t>
      </w:r>
      <w:r>
        <w:rPr>
          <w:rFonts w:ascii="Arial" w:hAnsi="Arial" w:cs="Arial"/>
          <w:i/>
          <w:iCs/>
        </w:rPr>
        <w:t>Applied Ergonomics</w:t>
      </w:r>
      <w:r>
        <w:rPr>
          <w:rFonts w:ascii="Arial" w:hAnsi="Arial" w:cs="Arial"/>
        </w:rPr>
        <w:t>, 31(5), pp. 463–477.</w:t>
      </w:r>
    </w:p>
    <w:p w14:paraId="4462FF5F">
      <w:pPr>
        <w:spacing w:line="360" w:lineRule="auto"/>
        <w:ind w:left="720" w:hanging="720"/>
        <w:rPr>
          <w:rFonts w:ascii="Arial" w:hAnsi="Arial" w:cs="Arial"/>
        </w:rPr>
      </w:pPr>
      <w:r>
        <w:rPr>
          <w:rFonts w:ascii="Arial" w:hAnsi="Arial" w:cs="Arial"/>
        </w:rPr>
        <w:t xml:space="preserve">Collings, D.G. and Mellahi, K. (2009) ‘Strategic talent management: A review and research agenda’, </w:t>
      </w:r>
      <w:r>
        <w:rPr>
          <w:rFonts w:ascii="Arial" w:hAnsi="Arial" w:cs="Arial"/>
          <w:i/>
          <w:iCs/>
        </w:rPr>
        <w:t>Human Resource Management Review</w:t>
      </w:r>
      <w:r>
        <w:rPr>
          <w:rFonts w:ascii="Arial" w:hAnsi="Arial" w:cs="Arial"/>
        </w:rPr>
        <w:t>, 19(4), pp. 304–313.</w:t>
      </w:r>
    </w:p>
    <w:p w14:paraId="24EBBA40">
      <w:pPr>
        <w:spacing w:line="360" w:lineRule="auto"/>
        <w:ind w:left="720" w:hanging="720"/>
        <w:rPr>
          <w:rFonts w:ascii="Arial" w:hAnsi="Arial" w:cs="Arial"/>
        </w:rPr>
      </w:pPr>
      <w:r>
        <w:rPr>
          <w:rFonts w:ascii="Arial" w:hAnsi="Arial" w:cs="Arial"/>
        </w:rPr>
        <w:t xml:space="preserve">Deci, E.L. and Ryan, R.M. (2000) ‘The “what” and “why” of goal pursuits: Human needs and the self-determination of behavior’, </w:t>
      </w:r>
      <w:r>
        <w:rPr>
          <w:rFonts w:ascii="Arial" w:hAnsi="Arial" w:cs="Arial"/>
          <w:i/>
          <w:iCs/>
        </w:rPr>
        <w:t>Psychological Inquiry</w:t>
      </w:r>
      <w:r>
        <w:rPr>
          <w:rFonts w:ascii="Arial" w:hAnsi="Arial" w:cs="Arial"/>
        </w:rPr>
        <w:t>, 11(4), pp. 227–268.</w:t>
      </w:r>
    </w:p>
    <w:p w14:paraId="025501D2">
      <w:pPr>
        <w:spacing w:line="360" w:lineRule="auto"/>
        <w:ind w:left="720" w:hanging="720"/>
        <w:rPr>
          <w:rFonts w:ascii="Arial" w:hAnsi="Arial" w:cs="Arial"/>
        </w:rPr>
      </w:pPr>
      <w:r>
        <w:rPr>
          <w:rFonts w:ascii="Arial" w:hAnsi="Arial" w:cs="Arial"/>
        </w:rPr>
        <w:t xml:space="preserve">Deloitte (2026) </w:t>
      </w:r>
      <w:r>
        <w:rPr>
          <w:rFonts w:ascii="Arial" w:hAnsi="Arial" w:cs="Arial"/>
          <w:i/>
          <w:iCs/>
        </w:rPr>
        <w:t>Global Human Capital Trends 2026</w:t>
      </w:r>
      <w:r>
        <w:rPr>
          <w:rFonts w:ascii="Arial" w:hAnsi="Arial" w:cs="Arial"/>
        </w:rPr>
        <w:t>. Deloitte.</w:t>
      </w:r>
    </w:p>
    <w:p w14:paraId="12337D3B">
      <w:pPr>
        <w:spacing w:line="360" w:lineRule="auto"/>
        <w:ind w:left="720" w:hanging="720"/>
        <w:rPr>
          <w:rFonts w:ascii="Arial" w:hAnsi="Arial" w:cs="Arial"/>
        </w:rPr>
      </w:pPr>
      <w:r>
        <w:rPr>
          <w:rFonts w:ascii="Arial" w:hAnsi="Arial" w:cs="Arial"/>
        </w:rPr>
        <w:t xml:space="preserve">Dweck, C.S. (2006) </w:t>
      </w:r>
      <w:r>
        <w:rPr>
          <w:rFonts w:ascii="Arial" w:hAnsi="Arial" w:cs="Arial"/>
          <w:i/>
          <w:iCs/>
        </w:rPr>
        <w:t>Mindset: The new psychology of success</w:t>
      </w:r>
      <w:r>
        <w:rPr>
          <w:rFonts w:ascii="Arial" w:hAnsi="Arial" w:cs="Arial"/>
        </w:rPr>
        <w:t>. New York: Random House.</w:t>
      </w:r>
    </w:p>
    <w:p w14:paraId="5C57ECCB">
      <w:pPr>
        <w:spacing w:line="360" w:lineRule="auto"/>
        <w:ind w:left="720" w:hanging="720"/>
        <w:rPr>
          <w:rFonts w:ascii="Arial" w:hAnsi="Arial" w:cs="Arial"/>
        </w:rPr>
      </w:pPr>
      <w:r>
        <w:rPr>
          <w:rFonts w:ascii="Arial" w:hAnsi="Arial" w:cs="Arial"/>
        </w:rPr>
        <w:t xml:space="preserve">Edmondson, A. (1999) ‘Psychological safety and learning behavior in work teams’, </w:t>
      </w:r>
      <w:r>
        <w:rPr>
          <w:rFonts w:ascii="Arial" w:hAnsi="Arial" w:cs="Arial"/>
          <w:i/>
          <w:iCs/>
        </w:rPr>
        <w:t>Administrative Science Quarterly</w:t>
      </w:r>
      <w:r>
        <w:rPr>
          <w:rFonts w:ascii="Arial" w:hAnsi="Arial" w:cs="Arial"/>
        </w:rPr>
        <w:t>, 44(2), pp. 350–383.</w:t>
      </w:r>
    </w:p>
    <w:p w14:paraId="3424069B">
      <w:pPr>
        <w:spacing w:line="360" w:lineRule="auto"/>
        <w:ind w:left="720" w:hanging="720"/>
        <w:rPr>
          <w:rFonts w:ascii="Arial" w:hAnsi="Arial" w:cs="Arial"/>
        </w:rPr>
      </w:pPr>
      <w:r>
        <w:rPr>
          <w:rFonts w:ascii="Arial" w:hAnsi="Arial" w:cs="Arial"/>
        </w:rPr>
        <w:t xml:space="preserve">GitLab (2026) </w:t>
      </w:r>
      <w:r>
        <w:rPr>
          <w:rFonts w:ascii="Arial" w:hAnsi="Arial" w:cs="Arial"/>
          <w:i/>
          <w:iCs/>
        </w:rPr>
        <w:t>The GitLab Handbook: All-Remote</w:t>
      </w:r>
      <w:r>
        <w:rPr>
          <w:rFonts w:ascii="Arial" w:hAnsi="Arial" w:cs="Arial"/>
        </w:rPr>
        <w:t>. GitLab.</w:t>
      </w:r>
    </w:p>
    <w:p w14:paraId="651E407F">
      <w:pPr>
        <w:spacing w:line="360" w:lineRule="auto"/>
        <w:ind w:left="720" w:hanging="720"/>
        <w:rPr>
          <w:rFonts w:ascii="Arial" w:hAnsi="Arial" w:cs="Arial"/>
        </w:rPr>
      </w:pPr>
      <w:r>
        <w:rPr>
          <w:rFonts w:ascii="Arial" w:hAnsi="Arial" w:cs="Arial"/>
        </w:rPr>
        <w:t xml:space="preserve">Jiang, K., Lepak, D.P., Hu, J. and Baer, J.C. (2012) ‘How does human resource management influence organizational outcomes? A meta-analytic investigation of mediating mechanisms’, </w:t>
      </w:r>
      <w:r>
        <w:rPr>
          <w:rFonts w:ascii="Arial" w:hAnsi="Arial" w:cs="Arial"/>
          <w:i/>
          <w:iCs/>
        </w:rPr>
        <w:t>Academy of Management Journal</w:t>
      </w:r>
      <w:r>
        <w:rPr>
          <w:rFonts w:ascii="Arial" w:hAnsi="Arial" w:cs="Arial"/>
        </w:rPr>
        <w:t>, 55(6), pp. 1264–1294.</w:t>
      </w:r>
    </w:p>
    <w:p w14:paraId="2FB9711E">
      <w:pPr>
        <w:spacing w:line="360" w:lineRule="auto"/>
        <w:ind w:left="720" w:hanging="720"/>
        <w:rPr>
          <w:rFonts w:ascii="Arial" w:hAnsi="Arial" w:cs="Arial"/>
        </w:rPr>
      </w:pPr>
      <w:r>
        <w:rPr>
          <w:rFonts w:ascii="Arial" w:hAnsi="Arial" w:cs="Arial"/>
        </w:rPr>
        <w:t xml:space="preserve">OECD (2024) </w:t>
      </w:r>
      <w:r>
        <w:rPr>
          <w:rFonts w:ascii="Arial" w:hAnsi="Arial" w:cs="Arial"/>
          <w:i/>
          <w:iCs/>
        </w:rPr>
        <w:t>Using AI in the workplace: Opportunities, risks and policy responses</w:t>
      </w:r>
      <w:r>
        <w:rPr>
          <w:rFonts w:ascii="Arial" w:hAnsi="Arial" w:cs="Arial"/>
        </w:rPr>
        <w:t>. Paris: OECD Publishing.</w:t>
      </w:r>
    </w:p>
    <w:p w14:paraId="783551E1">
      <w:pPr>
        <w:spacing w:line="360" w:lineRule="auto"/>
        <w:ind w:left="720" w:hanging="720"/>
        <w:rPr>
          <w:rFonts w:ascii="Arial" w:hAnsi="Arial" w:cs="Arial"/>
        </w:rPr>
      </w:pPr>
      <w:r>
        <w:rPr>
          <w:rFonts w:ascii="Arial" w:hAnsi="Arial" w:cs="Arial"/>
        </w:rPr>
        <w:t xml:space="preserve">Ryan, R.M. and Deci, E.L. (2000) ‘Self-determination theory and the facilitation of intrinsic motivation, social development, and well-being’, </w:t>
      </w:r>
      <w:r>
        <w:rPr>
          <w:rFonts w:ascii="Arial" w:hAnsi="Arial" w:cs="Arial"/>
          <w:i/>
          <w:iCs/>
        </w:rPr>
        <w:t>American Psychologist</w:t>
      </w:r>
      <w:r>
        <w:rPr>
          <w:rFonts w:ascii="Arial" w:hAnsi="Arial" w:cs="Arial"/>
        </w:rPr>
        <w:t>, 55(1), pp. 68–78.</w:t>
      </w:r>
    </w:p>
    <w:p w14:paraId="3093179B">
      <w:pPr>
        <w:spacing w:line="360" w:lineRule="auto"/>
        <w:ind w:left="720" w:hanging="720"/>
        <w:rPr>
          <w:rFonts w:ascii="Arial" w:hAnsi="Arial" w:cs="Arial"/>
        </w:rPr>
      </w:pPr>
      <w:r>
        <w:rPr>
          <w:rFonts w:ascii="Arial" w:hAnsi="Arial" w:cs="Arial"/>
        </w:rPr>
        <w:t xml:space="preserve">Senge, P.M. (1990) </w:t>
      </w:r>
      <w:r>
        <w:rPr>
          <w:rFonts w:ascii="Arial" w:hAnsi="Arial" w:cs="Arial"/>
          <w:i/>
          <w:iCs/>
        </w:rPr>
        <w:t>The fifth discipline: The art and practice of the learning organization</w:t>
      </w:r>
      <w:r>
        <w:rPr>
          <w:rFonts w:ascii="Arial" w:hAnsi="Arial" w:cs="Arial"/>
        </w:rPr>
        <w:t>. New York: Doubleday/Currency.</w:t>
      </w:r>
    </w:p>
    <w:p w14:paraId="15FD5A52">
      <w:pPr>
        <w:spacing w:line="360" w:lineRule="auto"/>
        <w:ind w:left="720" w:hanging="720"/>
        <w:rPr>
          <w:rFonts w:ascii="Arial" w:hAnsi="Arial" w:cs="Arial"/>
        </w:rPr>
      </w:pPr>
      <w:r>
        <w:rPr>
          <w:rFonts w:ascii="Arial" w:hAnsi="Arial" w:cs="Arial"/>
        </w:rPr>
        <w:t xml:space="preserve">Taylor, F.W. (1911) </w:t>
      </w:r>
      <w:r>
        <w:rPr>
          <w:rFonts w:ascii="Arial" w:hAnsi="Arial" w:cs="Arial"/>
          <w:i/>
          <w:iCs/>
        </w:rPr>
        <w:t>The principles of scientific management</w:t>
      </w:r>
      <w:r>
        <w:rPr>
          <w:rFonts w:ascii="Arial" w:hAnsi="Arial" w:cs="Arial"/>
        </w:rPr>
        <w:t>. New York: Harper &amp; Brothers.</w:t>
      </w:r>
    </w:p>
    <w:p w14:paraId="337EBA6E">
      <w:pPr>
        <w:spacing w:line="360" w:lineRule="auto"/>
        <w:ind w:left="720" w:hanging="720"/>
        <w:rPr>
          <w:rFonts w:ascii="Arial" w:hAnsi="Arial" w:cs="Arial"/>
        </w:rPr>
      </w:pPr>
      <w:r>
        <w:rPr>
          <w:rFonts w:ascii="Arial" w:hAnsi="Arial" w:cs="Arial"/>
        </w:rPr>
        <w:t xml:space="preserve">Trist, E.L. and Bamforth, K.W. (1951) ‘Some social and psychological consequences of the longwall method of coal-getting’, </w:t>
      </w:r>
      <w:r>
        <w:rPr>
          <w:rFonts w:ascii="Arial" w:hAnsi="Arial" w:cs="Arial"/>
          <w:i/>
          <w:iCs/>
        </w:rPr>
        <w:t>Human Relations</w:t>
      </w:r>
      <w:r>
        <w:rPr>
          <w:rFonts w:ascii="Arial" w:hAnsi="Arial" w:cs="Arial"/>
        </w:rPr>
        <w:t>, 4(1), pp. 3–38.</w:t>
      </w:r>
    </w:p>
    <w:p w14:paraId="1FC2E21C">
      <w:pPr>
        <w:spacing w:line="360" w:lineRule="auto"/>
        <w:ind w:left="720" w:hanging="720"/>
        <w:rPr>
          <w:rFonts w:ascii="Arial" w:hAnsi="Arial" w:cs="Arial"/>
        </w:rPr>
      </w:pPr>
      <w:r>
        <w:rPr>
          <w:rFonts w:ascii="Arial" w:hAnsi="Arial" w:cs="Arial"/>
        </w:rPr>
        <w:t xml:space="preserve">West, M.A., Eckert, R., Collins, B. and Chowla, R. (2015) </w:t>
      </w:r>
      <w:r>
        <w:rPr>
          <w:rFonts w:ascii="Arial" w:hAnsi="Arial" w:cs="Arial"/>
          <w:i/>
          <w:iCs/>
        </w:rPr>
        <w:t>Caring to change: How compassionate leadership can stimulate innovation in health care</w:t>
      </w:r>
      <w:r>
        <w:rPr>
          <w:rFonts w:ascii="Arial" w:hAnsi="Arial" w:cs="Arial"/>
        </w:rPr>
        <w:t>. London: The King’s Fund.</w:t>
      </w:r>
    </w:p>
    <w:p w14:paraId="1268FEFA">
      <w:pPr>
        <w:spacing w:line="360" w:lineRule="auto"/>
        <w:ind w:left="720" w:hanging="720"/>
        <w:rPr>
          <w:rFonts w:ascii="Arial" w:hAnsi="Arial" w:cs="Arial"/>
        </w:rPr>
      </w:pPr>
      <w:r>
        <w:rPr>
          <w:rFonts w:ascii="Arial" w:hAnsi="Arial" w:cs="Arial"/>
        </w:rPr>
        <w:t xml:space="preserve">Wood, S., Van Veldhoven, M., Croon, M. and de Menezes, L.M. (2012) ‘Enriched job design, high involvement management and organisational performance: The mediating roles of job satisfaction and well-being’, </w:t>
      </w:r>
      <w:r>
        <w:rPr>
          <w:rFonts w:ascii="Arial" w:hAnsi="Arial" w:cs="Arial"/>
          <w:i/>
          <w:iCs/>
        </w:rPr>
        <w:t>Human Relations</w:t>
      </w:r>
      <w:r>
        <w:rPr>
          <w:rFonts w:ascii="Arial" w:hAnsi="Arial" w:cs="Arial"/>
        </w:rPr>
        <w:t>, 65(4), pp. 419–445.</w:t>
      </w:r>
    </w:p>
    <w:p w14:paraId="610A7624">
      <w:pPr>
        <w:spacing w:line="360" w:lineRule="auto"/>
        <w:ind w:left="720" w:hanging="720"/>
        <w:rPr>
          <w:rFonts w:ascii="Arial" w:hAnsi="Arial" w:cs="Arial"/>
        </w:rPr>
      </w:pPr>
      <w:r>
        <w:rPr>
          <w:rFonts w:ascii="Arial" w:hAnsi="Arial" w:cs="Arial"/>
        </w:rPr>
        <w:t xml:space="preserve">World Economic Forum (2025) </w:t>
      </w:r>
      <w:r>
        <w:rPr>
          <w:rFonts w:ascii="Arial" w:hAnsi="Arial" w:cs="Arial"/>
          <w:i/>
          <w:iCs/>
        </w:rPr>
        <w:t>The Future of Jobs Report 2025</w:t>
      </w:r>
      <w:r>
        <w:rPr>
          <w:rFonts w:ascii="Arial" w:hAnsi="Arial" w:cs="Arial"/>
        </w:rPr>
        <w:t>. Geneva: World Economic Forum.</w:t>
      </w:r>
    </w:p>
    <w:p w14:paraId="69631B31">
      <w:pPr>
        <w:spacing w:line="360" w:lineRule="auto"/>
        <w:ind w:left="720" w:hanging="720"/>
        <w:rPr>
          <w:rFonts w:ascii="Arial" w:hAnsi="Arial" w:cs="Arial"/>
        </w:rPr>
      </w:pPr>
      <w:r>
        <w:rPr>
          <w:rFonts w:ascii="Arial" w:hAnsi="Arial" w:cs="Arial"/>
        </w:rPr>
        <w:t xml:space="preserve">Wrzesniewski, A. and Dutton, J.E. (2001) ‘Crafting a job: Revisioning employees as active crafters of their work’, </w:t>
      </w:r>
      <w:r>
        <w:rPr>
          <w:rFonts w:ascii="Arial" w:hAnsi="Arial" w:cs="Arial"/>
          <w:i/>
          <w:iCs/>
        </w:rPr>
        <w:t>Academy of Management Review</w:t>
      </w:r>
      <w:r>
        <w:rPr>
          <w:rFonts w:ascii="Arial" w:hAnsi="Arial" w:cs="Arial"/>
        </w:rPr>
        <w:t>, 26(2), pp. 179–201.</w:t>
      </w:r>
    </w:p>
    <w:p w14:paraId="1AB0FA3F">
      <w:pPr>
        <w:spacing w:line="360" w:lineRule="auto"/>
        <w:ind w:left="720" w:hanging="720"/>
        <w:rPr>
          <w:rFonts w:ascii="Arial" w:hAnsi="Arial" w:cs="Arial"/>
        </w:rPr>
      </w:pPr>
    </w:p>
    <w:sectPr>
      <w:footerReference r:id="rId5" w:type="default"/>
      <w:pgSz w:w="12240" w:h="15840"/>
      <w:pgMar w:top="1440" w:right="1440" w:bottom="1440" w:left="1440" w:header="720" w:footer="720" w:gutter="0"/>
      <w:pgBorders w:offsetFrom="page">
        <w:top w:val="outset" w:color="auto" w:sz="6" w:space="24"/>
        <w:left w:val="outset" w:color="auto" w:sz="6" w:space="24"/>
        <w:bottom w:val="inset" w:color="auto" w:sz="6" w:space="24"/>
        <w:right w:val="inset" w:color="auto" w:sz="6"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36703041"/>
      <w:docPartObj>
        <w:docPartGallery w:val="AutoText"/>
      </w:docPartObj>
    </w:sdtPr>
    <w:sdtEndPr>
      <w:rPr>
        <w:color w:val="808080" w:themeColor="background1" w:themeShade="80"/>
        <w:spacing w:val="60"/>
      </w:rPr>
    </w:sdtEndPr>
    <w:sdtContent>
      <w:p w14:paraId="73C1C7FD">
        <w:pPr>
          <w:pStyle w:val="14"/>
          <w:pBdr>
            <w:top w:val="single" w:color="D8D8D8" w:themeColor="background1" w:themeShade="D9" w:sz="4" w:space="1"/>
          </w:pBdr>
          <w:rPr>
            <w:b/>
            <w:bCs/>
          </w:rPr>
        </w:pPr>
        <w:r>
          <w:fldChar w:fldCharType="begin"/>
        </w:r>
        <w:r>
          <w:instrText xml:space="preserve"> PAGE   \* MERGEFORMAT </w:instrText>
        </w:r>
        <w:r>
          <w:fldChar w:fldCharType="separate"/>
        </w:r>
        <w:r>
          <w:rPr>
            <w:b/>
            <w:bCs/>
          </w:rPr>
          <w:t>1</w:t>
        </w:r>
        <w:r>
          <w:rPr>
            <w:b/>
            <w:bCs/>
          </w:rPr>
          <w:fldChar w:fldCharType="end"/>
        </w:r>
        <w:r>
          <w:rPr>
            <w:b/>
            <w:bCs/>
          </w:rPr>
          <w:t xml:space="preserve"> | </w:t>
        </w:r>
        <w:r>
          <w:rPr>
            <w:color w:val="808080" w:themeColor="background1" w:themeShade="80"/>
            <w:spacing w:val="60"/>
          </w:rPr>
          <w:t>Page</w:t>
        </w:r>
      </w:p>
    </w:sdtContent>
  </w:sdt>
  <w:p w14:paraId="7A86CCB0">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3"/>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594A"/>
    <w:rsid w:val="00006DEC"/>
    <w:rsid w:val="00033AB7"/>
    <w:rsid w:val="00056456"/>
    <w:rsid w:val="000621C0"/>
    <w:rsid w:val="000A3064"/>
    <w:rsid w:val="000C6B8B"/>
    <w:rsid w:val="000E0033"/>
    <w:rsid w:val="000E18F0"/>
    <w:rsid w:val="00144ADE"/>
    <w:rsid w:val="001C16FB"/>
    <w:rsid w:val="001D4B41"/>
    <w:rsid w:val="002C2807"/>
    <w:rsid w:val="002E23C1"/>
    <w:rsid w:val="00334E4C"/>
    <w:rsid w:val="003455D9"/>
    <w:rsid w:val="003459E2"/>
    <w:rsid w:val="00351602"/>
    <w:rsid w:val="00362A19"/>
    <w:rsid w:val="003637BF"/>
    <w:rsid w:val="003E4916"/>
    <w:rsid w:val="0046218B"/>
    <w:rsid w:val="004738BD"/>
    <w:rsid w:val="0054608E"/>
    <w:rsid w:val="005751D9"/>
    <w:rsid w:val="00592E74"/>
    <w:rsid w:val="00596B9F"/>
    <w:rsid w:val="005D209A"/>
    <w:rsid w:val="005F69A6"/>
    <w:rsid w:val="00621BAC"/>
    <w:rsid w:val="006925E0"/>
    <w:rsid w:val="006E4398"/>
    <w:rsid w:val="007A0243"/>
    <w:rsid w:val="007A3787"/>
    <w:rsid w:val="007C249D"/>
    <w:rsid w:val="0080594A"/>
    <w:rsid w:val="008542C2"/>
    <w:rsid w:val="00903266"/>
    <w:rsid w:val="009C5C1E"/>
    <w:rsid w:val="00A236AA"/>
    <w:rsid w:val="00A4555F"/>
    <w:rsid w:val="00A86A04"/>
    <w:rsid w:val="00AC5A47"/>
    <w:rsid w:val="00B326DC"/>
    <w:rsid w:val="00B55C68"/>
    <w:rsid w:val="00B7161F"/>
    <w:rsid w:val="00B77142"/>
    <w:rsid w:val="00B86B9B"/>
    <w:rsid w:val="00BE4C9A"/>
    <w:rsid w:val="00C07F43"/>
    <w:rsid w:val="00C1432A"/>
    <w:rsid w:val="00C4352B"/>
    <w:rsid w:val="00CA7D48"/>
    <w:rsid w:val="00CC2F23"/>
    <w:rsid w:val="00CC4B48"/>
    <w:rsid w:val="00CE25AE"/>
    <w:rsid w:val="00D74DDB"/>
    <w:rsid w:val="00D9056C"/>
    <w:rsid w:val="00DF0CD7"/>
    <w:rsid w:val="00E00544"/>
    <w:rsid w:val="00F45C90"/>
    <w:rsid w:val="00FC055A"/>
    <w:rsid w:val="7ED25F6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24"/>
    <w:qFormat/>
    <w:uiPriority w:val="9"/>
    <w:pPr>
      <w:keepNext/>
      <w:keepLines/>
      <w:spacing w:before="360" w:after="80"/>
      <w:outlineLvl w:val="0"/>
    </w:pPr>
    <w:rPr>
      <w:rFonts w:ascii="Arial" w:hAnsi="Arial" w:eastAsiaTheme="majorEastAsia" w:cstheme="majorBidi"/>
      <w:b/>
      <w:color w:val="002060"/>
      <w:sz w:val="32"/>
      <w:szCs w:val="40"/>
      <w:u w:val="single"/>
    </w:rPr>
  </w:style>
  <w:style w:type="paragraph" w:styleId="3">
    <w:name w:val="heading 2"/>
    <w:basedOn w:val="1"/>
    <w:next w:val="1"/>
    <w:link w:val="25"/>
    <w:unhideWhenUsed/>
    <w:qFormat/>
    <w:uiPriority w:val="9"/>
    <w:pPr>
      <w:keepNext/>
      <w:keepLines/>
      <w:spacing w:before="160" w:after="80"/>
      <w:outlineLvl w:val="1"/>
    </w:pPr>
    <w:rPr>
      <w:rFonts w:ascii="Arial" w:hAnsi="Arial" w:eastAsiaTheme="majorEastAsia" w:cstheme="majorBidi"/>
      <w:b/>
      <w:color w:val="000000" w:themeColor="text1"/>
      <w:sz w:val="28"/>
      <w:szCs w:val="32"/>
      <w:u w:val="single"/>
      <w14:textFill>
        <w14:solidFill>
          <w14:schemeClr w14:val="tx1"/>
        </w14:solidFill>
      </w14:textFill>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46"/>
    <w:semiHidden/>
    <w:unhideWhenUsed/>
    <w:qFormat/>
    <w:uiPriority w:val="99"/>
    <w:pPr>
      <w:spacing w:after="0" w:line="240" w:lineRule="auto"/>
    </w:pPr>
    <w:rPr>
      <w:rFonts w:ascii="Tahoma" w:hAnsi="Tahoma" w:cs="Tahoma"/>
      <w:sz w:val="16"/>
      <w:szCs w:val="16"/>
    </w:rPr>
  </w:style>
  <w:style w:type="paragraph" w:styleId="14">
    <w:name w:val="footer"/>
    <w:basedOn w:val="1"/>
    <w:link w:val="44"/>
    <w:unhideWhenUsed/>
    <w:qFormat/>
    <w:uiPriority w:val="99"/>
    <w:pPr>
      <w:tabs>
        <w:tab w:val="center" w:pos="4680"/>
        <w:tab w:val="right" w:pos="9360"/>
      </w:tabs>
      <w:spacing w:after="0" w:line="240" w:lineRule="auto"/>
    </w:pPr>
  </w:style>
  <w:style w:type="paragraph" w:styleId="15">
    <w:name w:val="header"/>
    <w:basedOn w:val="1"/>
    <w:link w:val="43"/>
    <w:unhideWhenUsed/>
    <w:qFormat/>
    <w:uiPriority w:val="99"/>
    <w:pPr>
      <w:tabs>
        <w:tab w:val="center" w:pos="4680"/>
        <w:tab w:val="right" w:pos="9360"/>
      </w:tabs>
      <w:spacing w:after="0" w:line="240" w:lineRule="auto"/>
    </w:pPr>
  </w:style>
  <w:style w:type="character" w:styleId="16">
    <w:name w:val="Hyperlink"/>
    <w:basedOn w:val="11"/>
    <w:unhideWhenUsed/>
    <w:qFormat/>
    <w:uiPriority w:val="99"/>
    <w:rPr>
      <w:color w:val="0563C1" w:themeColor="hyperlink"/>
      <w:u w:val="single"/>
      <w14:textFill>
        <w14:solidFill>
          <w14:schemeClr w14:val="hlink"/>
        </w14:solidFill>
      </w14:textFill>
    </w:rPr>
  </w:style>
  <w:style w:type="paragraph" w:styleId="17">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18">
    <w:name w:val="Strong"/>
    <w:basedOn w:val="11"/>
    <w:qFormat/>
    <w:uiPriority w:val="22"/>
    <w:rPr>
      <w:b/>
      <w:bCs/>
    </w:rPr>
  </w:style>
  <w:style w:type="paragraph" w:styleId="19">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21">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40"/>
    </w:pPr>
  </w:style>
  <w:style w:type="character" w:customStyle="1" w:styleId="24">
    <w:name w:val="Heading 1 Char"/>
    <w:basedOn w:val="11"/>
    <w:link w:val="2"/>
    <w:qFormat/>
    <w:uiPriority w:val="9"/>
    <w:rPr>
      <w:rFonts w:ascii="Arial" w:hAnsi="Arial" w:eastAsiaTheme="majorEastAsia" w:cstheme="majorBidi"/>
      <w:b/>
      <w:color w:val="002060"/>
      <w:sz w:val="32"/>
      <w:szCs w:val="40"/>
      <w:u w:val="single"/>
    </w:rPr>
  </w:style>
  <w:style w:type="character" w:customStyle="1" w:styleId="25">
    <w:name w:val="Heading 2 Char"/>
    <w:basedOn w:val="11"/>
    <w:link w:val="3"/>
    <w:qFormat/>
    <w:uiPriority w:val="9"/>
    <w:rPr>
      <w:rFonts w:ascii="Arial" w:hAnsi="Arial" w:eastAsiaTheme="majorEastAsia" w:cstheme="majorBidi"/>
      <w:b/>
      <w:color w:val="000000" w:themeColor="text1"/>
      <w:sz w:val="28"/>
      <w:szCs w:val="32"/>
      <w:u w:val="single"/>
      <w14:textFill>
        <w14:solidFill>
          <w14:schemeClr w14:val="tx1"/>
        </w14:solidFill>
      </w14:textFill>
    </w:rPr>
  </w:style>
  <w:style w:type="character" w:customStyle="1" w:styleId="26">
    <w:name w:val="Heading 3 Char"/>
    <w:basedOn w:val="11"/>
    <w:link w:val="4"/>
    <w:semiHidden/>
    <w:qFormat/>
    <w:uiPriority w:val="9"/>
    <w:rPr>
      <w:rFonts w:eastAsiaTheme="majorEastAsia" w:cstheme="majorBidi"/>
      <w:color w:val="2F5597"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2F5597" w:themeColor="accent1" w:themeShade="BF"/>
    </w:rPr>
  </w:style>
  <w:style w:type="character" w:customStyle="1" w:styleId="28">
    <w:name w:val="Heading 5 Char"/>
    <w:basedOn w:val="11"/>
    <w:link w:val="6"/>
    <w:semiHidden/>
    <w:qFormat/>
    <w:uiPriority w:val="9"/>
    <w:rPr>
      <w:rFonts w:eastAsiaTheme="majorEastAsia" w:cstheme="majorBidi"/>
      <w:color w:val="2F5597"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1"/>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2F5597" w:themeColor="accent1" w:themeShade="BF"/>
    </w:rPr>
  </w:style>
  <w:style w:type="paragraph" w:styleId="39">
    <w:name w:val="Intense Quote"/>
    <w:basedOn w:val="1"/>
    <w:next w:val="1"/>
    <w:link w:val="40"/>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40">
    <w:name w:val="Intense Quote Char"/>
    <w:basedOn w:val="11"/>
    <w:link w:val="39"/>
    <w:qFormat/>
    <w:uiPriority w:val="30"/>
    <w:rPr>
      <w:i/>
      <w:iCs/>
      <w:color w:val="2F5597" w:themeColor="accent1" w:themeShade="BF"/>
    </w:rPr>
  </w:style>
  <w:style w:type="character" w:customStyle="1" w:styleId="41">
    <w:name w:val="Intense Reference"/>
    <w:basedOn w:val="11"/>
    <w:qFormat/>
    <w:uiPriority w:val="32"/>
    <w:rPr>
      <w:b/>
      <w:bCs/>
      <w:smallCaps/>
      <w:color w:val="2F5597" w:themeColor="accent1" w:themeShade="BF"/>
      <w:spacing w:val="5"/>
    </w:rPr>
  </w:style>
  <w:style w:type="character" w:customStyle="1" w:styleId="42">
    <w:name w:val="Unresolved Mention"/>
    <w:basedOn w:val="11"/>
    <w:semiHidden/>
    <w:unhideWhenUsed/>
    <w:qFormat/>
    <w:uiPriority w:val="99"/>
    <w:rPr>
      <w:color w:val="605E5C"/>
      <w:shd w:val="clear" w:color="auto" w:fill="E1DFDD"/>
    </w:rPr>
  </w:style>
  <w:style w:type="character" w:customStyle="1" w:styleId="43">
    <w:name w:val="Header Char"/>
    <w:basedOn w:val="11"/>
    <w:link w:val="15"/>
    <w:qFormat/>
    <w:uiPriority w:val="99"/>
  </w:style>
  <w:style w:type="character" w:customStyle="1" w:styleId="44">
    <w:name w:val="Footer Char"/>
    <w:basedOn w:val="11"/>
    <w:link w:val="14"/>
    <w:qFormat/>
    <w:uiPriority w:val="99"/>
  </w:style>
  <w:style w:type="paragraph" w:customStyle="1" w:styleId="45">
    <w:name w:val="TOC Heading"/>
    <w:basedOn w:val="2"/>
    <w:next w:val="1"/>
    <w:unhideWhenUsed/>
    <w:qFormat/>
    <w:uiPriority w:val="39"/>
    <w:pPr>
      <w:spacing w:before="240" w:after="0" w:line="259" w:lineRule="auto"/>
      <w:outlineLvl w:val="9"/>
    </w:pPr>
    <w:rPr>
      <w:rFonts w:asciiTheme="majorHAnsi" w:hAnsiTheme="majorHAnsi"/>
      <w:b w:val="0"/>
      <w:color w:val="2F5597" w:themeColor="accent1" w:themeShade="BF"/>
      <w:kern w:val="0"/>
      <w:szCs w:val="32"/>
      <w:u w:val="none"/>
      <w14:ligatures w14:val="none"/>
    </w:rPr>
  </w:style>
  <w:style w:type="character" w:customStyle="1" w:styleId="46">
    <w:name w:val="Balloon Text Char"/>
    <w:basedOn w:val="11"/>
    <w:link w:val="13"/>
    <w:semiHidden/>
    <w:qFormat/>
    <w:uiPriority w:val="99"/>
    <w:rPr>
      <w:rFonts w:ascii="Tahoma" w:hAnsi="Tahoma" w:cs="Tahoma"/>
      <w:sz w:val="16"/>
      <w:szCs w:val="16"/>
      <w:lang w:val="en-GB"/>
    </w:rPr>
  </w:style>
  <w:style w:type="character" w:customStyle="1" w:styleId="47">
    <w:name w:val="cursor-pointer"/>
    <w:basedOn w:val="11"/>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4FF3B-EDDF-4DEC-9A34-F3BB7AAB6947}">
  <ds:schemaRefs/>
</ds:datastoreItem>
</file>

<file path=docProps/app.xml><?xml version="1.0" encoding="utf-8"?>
<Properties xmlns="http://schemas.openxmlformats.org/officeDocument/2006/extended-properties" xmlns:vt="http://schemas.openxmlformats.org/officeDocument/2006/docPropsVTypes">
  <Template>Normal</Template>
  <Pages>18</Pages>
  <Words>3799</Words>
  <Characters>21657</Characters>
  <Lines>180</Lines>
  <Paragraphs>50</Paragraphs>
  <TotalTime>0</TotalTime>
  <ScaleCrop>false</ScaleCrop>
  <LinksUpToDate>false</LinksUpToDate>
  <CharactersWithSpaces>25406</CharactersWithSpaces>
  <Application>WPS Office_12.2.0.23230_F1E327BC-269C-435d-A152-05C5408002CA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2026-10-14T14:17:00Z</dcterms:created>
  <dc:creator>Setup</dc:creator>
  <cp:lastModifiedBy>keshw</cp:lastModifiedBy>
  <dcterms:modified xsi:type="dcterms:W3CDTF">2026-10-14T23:27:17Z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1033-12.2.0.23230</vt:lpwstr>
  </property>
  <property fmtid="{D5CDD505-2E9C-101B-9397-08002B2CF9AE}" pid="3" name="ICV">
    <vt:lpwstr>F2728DC853F24D32B454C712261753BF_13</vt:lpwstr>
  </property>
</Properties>
</file>