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3E81A" w14:textId="77777777" w:rsidR="00DB470A" w:rsidRDefault="00DB470A">
      <w:pPr>
        <w:jc w:val="center"/>
      </w:pPr>
    </w:p>
    <w:p w14:paraId="1ADBE1E6" w14:textId="77777777" w:rsidR="00DB470A" w:rsidRDefault="00000000">
      <w:pPr>
        <w:jc w:val="center"/>
      </w:pPr>
      <w:r>
        <w:rPr>
          <w:b/>
          <w:sz w:val="32"/>
        </w:rPr>
        <w:t>MSc Data and Artificial Intelligence</w:t>
      </w:r>
      <w:r>
        <w:rPr>
          <w:b/>
          <w:sz w:val="32"/>
        </w:rPr>
        <w:br/>
      </w:r>
      <w:r>
        <w:rPr>
          <w:b/>
          <w:sz w:val="32"/>
        </w:rPr>
        <w:br/>
        <w:t>Module: Research Methods and Professional Development</w:t>
      </w:r>
      <w:r>
        <w:rPr>
          <w:b/>
          <w:sz w:val="32"/>
        </w:rPr>
        <w:br/>
      </w:r>
      <w:r>
        <w:rPr>
          <w:b/>
          <w:sz w:val="32"/>
        </w:rPr>
        <w:br/>
        <w:t>Module Code: ACFA7004</w:t>
      </w:r>
      <w:r>
        <w:rPr>
          <w:b/>
          <w:sz w:val="32"/>
        </w:rPr>
        <w:br/>
      </w:r>
      <w:r>
        <w:rPr>
          <w:b/>
          <w:sz w:val="32"/>
        </w:rPr>
        <w:br/>
        <w:t>Assessment Component 1: Research Proposal</w:t>
      </w:r>
      <w:r>
        <w:rPr>
          <w:b/>
          <w:sz w:val="32"/>
        </w:rPr>
        <w:br/>
      </w:r>
      <w:r>
        <w:rPr>
          <w:b/>
          <w:sz w:val="32"/>
        </w:rPr>
        <w:br/>
      </w:r>
    </w:p>
    <w:p w14:paraId="0075EDBB" w14:textId="77777777" w:rsidR="00DB470A" w:rsidRDefault="00DB470A"/>
    <w:p w14:paraId="34358D57" w14:textId="77777777" w:rsidR="00B746D0" w:rsidRDefault="00B746D0" w:rsidP="00B746D0">
      <w:r>
        <w:rPr>
          <w:b/>
        </w:rPr>
        <w:t xml:space="preserve">Title of Proposal: </w:t>
      </w:r>
      <w:r>
        <w:t>AI-Driven Threat Detection and Digital Forensic Investigation Framework</w:t>
      </w:r>
    </w:p>
    <w:p w14:paraId="70A63B15" w14:textId="77777777" w:rsidR="00B746D0" w:rsidRDefault="00B746D0">
      <w:pPr>
        <w:rPr>
          <w:b/>
        </w:rPr>
      </w:pPr>
    </w:p>
    <w:p w14:paraId="26971E66" w14:textId="648FED49" w:rsidR="00B746D0" w:rsidRDefault="00B746D0" w:rsidP="00B746D0">
      <w:r>
        <w:t>Student Name: Md Ekram Hossain</w:t>
      </w:r>
    </w:p>
    <w:p w14:paraId="127F0A0F" w14:textId="77777777" w:rsidR="00B746D0" w:rsidRDefault="00B746D0" w:rsidP="00B746D0">
      <w:r>
        <w:t xml:space="preserve">Student Number:  252328  </w:t>
      </w:r>
    </w:p>
    <w:p w14:paraId="719EEC3E" w14:textId="77777777" w:rsidR="00B746D0" w:rsidRDefault="00B746D0" w:rsidP="00B746D0"/>
    <w:p w14:paraId="3C437A92" w14:textId="7F7F12BD" w:rsidR="00B746D0" w:rsidRPr="00B746D0" w:rsidRDefault="002D4289" w:rsidP="00B746D0">
      <w:r>
        <w:rPr>
          <w:b/>
        </w:rPr>
        <w:t xml:space="preserve">Submitted to </w:t>
      </w:r>
      <w:r w:rsidR="00B746D0">
        <w:rPr>
          <w:b/>
        </w:rPr>
        <w:t xml:space="preserve">: </w:t>
      </w:r>
      <w:r w:rsidR="00B746D0">
        <w:t>Dr Suresh Shanmugasundaram</w:t>
      </w:r>
    </w:p>
    <w:p w14:paraId="78DA0D77" w14:textId="2FCBE601" w:rsidR="00B746D0" w:rsidRDefault="00B746D0" w:rsidP="00B746D0">
      <w:r>
        <w:rPr>
          <w:b/>
        </w:rPr>
        <w:t xml:space="preserve">Submission Deadline: </w:t>
      </w:r>
      <w:r>
        <w:t>13th August 2025, 14:00 (2PM)</w:t>
      </w:r>
      <w:r>
        <w:br/>
      </w:r>
    </w:p>
    <w:p w14:paraId="0E75F2DE" w14:textId="1DD0BBE8" w:rsidR="00B746D0" w:rsidRPr="00B746D0" w:rsidRDefault="00B746D0" w:rsidP="00B746D0">
      <w:pPr>
        <w:rPr>
          <w:rFonts w:cs="Vrinda"/>
          <w:szCs w:val="28"/>
          <w:cs/>
          <w:lang w:bidi="bn-IN"/>
        </w:rPr>
        <w:sectPr w:rsidR="00B746D0" w:rsidRPr="00B746D0" w:rsidSect="00B746D0">
          <w:footerReference w:type="default" r:id="rId8"/>
          <w:pgSz w:w="12240" w:h="15840"/>
          <w:pgMar w:top="1440" w:right="1800" w:bottom="1440" w:left="1800" w:header="720" w:footer="720" w:gutter="0"/>
          <w:cols w:space="720"/>
          <w:docGrid w:linePitch="360"/>
        </w:sectPr>
      </w:pPr>
    </w:p>
    <w:p w14:paraId="419512D9" w14:textId="77777777" w:rsidR="00DB470A" w:rsidRDefault="00DB470A"/>
    <w:p w14:paraId="0F00DEA2" w14:textId="77777777" w:rsidR="004B6CA4" w:rsidRDefault="004B6CA4"/>
    <w:p w14:paraId="72CA2BC9" w14:textId="77777777" w:rsidR="004B6CA4" w:rsidRDefault="004B6CA4" w:rsidP="004B6CA4"/>
    <w:p w14:paraId="50FEBBAC" w14:textId="77777777" w:rsidR="004B6CA4" w:rsidRDefault="004B6CA4" w:rsidP="004B6CA4"/>
    <w:p w14:paraId="1C663FE4" w14:textId="77777777" w:rsidR="004B6CA4" w:rsidRDefault="004B6CA4">
      <w:pPr>
        <w:pStyle w:val="Heading1"/>
      </w:pPr>
    </w:p>
    <w:sdt>
      <w:sdtPr>
        <w:rPr>
          <w:rFonts w:ascii="Arial" w:eastAsiaTheme="minorEastAsia" w:hAnsi="Arial" w:cstheme="minorBidi"/>
          <w:b w:val="0"/>
          <w:bCs w:val="0"/>
          <w:color w:val="auto"/>
          <w:sz w:val="22"/>
          <w:szCs w:val="22"/>
        </w:rPr>
        <w:id w:val="-789048973"/>
        <w:docPartObj>
          <w:docPartGallery w:val="Table of Contents"/>
          <w:docPartUnique/>
        </w:docPartObj>
      </w:sdtPr>
      <w:sdtEndPr>
        <w:rPr>
          <w:noProof/>
        </w:rPr>
      </w:sdtEndPr>
      <w:sdtContent>
        <w:p w14:paraId="19ADE054" w14:textId="77777777" w:rsidR="004B6CA4" w:rsidRPr="002349A9" w:rsidRDefault="004B6CA4">
          <w:pPr>
            <w:pStyle w:val="TOCHeading"/>
            <w:rPr>
              <w:color w:val="auto"/>
            </w:rPr>
          </w:pPr>
          <w:r w:rsidRPr="002349A9">
            <w:rPr>
              <w:color w:val="auto"/>
            </w:rPr>
            <w:t>Table of Contents</w:t>
          </w:r>
        </w:p>
        <w:p w14:paraId="3E83A978" w14:textId="77F35434"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r>
            <w:fldChar w:fldCharType="begin"/>
          </w:r>
          <w:r>
            <w:instrText xml:space="preserve"> TOC \o "1-3" \h \z \u </w:instrText>
          </w:r>
          <w:r>
            <w:fldChar w:fldCharType="separate"/>
          </w:r>
          <w:hyperlink w:anchor="_Toc204843502" w:history="1">
            <w:r>
              <w:rPr>
                <w:rStyle w:val="Hyperlink"/>
                <w:noProof/>
              </w:rPr>
              <w:t>List of Figures</w:t>
            </w:r>
            <w:r>
              <w:rPr>
                <w:noProof/>
                <w:webHidden/>
              </w:rPr>
              <w:tab/>
            </w:r>
            <w:r>
              <w:rPr>
                <w:noProof/>
                <w:webHidden/>
              </w:rPr>
              <w:fldChar w:fldCharType="begin"/>
            </w:r>
            <w:r>
              <w:rPr>
                <w:noProof/>
                <w:webHidden/>
              </w:rPr>
              <w:instrText xml:space="preserve"> PAGEREF _Toc204843502 \h </w:instrText>
            </w:r>
            <w:r>
              <w:rPr>
                <w:noProof/>
                <w:webHidden/>
              </w:rPr>
            </w:r>
            <w:r>
              <w:rPr>
                <w:noProof/>
                <w:webHidden/>
              </w:rPr>
              <w:fldChar w:fldCharType="separate"/>
            </w:r>
            <w:r w:rsidR="002F05D2">
              <w:rPr>
                <w:noProof/>
                <w:webHidden/>
              </w:rPr>
              <w:t>3</w:t>
            </w:r>
            <w:r>
              <w:rPr>
                <w:noProof/>
                <w:webHidden/>
              </w:rPr>
              <w:fldChar w:fldCharType="end"/>
            </w:r>
          </w:hyperlink>
        </w:p>
        <w:p w14:paraId="5C0927D9" w14:textId="1DB3EC22"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03" w:history="1">
            <w:r>
              <w:rPr>
                <w:rStyle w:val="Hyperlink"/>
                <w:noProof/>
              </w:rPr>
              <w:t>List of Tables</w:t>
            </w:r>
            <w:r>
              <w:rPr>
                <w:noProof/>
                <w:webHidden/>
              </w:rPr>
              <w:tab/>
            </w:r>
            <w:r>
              <w:rPr>
                <w:noProof/>
                <w:webHidden/>
              </w:rPr>
              <w:fldChar w:fldCharType="begin"/>
            </w:r>
            <w:r>
              <w:rPr>
                <w:noProof/>
                <w:webHidden/>
              </w:rPr>
              <w:instrText xml:space="preserve"> PAGEREF _Toc204843503 \h </w:instrText>
            </w:r>
            <w:r>
              <w:rPr>
                <w:noProof/>
                <w:webHidden/>
              </w:rPr>
            </w:r>
            <w:r>
              <w:rPr>
                <w:noProof/>
                <w:webHidden/>
              </w:rPr>
              <w:fldChar w:fldCharType="separate"/>
            </w:r>
            <w:r w:rsidR="002F05D2">
              <w:rPr>
                <w:noProof/>
                <w:webHidden/>
              </w:rPr>
              <w:t>3</w:t>
            </w:r>
            <w:r>
              <w:rPr>
                <w:noProof/>
                <w:webHidden/>
              </w:rPr>
              <w:fldChar w:fldCharType="end"/>
            </w:r>
          </w:hyperlink>
        </w:p>
        <w:p w14:paraId="664AA611" w14:textId="1982563A"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04" w:history="1">
            <w:r>
              <w:rPr>
                <w:rStyle w:val="Hyperlink"/>
                <w:noProof/>
              </w:rPr>
              <w:t>1. Introduction</w:t>
            </w:r>
            <w:r>
              <w:rPr>
                <w:noProof/>
                <w:webHidden/>
              </w:rPr>
              <w:tab/>
            </w:r>
            <w:r>
              <w:rPr>
                <w:noProof/>
                <w:webHidden/>
              </w:rPr>
              <w:fldChar w:fldCharType="begin"/>
            </w:r>
            <w:r>
              <w:rPr>
                <w:noProof/>
                <w:webHidden/>
              </w:rPr>
              <w:instrText xml:space="preserve"> PAGEREF _Toc204843504 \h </w:instrText>
            </w:r>
            <w:r>
              <w:rPr>
                <w:noProof/>
                <w:webHidden/>
              </w:rPr>
            </w:r>
            <w:r>
              <w:rPr>
                <w:noProof/>
                <w:webHidden/>
              </w:rPr>
              <w:fldChar w:fldCharType="separate"/>
            </w:r>
            <w:r w:rsidR="002F05D2">
              <w:rPr>
                <w:noProof/>
                <w:webHidden/>
              </w:rPr>
              <w:t>3</w:t>
            </w:r>
            <w:r>
              <w:rPr>
                <w:noProof/>
                <w:webHidden/>
              </w:rPr>
              <w:fldChar w:fldCharType="end"/>
            </w:r>
          </w:hyperlink>
        </w:p>
        <w:p w14:paraId="58D1CC24" w14:textId="4A97438B" w:rsidR="004B6CA4" w:rsidRDefault="004B6CA4">
          <w:pPr>
            <w:pStyle w:val="TOC2"/>
            <w:tabs>
              <w:tab w:val="right" w:leader="dot" w:pos="8630"/>
            </w:tabs>
            <w:rPr>
              <w:rFonts w:asciiTheme="minorHAnsi" w:hAnsiTheme="minorHAnsi"/>
              <w:noProof/>
              <w:kern w:val="2"/>
              <w:sz w:val="24"/>
              <w:szCs w:val="24"/>
              <w:lang w:val="en-GB" w:eastAsia="zh-CN"/>
              <w14:ligatures w14:val="standardContextual"/>
            </w:rPr>
          </w:pPr>
          <w:hyperlink w:anchor="_Toc204843505" w:history="1">
            <w:r>
              <w:rPr>
                <w:rStyle w:val="Hyperlink"/>
                <w:noProof/>
              </w:rPr>
              <w:t>1.1 Context and Background</w:t>
            </w:r>
            <w:r>
              <w:rPr>
                <w:noProof/>
                <w:webHidden/>
              </w:rPr>
              <w:tab/>
            </w:r>
            <w:r>
              <w:rPr>
                <w:noProof/>
                <w:webHidden/>
              </w:rPr>
              <w:fldChar w:fldCharType="begin"/>
            </w:r>
            <w:r>
              <w:rPr>
                <w:noProof/>
                <w:webHidden/>
              </w:rPr>
              <w:instrText xml:space="preserve"> PAGEREF _Toc204843505 \h </w:instrText>
            </w:r>
            <w:r>
              <w:rPr>
                <w:noProof/>
                <w:webHidden/>
              </w:rPr>
            </w:r>
            <w:r>
              <w:rPr>
                <w:noProof/>
                <w:webHidden/>
              </w:rPr>
              <w:fldChar w:fldCharType="separate"/>
            </w:r>
            <w:r w:rsidR="002F05D2">
              <w:rPr>
                <w:noProof/>
                <w:webHidden/>
              </w:rPr>
              <w:t>3</w:t>
            </w:r>
            <w:r>
              <w:rPr>
                <w:noProof/>
                <w:webHidden/>
              </w:rPr>
              <w:fldChar w:fldCharType="end"/>
            </w:r>
          </w:hyperlink>
        </w:p>
        <w:p w14:paraId="0391657C" w14:textId="6621F46F" w:rsidR="004B6CA4" w:rsidRDefault="004B6CA4">
          <w:pPr>
            <w:pStyle w:val="TOC2"/>
            <w:tabs>
              <w:tab w:val="right" w:leader="dot" w:pos="8630"/>
            </w:tabs>
            <w:rPr>
              <w:rFonts w:asciiTheme="minorHAnsi" w:hAnsiTheme="minorHAnsi"/>
              <w:noProof/>
              <w:kern w:val="2"/>
              <w:sz w:val="24"/>
              <w:szCs w:val="24"/>
              <w:lang w:val="en-GB" w:eastAsia="zh-CN"/>
              <w14:ligatures w14:val="standardContextual"/>
            </w:rPr>
          </w:pPr>
          <w:hyperlink w:anchor="_Toc204843506" w:history="1">
            <w:r>
              <w:rPr>
                <w:rStyle w:val="Hyperlink"/>
                <w:noProof/>
              </w:rPr>
              <w:t>1.2 Research Problem</w:t>
            </w:r>
            <w:r>
              <w:rPr>
                <w:noProof/>
                <w:webHidden/>
              </w:rPr>
              <w:tab/>
            </w:r>
            <w:r>
              <w:rPr>
                <w:noProof/>
                <w:webHidden/>
              </w:rPr>
              <w:fldChar w:fldCharType="begin"/>
            </w:r>
            <w:r>
              <w:rPr>
                <w:noProof/>
                <w:webHidden/>
              </w:rPr>
              <w:instrText xml:space="preserve"> PAGEREF _Toc204843506 \h </w:instrText>
            </w:r>
            <w:r>
              <w:rPr>
                <w:noProof/>
                <w:webHidden/>
              </w:rPr>
            </w:r>
            <w:r>
              <w:rPr>
                <w:noProof/>
                <w:webHidden/>
              </w:rPr>
              <w:fldChar w:fldCharType="separate"/>
            </w:r>
            <w:r w:rsidR="002F05D2">
              <w:rPr>
                <w:noProof/>
                <w:webHidden/>
              </w:rPr>
              <w:t>4</w:t>
            </w:r>
            <w:r>
              <w:rPr>
                <w:noProof/>
                <w:webHidden/>
              </w:rPr>
              <w:fldChar w:fldCharType="end"/>
            </w:r>
          </w:hyperlink>
        </w:p>
        <w:p w14:paraId="7BEF08CE" w14:textId="70C5B63A" w:rsidR="004B6CA4" w:rsidRDefault="004B6CA4">
          <w:pPr>
            <w:pStyle w:val="TOC2"/>
            <w:tabs>
              <w:tab w:val="right" w:leader="dot" w:pos="8630"/>
            </w:tabs>
            <w:rPr>
              <w:rFonts w:asciiTheme="minorHAnsi" w:hAnsiTheme="minorHAnsi"/>
              <w:noProof/>
              <w:kern w:val="2"/>
              <w:sz w:val="24"/>
              <w:szCs w:val="24"/>
              <w:lang w:val="en-GB" w:eastAsia="zh-CN"/>
              <w14:ligatures w14:val="standardContextual"/>
            </w:rPr>
          </w:pPr>
          <w:hyperlink w:anchor="_Toc204843507" w:history="1">
            <w:r>
              <w:rPr>
                <w:rStyle w:val="Hyperlink"/>
                <w:noProof/>
              </w:rPr>
              <w:t>1.3 Research Aim and Objectives</w:t>
            </w:r>
            <w:r>
              <w:rPr>
                <w:noProof/>
                <w:webHidden/>
              </w:rPr>
              <w:tab/>
            </w:r>
            <w:r>
              <w:rPr>
                <w:noProof/>
                <w:webHidden/>
              </w:rPr>
              <w:fldChar w:fldCharType="begin"/>
            </w:r>
            <w:r>
              <w:rPr>
                <w:noProof/>
                <w:webHidden/>
              </w:rPr>
              <w:instrText xml:space="preserve"> PAGEREF _Toc204843507 \h </w:instrText>
            </w:r>
            <w:r>
              <w:rPr>
                <w:noProof/>
                <w:webHidden/>
              </w:rPr>
            </w:r>
            <w:r>
              <w:rPr>
                <w:noProof/>
                <w:webHidden/>
              </w:rPr>
              <w:fldChar w:fldCharType="separate"/>
            </w:r>
            <w:r w:rsidR="002F05D2">
              <w:rPr>
                <w:noProof/>
                <w:webHidden/>
              </w:rPr>
              <w:t>4</w:t>
            </w:r>
            <w:r>
              <w:rPr>
                <w:noProof/>
                <w:webHidden/>
              </w:rPr>
              <w:fldChar w:fldCharType="end"/>
            </w:r>
          </w:hyperlink>
        </w:p>
        <w:p w14:paraId="1C31C0F9" w14:textId="5979F0B2" w:rsidR="004B6CA4" w:rsidRDefault="004B6CA4">
          <w:pPr>
            <w:pStyle w:val="TOC2"/>
            <w:tabs>
              <w:tab w:val="right" w:leader="dot" w:pos="8630"/>
            </w:tabs>
            <w:rPr>
              <w:rFonts w:asciiTheme="minorHAnsi" w:hAnsiTheme="minorHAnsi"/>
              <w:noProof/>
              <w:kern w:val="2"/>
              <w:sz w:val="24"/>
              <w:szCs w:val="24"/>
              <w:lang w:val="en-GB" w:eastAsia="zh-CN"/>
              <w14:ligatures w14:val="standardContextual"/>
            </w:rPr>
          </w:pPr>
          <w:hyperlink w:anchor="_Toc204843508" w:history="1">
            <w:r>
              <w:rPr>
                <w:rStyle w:val="Hyperlink"/>
                <w:noProof/>
              </w:rPr>
              <w:t>1.4 Significance of the Research</w:t>
            </w:r>
            <w:r>
              <w:rPr>
                <w:noProof/>
                <w:webHidden/>
              </w:rPr>
              <w:tab/>
            </w:r>
            <w:r>
              <w:rPr>
                <w:noProof/>
                <w:webHidden/>
              </w:rPr>
              <w:fldChar w:fldCharType="begin"/>
            </w:r>
            <w:r>
              <w:rPr>
                <w:noProof/>
                <w:webHidden/>
              </w:rPr>
              <w:instrText xml:space="preserve"> PAGEREF _Toc204843508 \h </w:instrText>
            </w:r>
            <w:r>
              <w:rPr>
                <w:noProof/>
                <w:webHidden/>
              </w:rPr>
            </w:r>
            <w:r>
              <w:rPr>
                <w:noProof/>
                <w:webHidden/>
              </w:rPr>
              <w:fldChar w:fldCharType="separate"/>
            </w:r>
            <w:r w:rsidR="002F05D2">
              <w:rPr>
                <w:noProof/>
                <w:webHidden/>
              </w:rPr>
              <w:t>5</w:t>
            </w:r>
            <w:r>
              <w:rPr>
                <w:noProof/>
                <w:webHidden/>
              </w:rPr>
              <w:fldChar w:fldCharType="end"/>
            </w:r>
          </w:hyperlink>
        </w:p>
        <w:p w14:paraId="3BC4C6EE" w14:textId="22F17157"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09" w:history="1">
            <w:r>
              <w:rPr>
                <w:rStyle w:val="Hyperlink"/>
                <w:noProof/>
              </w:rPr>
              <w:t>2. Literature Review</w:t>
            </w:r>
            <w:r>
              <w:rPr>
                <w:noProof/>
                <w:webHidden/>
              </w:rPr>
              <w:tab/>
            </w:r>
            <w:r>
              <w:rPr>
                <w:noProof/>
                <w:webHidden/>
              </w:rPr>
              <w:fldChar w:fldCharType="begin"/>
            </w:r>
            <w:r>
              <w:rPr>
                <w:noProof/>
                <w:webHidden/>
              </w:rPr>
              <w:instrText xml:space="preserve"> PAGEREF _Toc204843509 \h </w:instrText>
            </w:r>
            <w:r>
              <w:rPr>
                <w:noProof/>
                <w:webHidden/>
              </w:rPr>
            </w:r>
            <w:r>
              <w:rPr>
                <w:noProof/>
                <w:webHidden/>
              </w:rPr>
              <w:fldChar w:fldCharType="separate"/>
            </w:r>
            <w:r w:rsidR="002F05D2">
              <w:rPr>
                <w:noProof/>
                <w:webHidden/>
              </w:rPr>
              <w:t>6</w:t>
            </w:r>
            <w:r>
              <w:rPr>
                <w:noProof/>
                <w:webHidden/>
              </w:rPr>
              <w:fldChar w:fldCharType="end"/>
            </w:r>
          </w:hyperlink>
        </w:p>
        <w:p w14:paraId="07107454" w14:textId="2B0796D7"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10" w:history="1">
            <w:r>
              <w:rPr>
                <w:rStyle w:val="Hyperlink"/>
                <w:noProof/>
              </w:rPr>
              <w:t>3. Research Design and Methodology</w:t>
            </w:r>
            <w:r>
              <w:rPr>
                <w:noProof/>
                <w:webHidden/>
              </w:rPr>
              <w:tab/>
            </w:r>
            <w:r>
              <w:rPr>
                <w:noProof/>
                <w:webHidden/>
              </w:rPr>
              <w:fldChar w:fldCharType="begin"/>
            </w:r>
            <w:r>
              <w:rPr>
                <w:noProof/>
                <w:webHidden/>
              </w:rPr>
              <w:instrText xml:space="preserve"> PAGEREF _Toc204843510 \h </w:instrText>
            </w:r>
            <w:r>
              <w:rPr>
                <w:noProof/>
                <w:webHidden/>
              </w:rPr>
            </w:r>
            <w:r>
              <w:rPr>
                <w:noProof/>
                <w:webHidden/>
              </w:rPr>
              <w:fldChar w:fldCharType="separate"/>
            </w:r>
            <w:r w:rsidR="002F05D2">
              <w:rPr>
                <w:noProof/>
                <w:webHidden/>
              </w:rPr>
              <w:t>9</w:t>
            </w:r>
            <w:r>
              <w:rPr>
                <w:noProof/>
                <w:webHidden/>
              </w:rPr>
              <w:fldChar w:fldCharType="end"/>
            </w:r>
          </w:hyperlink>
        </w:p>
        <w:p w14:paraId="1D4B6228" w14:textId="3C2B4CBF" w:rsidR="004B6CA4" w:rsidRDefault="004B6CA4">
          <w:pPr>
            <w:pStyle w:val="TOC2"/>
            <w:tabs>
              <w:tab w:val="right" w:leader="dot" w:pos="8630"/>
            </w:tabs>
            <w:rPr>
              <w:rFonts w:asciiTheme="minorHAnsi" w:hAnsiTheme="minorHAnsi"/>
              <w:noProof/>
              <w:kern w:val="2"/>
              <w:sz w:val="24"/>
              <w:szCs w:val="24"/>
              <w:lang w:val="en-GB" w:eastAsia="zh-CN"/>
              <w14:ligatures w14:val="standardContextual"/>
            </w:rPr>
          </w:pPr>
          <w:hyperlink w:anchor="_Toc204843511" w:history="1">
            <w:r>
              <w:rPr>
                <w:rStyle w:val="Hyperlink"/>
                <w:noProof/>
              </w:rPr>
              <w:t>3.1 Research Design</w:t>
            </w:r>
            <w:r>
              <w:rPr>
                <w:noProof/>
                <w:webHidden/>
              </w:rPr>
              <w:tab/>
            </w:r>
            <w:r>
              <w:rPr>
                <w:noProof/>
                <w:webHidden/>
              </w:rPr>
              <w:fldChar w:fldCharType="begin"/>
            </w:r>
            <w:r>
              <w:rPr>
                <w:noProof/>
                <w:webHidden/>
              </w:rPr>
              <w:instrText xml:space="preserve"> PAGEREF _Toc204843511 \h </w:instrText>
            </w:r>
            <w:r>
              <w:rPr>
                <w:noProof/>
                <w:webHidden/>
              </w:rPr>
            </w:r>
            <w:r>
              <w:rPr>
                <w:noProof/>
                <w:webHidden/>
              </w:rPr>
              <w:fldChar w:fldCharType="separate"/>
            </w:r>
            <w:r w:rsidR="002F05D2">
              <w:rPr>
                <w:noProof/>
                <w:webHidden/>
              </w:rPr>
              <w:t>9</w:t>
            </w:r>
            <w:r>
              <w:rPr>
                <w:noProof/>
                <w:webHidden/>
              </w:rPr>
              <w:fldChar w:fldCharType="end"/>
            </w:r>
          </w:hyperlink>
        </w:p>
        <w:p w14:paraId="70014F60" w14:textId="653BB4EC" w:rsidR="004B6CA4" w:rsidRDefault="004B6CA4">
          <w:pPr>
            <w:pStyle w:val="TOC2"/>
            <w:tabs>
              <w:tab w:val="right" w:leader="dot" w:pos="8630"/>
            </w:tabs>
            <w:rPr>
              <w:rFonts w:asciiTheme="minorHAnsi" w:hAnsiTheme="minorHAnsi"/>
              <w:noProof/>
              <w:kern w:val="2"/>
              <w:sz w:val="24"/>
              <w:szCs w:val="24"/>
              <w:lang w:val="en-GB" w:eastAsia="zh-CN"/>
              <w14:ligatures w14:val="standardContextual"/>
            </w:rPr>
          </w:pPr>
          <w:hyperlink w:anchor="_Toc204843512" w:history="1">
            <w:r>
              <w:rPr>
                <w:rStyle w:val="Hyperlink"/>
                <w:noProof/>
              </w:rPr>
              <w:t>3.2 Research Methods and Materials</w:t>
            </w:r>
            <w:r>
              <w:rPr>
                <w:noProof/>
                <w:webHidden/>
              </w:rPr>
              <w:tab/>
            </w:r>
            <w:r>
              <w:rPr>
                <w:noProof/>
                <w:webHidden/>
              </w:rPr>
              <w:fldChar w:fldCharType="begin"/>
            </w:r>
            <w:r>
              <w:rPr>
                <w:noProof/>
                <w:webHidden/>
              </w:rPr>
              <w:instrText xml:space="preserve"> PAGEREF _Toc204843512 \h </w:instrText>
            </w:r>
            <w:r>
              <w:rPr>
                <w:noProof/>
                <w:webHidden/>
              </w:rPr>
            </w:r>
            <w:r>
              <w:rPr>
                <w:noProof/>
                <w:webHidden/>
              </w:rPr>
              <w:fldChar w:fldCharType="separate"/>
            </w:r>
            <w:r w:rsidR="002F05D2">
              <w:rPr>
                <w:noProof/>
                <w:webHidden/>
              </w:rPr>
              <w:t>10</w:t>
            </w:r>
            <w:r>
              <w:rPr>
                <w:noProof/>
                <w:webHidden/>
              </w:rPr>
              <w:fldChar w:fldCharType="end"/>
            </w:r>
          </w:hyperlink>
        </w:p>
        <w:p w14:paraId="7D4F1493" w14:textId="66DC1D8B"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13" w:history="1">
            <w:r>
              <w:rPr>
                <w:rStyle w:val="Hyperlink"/>
                <w:noProof/>
              </w:rPr>
              <w:t>4. Expected Outcome</w:t>
            </w:r>
            <w:r>
              <w:rPr>
                <w:noProof/>
                <w:webHidden/>
              </w:rPr>
              <w:tab/>
            </w:r>
            <w:r>
              <w:rPr>
                <w:noProof/>
                <w:webHidden/>
              </w:rPr>
              <w:fldChar w:fldCharType="begin"/>
            </w:r>
            <w:r>
              <w:rPr>
                <w:noProof/>
                <w:webHidden/>
              </w:rPr>
              <w:instrText xml:space="preserve"> PAGEREF _Toc204843513 \h </w:instrText>
            </w:r>
            <w:r>
              <w:rPr>
                <w:noProof/>
                <w:webHidden/>
              </w:rPr>
            </w:r>
            <w:r>
              <w:rPr>
                <w:noProof/>
                <w:webHidden/>
              </w:rPr>
              <w:fldChar w:fldCharType="separate"/>
            </w:r>
            <w:r w:rsidR="002F05D2">
              <w:rPr>
                <w:noProof/>
                <w:webHidden/>
              </w:rPr>
              <w:t>12</w:t>
            </w:r>
            <w:r>
              <w:rPr>
                <w:noProof/>
                <w:webHidden/>
              </w:rPr>
              <w:fldChar w:fldCharType="end"/>
            </w:r>
          </w:hyperlink>
        </w:p>
        <w:p w14:paraId="5DD55199" w14:textId="6F9824D5"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14" w:history="1">
            <w:r>
              <w:rPr>
                <w:rStyle w:val="Hyperlink"/>
                <w:noProof/>
              </w:rPr>
              <w:t>5. Timeline</w:t>
            </w:r>
            <w:r>
              <w:rPr>
                <w:noProof/>
                <w:webHidden/>
              </w:rPr>
              <w:tab/>
            </w:r>
            <w:r>
              <w:rPr>
                <w:noProof/>
                <w:webHidden/>
              </w:rPr>
              <w:fldChar w:fldCharType="begin"/>
            </w:r>
            <w:r>
              <w:rPr>
                <w:noProof/>
                <w:webHidden/>
              </w:rPr>
              <w:instrText xml:space="preserve"> PAGEREF _Toc204843514 \h </w:instrText>
            </w:r>
            <w:r>
              <w:rPr>
                <w:noProof/>
                <w:webHidden/>
              </w:rPr>
            </w:r>
            <w:r>
              <w:rPr>
                <w:noProof/>
                <w:webHidden/>
              </w:rPr>
              <w:fldChar w:fldCharType="separate"/>
            </w:r>
            <w:r w:rsidR="002F05D2">
              <w:rPr>
                <w:noProof/>
                <w:webHidden/>
              </w:rPr>
              <w:t>12</w:t>
            </w:r>
            <w:r>
              <w:rPr>
                <w:noProof/>
                <w:webHidden/>
              </w:rPr>
              <w:fldChar w:fldCharType="end"/>
            </w:r>
          </w:hyperlink>
        </w:p>
        <w:p w14:paraId="5BA840B5" w14:textId="2BEEEE8C"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15" w:history="1">
            <w:r>
              <w:rPr>
                <w:rStyle w:val="Hyperlink"/>
                <w:noProof/>
              </w:rPr>
              <w:t>6. References</w:t>
            </w:r>
            <w:r>
              <w:rPr>
                <w:noProof/>
                <w:webHidden/>
              </w:rPr>
              <w:tab/>
            </w:r>
            <w:r>
              <w:rPr>
                <w:noProof/>
                <w:webHidden/>
              </w:rPr>
              <w:fldChar w:fldCharType="begin"/>
            </w:r>
            <w:r>
              <w:rPr>
                <w:noProof/>
                <w:webHidden/>
              </w:rPr>
              <w:instrText xml:space="preserve"> PAGEREF _Toc204843515 \h </w:instrText>
            </w:r>
            <w:r>
              <w:rPr>
                <w:noProof/>
                <w:webHidden/>
              </w:rPr>
            </w:r>
            <w:r>
              <w:rPr>
                <w:noProof/>
                <w:webHidden/>
              </w:rPr>
              <w:fldChar w:fldCharType="separate"/>
            </w:r>
            <w:r w:rsidR="002F05D2">
              <w:rPr>
                <w:noProof/>
                <w:webHidden/>
              </w:rPr>
              <w:t>13</w:t>
            </w:r>
            <w:r>
              <w:rPr>
                <w:noProof/>
                <w:webHidden/>
              </w:rPr>
              <w:fldChar w:fldCharType="end"/>
            </w:r>
          </w:hyperlink>
        </w:p>
        <w:p w14:paraId="60C74FB2" w14:textId="29DE38D2" w:rsidR="004B6CA4" w:rsidRDefault="004B6CA4">
          <w:pPr>
            <w:pStyle w:val="TOC1"/>
            <w:tabs>
              <w:tab w:val="right" w:leader="dot" w:pos="8630"/>
            </w:tabs>
            <w:rPr>
              <w:rFonts w:asciiTheme="minorHAnsi" w:hAnsiTheme="minorHAnsi"/>
              <w:noProof/>
              <w:kern w:val="2"/>
              <w:sz w:val="24"/>
              <w:szCs w:val="24"/>
              <w:lang w:val="en-GB" w:eastAsia="zh-CN"/>
              <w14:ligatures w14:val="standardContextual"/>
            </w:rPr>
          </w:pPr>
          <w:hyperlink w:anchor="_Toc204843516" w:history="1">
            <w:r>
              <w:rPr>
                <w:rStyle w:val="Hyperlink"/>
                <w:noProof/>
              </w:rPr>
              <w:t>7. Appendices</w:t>
            </w:r>
            <w:r>
              <w:rPr>
                <w:noProof/>
                <w:webHidden/>
              </w:rPr>
              <w:tab/>
            </w:r>
            <w:r>
              <w:rPr>
                <w:noProof/>
                <w:webHidden/>
              </w:rPr>
              <w:fldChar w:fldCharType="begin"/>
            </w:r>
            <w:r>
              <w:rPr>
                <w:noProof/>
                <w:webHidden/>
              </w:rPr>
              <w:instrText xml:space="preserve"> PAGEREF _Toc204843516 \h </w:instrText>
            </w:r>
            <w:r>
              <w:rPr>
                <w:noProof/>
                <w:webHidden/>
              </w:rPr>
            </w:r>
            <w:r>
              <w:rPr>
                <w:noProof/>
                <w:webHidden/>
              </w:rPr>
              <w:fldChar w:fldCharType="separate"/>
            </w:r>
            <w:r w:rsidR="002F05D2">
              <w:rPr>
                <w:noProof/>
                <w:webHidden/>
              </w:rPr>
              <w:t>15</w:t>
            </w:r>
            <w:r>
              <w:rPr>
                <w:noProof/>
                <w:webHidden/>
              </w:rPr>
              <w:fldChar w:fldCharType="end"/>
            </w:r>
          </w:hyperlink>
        </w:p>
        <w:p w14:paraId="594947BD" w14:textId="77777777" w:rsidR="00DB470A" w:rsidRDefault="004B6CA4" w:rsidP="004B6CA4">
          <w:r>
            <w:rPr>
              <w:b/>
              <w:bCs/>
              <w:noProof/>
            </w:rPr>
            <w:fldChar w:fldCharType="end"/>
          </w:r>
        </w:p>
      </w:sdtContent>
    </w:sdt>
    <w:p w14:paraId="6B5202F6" w14:textId="77777777" w:rsidR="004B6CA4" w:rsidRDefault="004B6CA4"/>
    <w:p w14:paraId="44488763" w14:textId="77777777" w:rsidR="004B6CA4" w:rsidRDefault="004B6CA4"/>
    <w:p w14:paraId="2D7EA9B9" w14:textId="77777777" w:rsidR="004B6CA4" w:rsidRDefault="004B6CA4"/>
    <w:p w14:paraId="6F41DFFE" w14:textId="77777777" w:rsidR="004B6CA4" w:rsidRDefault="004B6CA4"/>
    <w:p w14:paraId="4D3AFF8B" w14:textId="77777777" w:rsidR="004B6CA4" w:rsidRDefault="004B6CA4"/>
    <w:p w14:paraId="6B6A6377" w14:textId="77777777" w:rsidR="004B6CA4" w:rsidRDefault="004B6CA4"/>
    <w:p w14:paraId="6B76C29D" w14:textId="77777777" w:rsidR="004B6CA4" w:rsidRDefault="004B6CA4"/>
    <w:p w14:paraId="461500F0" w14:textId="77777777" w:rsidR="004B6CA4" w:rsidRDefault="004B6CA4"/>
    <w:p w14:paraId="2ED1D36D" w14:textId="77777777" w:rsidR="004B6CA4" w:rsidRDefault="004B6CA4"/>
    <w:p w14:paraId="42A8C714" w14:textId="77777777" w:rsidR="00DB470A" w:rsidRDefault="00000000">
      <w:r>
        <w:fldChar w:fldCharType="begin"/>
      </w:r>
      <w:r>
        <w:instrText>TOC \o "1-3" \h \z \u</w:instrText>
      </w:r>
      <w:r>
        <w:fldChar w:fldCharType="separate"/>
      </w:r>
      <w:r>
        <w:fldChar w:fldCharType="end"/>
      </w:r>
    </w:p>
    <w:p w14:paraId="5FEA12DF" w14:textId="77777777" w:rsidR="00DB470A" w:rsidRPr="002D4289" w:rsidRDefault="00000000">
      <w:pPr>
        <w:pStyle w:val="Heading1"/>
        <w:rPr>
          <w:color w:val="000000" w:themeColor="text1"/>
        </w:rPr>
      </w:pPr>
      <w:bookmarkStart w:id="0" w:name="_Toc204843502"/>
      <w:r w:rsidRPr="002D4289">
        <w:rPr>
          <w:color w:val="000000" w:themeColor="text1"/>
        </w:rPr>
        <w:t>List of Figures</w:t>
      </w:r>
      <w:bookmarkEnd w:id="0"/>
    </w:p>
    <w:p w14:paraId="31E2CF3A" w14:textId="77777777" w:rsidR="00DB470A" w:rsidRDefault="00000000">
      <w:r>
        <w:t>Figure captions will appear here when added (References -&gt; Insert Caption)</w:t>
      </w:r>
    </w:p>
    <w:p w14:paraId="6534B238" w14:textId="77777777" w:rsidR="00DB470A" w:rsidRPr="002D4289" w:rsidRDefault="00000000">
      <w:pPr>
        <w:pStyle w:val="Heading1"/>
        <w:rPr>
          <w:color w:val="000000" w:themeColor="text1"/>
        </w:rPr>
      </w:pPr>
      <w:bookmarkStart w:id="1" w:name="_Toc204843503"/>
      <w:r w:rsidRPr="002D4289">
        <w:rPr>
          <w:color w:val="000000" w:themeColor="text1"/>
        </w:rPr>
        <w:t>List of Tables</w:t>
      </w:r>
      <w:bookmarkEnd w:id="1"/>
    </w:p>
    <w:p w14:paraId="31A5F97E" w14:textId="77777777" w:rsidR="00DB470A" w:rsidRDefault="00000000">
      <w:r>
        <w:t>Table captions will appear here when added (References -&gt; Insert Caption)</w:t>
      </w:r>
    </w:p>
    <w:p w14:paraId="476126DF" w14:textId="77777777" w:rsidR="00DB470A" w:rsidRPr="002D4289" w:rsidRDefault="00000000">
      <w:pPr>
        <w:pStyle w:val="Heading1"/>
        <w:rPr>
          <w:color w:val="000000" w:themeColor="text1"/>
        </w:rPr>
      </w:pPr>
      <w:bookmarkStart w:id="2" w:name="_Toc204843504"/>
      <w:r w:rsidRPr="002D4289">
        <w:rPr>
          <w:color w:val="000000" w:themeColor="text1"/>
        </w:rPr>
        <w:t>1. Introduction</w:t>
      </w:r>
      <w:bookmarkEnd w:id="2"/>
    </w:p>
    <w:p w14:paraId="751D1984" w14:textId="77777777" w:rsidR="00DB470A" w:rsidRPr="002D4289" w:rsidRDefault="00000000">
      <w:pPr>
        <w:pStyle w:val="Heading2"/>
        <w:rPr>
          <w:color w:val="000000" w:themeColor="text1"/>
        </w:rPr>
      </w:pPr>
      <w:bookmarkStart w:id="3" w:name="_Toc204843505"/>
      <w:r w:rsidRPr="002D4289">
        <w:rPr>
          <w:color w:val="000000" w:themeColor="text1"/>
        </w:rPr>
        <w:t>1.1 Context and Background</w:t>
      </w:r>
      <w:bookmarkEnd w:id="3"/>
    </w:p>
    <w:p w14:paraId="7868DB5B" w14:textId="45A4E426" w:rsidR="007D678E" w:rsidRDefault="00000000">
      <w:r>
        <w:t>Organisations across finance, healthcare, government and critical infrastructure sectors continue to expand their reliance on cloud services</w:t>
      </w:r>
      <w:r w:rsidR="001061A0">
        <w:t xml:space="preserve"> </w:t>
      </w:r>
      <w:r>
        <w:t>, Internet-of-Things (IoT) devices and remote working infrastructure, which has substantially widened the attack surface available to malicious actors. Contemporary threat range</w:t>
      </w:r>
      <w:r w:rsidR="001061A0">
        <w:t>s</w:t>
      </w:r>
      <w:r>
        <w:t xml:space="preserve"> from ransomware and advanced persistent threats (APTs) to supply-chain compromises and AI-generated phishing campaigns. Traditional, signature-based defences struggle to keep pace</w:t>
      </w:r>
      <w:r w:rsidR="001061A0">
        <w:t>s</w:t>
      </w:r>
      <w:r>
        <w:t xml:space="preserve"> with the volume, velocity and sophistication of this activity, which has driven a rapid shift towards artificial intelligence (AI) and machine learning (ML) as the primary mechanism for automated threat detection, since these techniques can learn behavioural pattern from large volumes of network and system data and generalise to previously</w:t>
      </w:r>
      <w:r w:rsidR="001061A0">
        <w:t>-</w:t>
      </w:r>
      <w:r>
        <w:t>unseen attacks [1], [2].</w:t>
      </w:r>
    </w:p>
    <w:p w14:paraId="69B41C61" w14:textId="6D9BDBAF" w:rsidR="007D678E" w:rsidRDefault="00000000">
      <w:r>
        <w:t>In parallel</w:t>
      </w:r>
      <w:r w:rsidR="001061A0">
        <w:t xml:space="preserve"> </w:t>
      </w:r>
      <w:r>
        <w:t>, digital forensics has matured into a distinct discipline concerned with the identification</w:t>
      </w:r>
      <w:r w:rsidR="001061A0">
        <w:t xml:space="preserve"> </w:t>
      </w:r>
      <w:r>
        <w:t>, preservation</w:t>
      </w:r>
      <w:r w:rsidR="001061A0">
        <w:t xml:space="preserve"> </w:t>
      </w:r>
      <w:r>
        <w:t>, analysis and presentation of digital evidence following a security incident or crime. As the volume of digital evidence generated by networks, endpoints and cloud platforms has grown, manual forensic investigation has become increasingly resource-intensive and slow, prompting researchers to explore how AI can automate evidence triage, artefact classification and timeline reconstruction [3], [4]. Applications of AI within forensic investigation have so far concentrated on multimedia and malware analysis, log correlation and cloud-based evidence acquisition, illustrating the discipline’s growing dependence on intelligent automation.</w:t>
      </w:r>
    </w:p>
    <w:p w14:paraId="3DB1ABDA" w14:textId="77777777" w:rsidR="007D678E" w:rsidRDefault="00000000">
      <w:r>
        <w:t xml:space="preserve">Recent developments reflect two converging trends. First, explainable AI (XAI) techniques are increasingly embedded within security tooling to make model decisions interpretable to human analysts, addressing long-standing concerns about the opacity of deep learning-based detectors [5]. Second, ‘forensics-as-a-service’ architectures and </w:t>
      </w:r>
      <w:r>
        <w:lastRenderedPageBreak/>
        <w:t>cloud-native evidence pipelines are emerging to cope with the scale and volatility of modern digital environments [6], [7]. However, the legal system has not kept pace with these technical advances: courts increasingly question the authenticity, integrity and chain of custody of AI-derived or AI-processed evidence, creating pressure for forensic tools that are transparent and procedurally defensible by design [8]. This proposal is situated at the intersection of these developments, within the broader field of AI-enabled cybersecurity and digital forensic investigation.</w:t>
      </w:r>
    </w:p>
    <w:p w14:paraId="641A9246" w14:textId="77777777" w:rsidR="00DB470A" w:rsidRPr="002D4289" w:rsidRDefault="00000000">
      <w:pPr>
        <w:pStyle w:val="Heading2"/>
        <w:rPr>
          <w:color w:val="000000" w:themeColor="text1"/>
        </w:rPr>
      </w:pPr>
      <w:bookmarkStart w:id="4" w:name="_Toc204843506"/>
      <w:r w:rsidRPr="002D4289">
        <w:rPr>
          <w:color w:val="000000" w:themeColor="text1"/>
        </w:rPr>
        <w:t>1.2 Research Problem</w:t>
      </w:r>
      <w:bookmarkEnd w:id="4"/>
    </w:p>
    <w:p w14:paraId="6A6A7D97" w14:textId="4E282079" w:rsidR="007D678E" w:rsidRDefault="00000000">
      <w:r>
        <w:t>Despite substantial progress in both fields, AI-driven threat detection and digital forensic investigation continue to be researched and engineered largely as separate problems. Threat detection research is dominated by the pursuit of ever-higher accuracy</w:t>
      </w:r>
      <w:r w:rsidR="001061A0">
        <w:t xml:space="preserve"> </w:t>
      </w:r>
      <w:r>
        <w:t>, precision and recall on benchmark intrusion and malware datasets</w:t>
      </w:r>
      <w:r w:rsidR="001061A0">
        <w:t xml:space="preserve"> </w:t>
      </w:r>
      <w:r>
        <w:t>, with comparatively little attention paid to how a detection event should be captured, preserved and documented so that it can subsequently support an investigation or legal proceeding. Conversely, digital forensic tools tend to operate reactively, after an incident has already been detected and reported by a separate security system, which introduces delay and the risk that volatile evidence is lost or altered before formal collection begins [9], [10].</w:t>
      </w:r>
    </w:p>
    <w:p w14:paraId="1260F4DB" w14:textId="77777777" w:rsidR="007D678E" w:rsidRDefault="00000000">
      <w:r>
        <w:t>This disconnection creates several concrete challenges. First, many high-performing detection models, particularly deep neural networks, function as opaque ‘black boxes’, so their outputs are difficult for analysts to interpret and difficult to defend as reliable evidence under admissibility standards that require methods to be testable, peer-reviewed and generally accepted [11]. Second, existing detection pipelines rarely generate cryptographically verifiable, timestamped logs that satisfy chain-of-custody requirements, leaving investigators to reconstruct evidentiary trails manually and inconsistently. Third, security operations centres (SOCs) already suffer from high volumes of low-fidelity alerts, and adding a disconnected forensic workflow on top compounds analyst workload and slows incident response. Finally, resource-constrained organisations often cannot deploy separate, specialised detection and forensic toolchains, leaving a practical gap for an integrated, lightweight solution [9]. Addressing this gap by design, rather than as an afterthought, motivates the present research.</w:t>
      </w:r>
    </w:p>
    <w:p w14:paraId="2C9E37B9" w14:textId="77777777" w:rsidR="00DB470A" w:rsidRPr="002D4289" w:rsidRDefault="00000000">
      <w:pPr>
        <w:pStyle w:val="Heading2"/>
        <w:rPr>
          <w:color w:val="000000" w:themeColor="text1"/>
        </w:rPr>
      </w:pPr>
      <w:bookmarkStart w:id="5" w:name="_Toc204843507"/>
      <w:r w:rsidRPr="002D4289">
        <w:rPr>
          <w:color w:val="000000" w:themeColor="text1"/>
        </w:rPr>
        <w:t>1.3 Research Aim and Objectives</w:t>
      </w:r>
      <w:bookmarkEnd w:id="5"/>
    </w:p>
    <w:p w14:paraId="29517640" w14:textId="77777777" w:rsidR="007D2C94" w:rsidRPr="007D2C94" w:rsidRDefault="007D2C94" w:rsidP="007D2C94">
      <w:r w:rsidRPr="007D2C94">
        <w:t>The aim of this research is to design, develop and evaluate an AI-driven threat detection and digital forensic investigation framework that integrates explainable machine learning-based intrusion and malware detection with automated, forensically sound evidence capture, to facilitate faster incident response and legally sound digital investigations.</w:t>
      </w:r>
    </w:p>
    <w:p w14:paraId="3532475F" w14:textId="77777777" w:rsidR="007D2C94" w:rsidRPr="007D2C94" w:rsidRDefault="007D2C94" w:rsidP="007D2C94">
      <w:r w:rsidRPr="007D2C94">
        <w:t>The study has the following objectives:</w:t>
      </w:r>
    </w:p>
    <w:p w14:paraId="74E1D75E" w14:textId="77777777" w:rsidR="007D2C94" w:rsidRPr="007D2C94" w:rsidRDefault="007D2C94" w:rsidP="007D2C94">
      <w:r w:rsidRPr="007D2C94">
        <w:t xml:space="preserve">1. By Month 2, critically evaluate and synthesise the body of existing peer-reviewed literature on AI-based threat detection, AI-assisted digital forensics, explainable AI and </w:t>
      </w:r>
      <w:r w:rsidRPr="007D2C94">
        <w:lastRenderedPageBreak/>
        <w:t>the legal admissibility of digital evidence to identify the precise research need this study fills.</w:t>
      </w:r>
    </w:p>
    <w:p w14:paraId="171039E5" w14:textId="77777777" w:rsidR="007D2C94" w:rsidRPr="007D2C94" w:rsidRDefault="007D2C94" w:rsidP="007D2C94">
      <w:r w:rsidRPr="007D2C94">
        <w:t>2. Conceptual 3-layer design (including automated chain-of-custody/evidence-logging module, an explainability (XAI) module and a machine learning detection engine) by Month 3. The architecture will be directly impacted by the criteria defined in Objective 1.</w:t>
      </w:r>
    </w:p>
    <w:p w14:paraId="6489CCB2" w14:textId="77777777" w:rsidR="007D2C94" w:rsidRPr="007D2C94" w:rsidRDefault="007D2C94" w:rsidP="007D2C94">
      <w:r w:rsidRPr="007D2C94">
        <w:t>3. Develop a full prototype of the software (all three layers of architecture combined) using open source machine learning and network analysis tools in 5 Month. It should be trained and tested on at least one public benchmark dataset (such as CICIDS2017, NSL-KDD).</w:t>
      </w:r>
    </w:p>
    <w:p w14:paraId="157EC5F2" w14:textId="203B47F2" w:rsidR="007D2C94" w:rsidRPr="007D2C94" w:rsidRDefault="007D2C94" w:rsidP="007D2C94">
      <w:r w:rsidRPr="007D2C94">
        <w:t>4. Month 7: Prototype evaluation (a) detection performance (accuracy</w:t>
      </w:r>
      <w:r w:rsidR="001061A0">
        <w:t xml:space="preserve"> </w:t>
      </w:r>
      <w:r w:rsidRPr="007D2C94">
        <w:t>, precision</w:t>
      </w:r>
      <w:r w:rsidR="001061A0">
        <w:t xml:space="preserve"> </w:t>
      </w:r>
      <w:r w:rsidRPr="007D2C94">
        <w:t>, recall</w:t>
      </w:r>
      <w:r w:rsidR="001061A0">
        <w:t xml:space="preserve"> </w:t>
      </w:r>
      <w:r w:rsidRPr="007D2C94">
        <w:t>, F1-score</w:t>
      </w:r>
      <w:r w:rsidR="001061A0">
        <w:t xml:space="preserve"> </w:t>
      </w:r>
      <w:r w:rsidRPr="007D2C94">
        <w:t>, false-positive rate</w:t>
      </w:r>
      <w:r w:rsidR="001061A0">
        <w:t xml:space="preserve"> </w:t>
      </w:r>
      <w:r w:rsidRPr="007D2C94">
        <w:t>, etc.) versus a non-explainable baseline classifier (b) forensic readiness (scored against an ISO/IEC 27037-derived checklist, validated via structured feedback from four to six cybersecurity/digital forensics practitioners).</w:t>
      </w:r>
    </w:p>
    <w:p w14:paraId="3B7CA35D" w14:textId="77777777" w:rsidR="007D2C94" w:rsidRPr="007D2C94" w:rsidRDefault="007D2C94" w:rsidP="007D2C94">
      <w:r w:rsidRPr="007D2C94">
        <w:t>5. Develop and document evidence-based recommendations and design guidelines on the integration of forensically sound evidence collection and explainable AI-based threat detection in operational security environments by month 8.</w:t>
      </w:r>
    </w:p>
    <w:p w14:paraId="18437445" w14:textId="77777777" w:rsidR="007D2C94" w:rsidRDefault="007D2C94"/>
    <w:p w14:paraId="7265FB54" w14:textId="77777777" w:rsidR="00DB470A" w:rsidRPr="002D4289" w:rsidRDefault="00000000">
      <w:pPr>
        <w:pStyle w:val="Heading2"/>
        <w:rPr>
          <w:color w:val="000000" w:themeColor="text1"/>
        </w:rPr>
      </w:pPr>
      <w:bookmarkStart w:id="6" w:name="_Toc204843508"/>
      <w:r w:rsidRPr="002D4289">
        <w:rPr>
          <w:color w:val="000000" w:themeColor="text1"/>
        </w:rPr>
        <w:t>1.4 Significance of the Research</w:t>
      </w:r>
      <w:bookmarkEnd w:id="6"/>
    </w:p>
    <w:p w14:paraId="4D67AD24" w14:textId="77777777" w:rsidR="007D678E" w:rsidRDefault="00000000">
      <w:r>
        <w:t>This research is significant because it addresses a genuine gap at the boundary of two established but loosely connected disciplines: cybersecurity threat detection and digital forensic investigation. By explicitly designing for forensic soundness and explainability alongside detection accuracy, the study benefits the research community by proposing an integrated evaluation framework that other researchers can adapt and extend. It also carries societal implications: faster, more transparent incident response reduces the operational and financial impact of cyber incidents on organisations, while forensically defensible evidence strengthens the ability of law enforcement and the courts to hold perpetrators accountable [8].</w:t>
      </w:r>
    </w:p>
    <w:p w14:paraId="1D6A2003" w14:textId="77777777" w:rsidR="007D678E" w:rsidRDefault="00000000">
      <w:r>
        <w:t>Practically, the framework’s outputs could be adopted by security operations centres seeking to shorten the interval between detection and investigation, by cloud forensics-as-a-service providers, and by law enforcement digital forensic units operating under resource constraints [9]. The research further contributes reusable artefacts, including an evaluation checklist mapping technical outputs to ISO/IEC 27037 requirements, which may inform future tool design, procurement decisions and, potentially, digital evidence policy, and could form the foundation of a more comprehensive MSc project or subsequent doctoral study.</w:t>
      </w:r>
    </w:p>
    <w:p w14:paraId="0B5AD614" w14:textId="77777777" w:rsidR="00DB470A" w:rsidRPr="002D4289" w:rsidRDefault="00000000">
      <w:pPr>
        <w:pStyle w:val="Heading1"/>
        <w:rPr>
          <w:color w:val="000000" w:themeColor="text1"/>
        </w:rPr>
      </w:pPr>
      <w:bookmarkStart w:id="7" w:name="_Toc204843509"/>
      <w:r w:rsidRPr="002D4289">
        <w:rPr>
          <w:color w:val="000000" w:themeColor="text1"/>
        </w:rPr>
        <w:lastRenderedPageBreak/>
        <w:t>2. Literature Review</w:t>
      </w:r>
      <w:bookmarkEnd w:id="7"/>
    </w:p>
    <w:p w14:paraId="36D37F94" w14:textId="0DEA52CE" w:rsidR="007D678E" w:rsidRDefault="00000000">
      <w:r>
        <w:t>This literature review adopts a systematic literature</w:t>
      </w:r>
      <w:r w:rsidR="001061A0">
        <w:t>-</w:t>
      </w:r>
      <w:r>
        <w:t>review (SLR) approach</w:t>
      </w:r>
      <w:r w:rsidR="001061A0">
        <w:t xml:space="preserve"> </w:t>
      </w:r>
      <w:r>
        <w:t>, following the widely used guidelines of Kitchenham and Charters for conducting structured reviews in software and information-systems research, adapted here to a proposal-stage scope. Rather than a narrative summary, the review is organised around explicit research questions, a defined search and selection strategy, and a structured synthesis of the studies retrieved, so that the basis for identifying the research gap is transparent and reproducible.</w:t>
      </w:r>
    </w:p>
    <w:p w14:paraId="45335EA0" w14:textId="77777777" w:rsidR="00541DD7" w:rsidRPr="00541DD7" w:rsidRDefault="00000000" w:rsidP="00541DD7">
      <w:r>
        <w:rPr>
          <w:b/>
        </w:rPr>
        <w:t xml:space="preserve">Review objective and research questions. </w:t>
      </w:r>
      <w:r>
        <w:t xml:space="preserve">The objective of the review is to establish the current state of knowledge on AI-driven threat detection and AI-assisted digital forensic investigation, and to identify gaps that justify the proposed framework. </w:t>
      </w:r>
      <w:r w:rsidR="00541DD7" w:rsidRPr="00541DD7">
        <w:t>The review is guided by three research questions (RQs): .</w:t>
      </w:r>
    </w:p>
    <w:p w14:paraId="5EC1F132" w14:textId="0D2B4312" w:rsidR="00541DD7" w:rsidRPr="00541DD7" w:rsidRDefault="00541DD7" w:rsidP="00541DD7">
      <w:r w:rsidRPr="00541DD7">
        <w:t>1. RQ1: What are the artificial intelligence and machine</w:t>
      </w:r>
      <w:r w:rsidR="001061A0">
        <w:t>-</w:t>
      </w:r>
      <w:r w:rsidRPr="00541DD7">
        <w:t>learning techniques that have been used in the field of cybersecurity threat detection, and how effective are they?</w:t>
      </w:r>
    </w:p>
    <w:p w14:paraId="514EF988" w14:textId="77777777" w:rsidR="00541DD7" w:rsidRPr="00541DD7" w:rsidRDefault="00541DD7" w:rsidP="00541DD7">
      <w:r w:rsidRPr="00541DD7">
        <w:t>2. RQ2: How has AI been used in the digital forensic investigation, and what challenges have been reported in the literature?</w:t>
      </w:r>
    </w:p>
    <w:p w14:paraId="5DC7C599" w14:textId="77777777" w:rsidR="00541DD7" w:rsidRPr="00541DD7" w:rsidRDefault="00541DD7" w:rsidP="00541DD7">
      <w:r w:rsidRPr="00541DD7">
        <w:t>3. RQ3: To what extent do XAI techniques satisfy the interpretability requirements of security- and forensic-related artificial intelligence systems?</w:t>
      </w:r>
    </w:p>
    <w:p w14:paraId="53F46DB3" w14:textId="77777777" w:rsidR="00541DD7" w:rsidRPr="00541DD7" w:rsidRDefault="00541DD7" w:rsidP="00541DD7">
      <w:r w:rsidRPr="00541DD7">
        <w:t>4. RQ4: What are the technical and legal requirements for the admissibility of digital and AI-derived evidence, and to what extent do they satisfy existing AI-driven detection systems?</w:t>
      </w:r>
    </w:p>
    <w:p w14:paraId="02281955" w14:textId="53172B19" w:rsidR="007D678E" w:rsidRDefault="00000000" w:rsidP="00541DD7">
      <w:r>
        <w:rPr>
          <w:b/>
        </w:rPr>
        <w:t xml:space="preserve">Search strategy. </w:t>
      </w:r>
      <w:r>
        <w:t>Searches were conducted across IEEE</w:t>
      </w:r>
      <w:r w:rsidR="001061A0">
        <w:t>-</w:t>
      </w:r>
      <w:r>
        <w:t>Xplore, ACM Digital</w:t>
      </w:r>
      <w:r w:rsidR="001061A0">
        <w:t>-</w:t>
      </w:r>
      <w:r>
        <w:t>Library, ScienceDirect, MDPI, SpringerLink and PLOS, supplemented by targeted searches for relevant standards and methodological literature (NIST, ISO/IEC). The core Boolean search string combined three concept blocks: (“artificial</w:t>
      </w:r>
      <w:r w:rsidR="004314E8">
        <w:t>-</w:t>
      </w:r>
      <w:r>
        <w:t>intelligence” OR “machine</w:t>
      </w:r>
      <w:r w:rsidR="004314E8">
        <w:t>-</w:t>
      </w:r>
      <w:r>
        <w:t>learning” OR “deep</w:t>
      </w:r>
      <w:r w:rsidR="004314E8">
        <w:t>-</w:t>
      </w:r>
      <w:r>
        <w:t>learning”) AND (“threat detection” OR “intrusion detection” OR “malware detection”) AND (“digital</w:t>
      </w:r>
      <w:r w:rsidR="004314E8">
        <w:t>-</w:t>
      </w:r>
      <w:r>
        <w:t>forensics” OR “incident</w:t>
      </w:r>
      <w:r w:rsidR="004314E8">
        <w:t>-</w:t>
      </w:r>
      <w:r>
        <w:t>response” OR “explainable AI” OR “chain of custody” OR “admissibility”). The search was restricted to publications from 2016 to 2025 to capture the period in which deep learning-based detection and XAI techniques matured, with two seminal methodological/standards sources (Hevner et al., 2004, on design science, and NIST SP 800-86, 2006) retained outside this window because they remain the canonical references in their respective areas.</w:t>
      </w:r>
    </w:p>
    <w:p w14:paraId="576078EA" w14:textId="4CA26271" w:rsidR="007D678E" w:rsidRDefault="00000000">
      <w:r>
        <w:rPr>
          <w:b/>
        </w:rPr>
        <w:t xml:space="preserve">Inclusion and exclusion criteria. </w:t>
      </w:r>
      <w:r>
        <w:t>Studies were included if they were: (i) peer</w:t>
      </w:r>
      <w:r w:rsidR="009C34B0">
        <w:t xml:space="preserve"> </w:t>
      </w:r>
      <w:r>
        <w:t>reviewed journal articles</w:t>
      </w:r>
      <w:r w:rsidR="009C34B0">
        <w:t xml:space="preserve"> </w:t>
      </w:r>
      <w:r>
        <w:t>, peer-reviewed conference papers</w:t>
      </w:r>
      <w:r w:rsidR="009C34B0">
        <w:t xml:space="preserve"> </w:t>
      </w:r>
      <w:r>
        <w:t>, or recognised international standards/guidelines; (ii) published in English between 2016 and 2025 (subject to the exception above); and (iii) directly addressed AI/ML-based threat detection, AI-assisted digital forensics, explainable AI in a security context, or the legal/evidentiary admissibility of digital or AI-derived evidence. Studies were excluded if they were non-peer</w:t>
      </w:r>
      <w:r w:rsidR="009C34B0">
        <w:t xml:space="preserve"> </w:t>
      </w:r>
      <w:r>
        <w:t xml:space="preserve">reviewed blog posts or vendor marketing material, focused on AI applications unrelated to security </w:t>
      </w:r>
      <w:r>
        <w:lastRenderedPageBreak/>
        <w:t>or forensics, or were duplicate/superseded versions of an already-included study. Title/abstract screening was used to assess topical relevance, followed by full-text screening against the criteria above.</w:t>
      </w:r>
    </w:p>
    <w:p w14:paraId="2B0B9B34" w14:textId="77777777" w:rsidR="007D678E" w:rsidRDefault="00000000">
      <w:r>
        <w:t>Given the proposal-stage scope of this review, screening was conducted by a single reviewer without a second independent rater, and search coverage, while spanning the major venues in the field, was not exhaustive across all possible databases. A fully documented, PRISMA-reported systematic review, including a complete study-selection flow diagram and dual-reviewer screening, will be undertaken as part of the literature review chapter of the dissertation.</w:t>
      </w:r>
    </w:p>
    <w:p w14:paraId="228DC90A" w14:textId="5CD463A8" w:rsidR="009A3348" w:rsidRDefault="00000000">
      <w:r>
        <w:rPr>
          <w:b/>
        </w:rPr>
        <w:t xml:space="preserve">Study characteristics. </w:t>
      </w:r>
      <w:r>
        <w:t>Table 2 summarises the 22 studies retained after screening, mapped to the research question(s) each primarily addresses.</w:t>
      </w:r>
    </w:p>
    <w:tbl>
      <w:tblPr>
        <w:tblStyle w:val="TableGrid"/>
        <w:tblW w:w="9440" w:type="dxa"/>
        <w:tblLook w:val="04A0" w:firstRow="1" w:lastRow="0" w:firstColumn="1" w:lastColumn="0" w:noHBand="0" w:noVBand="1"/>
      </w:tblPr>
      <w:tblGrid>
        <w:gridCol w:w="698"/>
        <w:gridCol w:w="2194"/>
        <w:gridCol w:w="1718"/>
        <w:gridCol w:w="1300"/>
        <w:gridCol w:w="3530"/>
      </w:tblGrid>
      <w:tr w:rsidR="007D678E" w14:paraId="27669D4E" w14:textId="77777777">
        <w:tc>
          <w:tcPr>
            <w:tcW w:w="700" w:type="dxa"/>
            <w:shd w:val="clear" w:color="auto" w:fill="D9D9D9"/>
          </w:tcPr>
          <w:p w14:paraId="01366505" w14:textId="77777777" w:rsidR="007D678E" w:rsidRDefault="00000000">
            <w:r>
              <w:rPr>
                <w:b/>
                <w:sz w:val="18"/>
              </w:rPr>
              <w:t>Ref.</w:t>
            </w:r>
          </w:p>
        </w:tc>
        <w:tc>
          <w:tcPr>
            <w:tcW w:w="2200" w:type="dxa"/>
            <w:shd w:val="clear" w:color="auto" w:fill="D9D9D9"/>
          </w:tcPr>
          <w:p w14:paraId="1ECE2040" w14:textId="77777777" w:rsidR="007D678E" w:rsidRDefault="00000000">
            <w:r>
              <w:rPr>
                <w:b/>
                <w:sz w:val="18"/>
              </w:rPr>
              <w:t>Author(s), Year</w:t>
            </w:r>
          </w:p>
        </w:tc>
        <w:tc>
          <w:tcPr>
            <w:tcW w:w="1700" w:type="dxa"/>
            <w:shd w:val="clear" w:color="auto" w:fill="D9D9D9"/>
          </w:tcPr>
          <w:p w14:paraId="64B7E9E7" w14:textId="77777777" w:rsidR="007D678E" w:rsidRDefault="00000000">
            <w:r>
              <w:rPr>
                <w:b/>
                <w:sz w:val="18"/>
              </w:rPr>
              <w:t>Type</w:t>
            </w:r>
          </w:p>
        </w:tc>
        <w:tc>
          <w:tcPr>
            <w:tcW w:w="1300" w:type="dxa"/>
            <w:shd w:val="clear" w:color="auto" w:fill="D9D9D9"/>
          </w:tcPr>
          <w:p w14:paraId="7E95202A" w14:textId="77777777" w:rsidR="007D678E" w:rsidRDefault="00000000">
            <w:r>
              <w:rPr>
                <w:b/>
                <w:sz w:val="18"/>
              </w:rPr>
              <w:t>Primary RQ</w:t>
            </w:r>
          </w:p>
        </w:tc>
        <w:tc>
          <w:tcPr>
            <w:tcW w:w="3540" w:type="dxa"/>
            <w:shd w:val="clear" w:color="auto" w:fill="D9D9D9"/>
          </w:tcPr>
          <w:p w14:paraId="39FFDA4D" w14:textId="77777777" w:rsidR="007D678E" w:rsidRDefault="00000000">
            <w:r>
              <w:rPr>
                <w:b/>
                <w:sz w:val="18"/>
              </w:rPr>
              <w:t>Focus / Key Contribution</w:t>
            </w:r>
          </w:p>
        </w:tc>
      </w:tr>
      <w:tr w:rsidR="007D678E" w14:paraId="07BBB902" w14:textId="77777777">
        <w:tc>
          <w:tcPr>
            <w:tcW w:w="700" w:type="dxa"/>
          </w:tcPr>
          <w:p w14:paraId="26AD914E" w14:textId="77777777" w:rsidR="007D678E" w:rsidRDefault="00000000">
            <w:r>
              <w:rPr>
                <w:sz w:val="18"/>
              </w:rPr>
              <w:t>[1]</w:t>
            </w:r>
          </w:p>
        </w:tc>
        <w:tc>
          <w:tcPr>
            <w:tcW w:w="2200" w:type="dxa"/>
          </w:tcPr>
          <w:p w14:paraId="6BAC1A40" w14:textId="77777777" w:rsidR="007D678E" w:rsidRDefault="00000000">
            <w:r>
              <w:rPr>
                <w:sz w:val="18"/>
              </w:rPr>
              <w:t>Kaur et al., 2023</w:t>
            </w:r>
          </w:p>
        </w:tc>
        <w:tc>
          <w:tcPr>
            <w:tcW w:w="1700" w:type="dxa"/>
          </w:tcPr>
          <w:p w14:paraId="4477FCF0" w14:textId="77777777" w:rsidR="007D678E" w:rsidRDefault="00000000">
            <w:r>
              <w:rPr>
                <w:sz w:val="18"/>
              </w:rPr>
              <w:t>Journal (survey)</w:t>
            </w:r>
          </w:p>
        </w:tc>
        <w:tc>
          <w:tcPr>
            <w:tcW w:w="1300" w:type="dxa"/>
          </w:tcPr>
          <w:p w14:paraId="4A2F6E69" w14:textId="77777777" w:rsidR="007D678E" w:rsidRDefault="00000000">
            <w:r>
              <w:rPr>
                <w:sz w:val="18"/>
              </w:rPr>
              <w:t>RQ1</w:t>
            </w:r>
          </w:p>
        </w:tc>
        <w:tc>
          <w:tcPr>
            <w:tcW w:w="3540" w:type="dxa"/>
          </w:tcPr>
          <w:p w14:paraId="18AB8937" w14:textId="77777777" w:rsidR="007D678E" w:rsidRDefault="00000000">
            <w:r>
              <w:rPr>
                <w:sz w:val="18"/>
              </w:rPr>
              <w:t>Taxonomy and survey of AI use cases across cybersecurity.</w:t>
            </w:r>
          </w:p>
        </w:tc>
      </w:tr>
      <w:tr w:rsidR="007D678E" w14:paraId="50F44ECB" w14:textId="77777777">
        <w:tc>
          <w:tcPr>
            <w:tcW w:w="700" w:type="dxa"/>
          </w:tcPr>
          <w:p w14:paraId="47B533C7" w14:textId="77777777" w:rsidR="007D678E" w:rsidRDefault="00000000">
            <w:r>
              <w:rPr>
                <w:sz w:val="18"/>
              </w:rPr>
              <w:t>[2]</w:t>
            </w:r>
          </w:p>
        </w:tc>
        <w:tc>
          <w:tcPr>
            <w:tcW w:w="2200" w:type="dxa"/>
          </w:tcPr>
          <w:p w14:paraId="0D904006" w14:textId="77777777" w:rsidR="007D678E" w:rsidRDefault="00000000">
            <w:r>
              <w:rPr>
                <w:sz w:val="18"/>
              </w:rPr>
              <w:t>Dasgupta et al., 2022</w:t>
            </w:r>
          </w:p>
        </w:tc>
        <w:tc>
          <w:tcPr>
            <w:tcW w:w="1700" w:type="dxa"/>
          </w:tcPr>
          <w:p w14:paraId="71F4DAC7" w14:textId="77777777" w:rsidR="007D678E" w:rsidRDefault="00000000">
            <w:r>
              <w:rPr>
                <w:sz w:val="18"/>
              </w:rPr>
              <w:t>Journal (survey)</w:t>
            </w:r>
          </w:p>
        </w:tc>
        <w:tc>
          <w:tcPr>
            <w:tcW w:w="1300" w:type="dxa"/>
          </w:tcPr>
          <w:p w14:paraId="5979F1C3" w14:textId="77777777" w:rsidR="007D678E" w:rsidRDefault="00000000">
            <w:r>
              <w:rPr>
                <w:sz w:val="18"/>
              </w:rPr>
              <w:t>RQ1</w:t>
            </w:r>
          </w:p>
        </w:tc>
        <w:tc>
          <w:tcPr>
            <w:tcW w:w="3540" w:type="dxa"/>
          </w:tcPr>
          <w:p w14:paraId="363CAE37" w14:textId="77777777" w:rsidR="007D678E" w:rsidRDefault="00000000">
            <w:r>
              <w:rPr>
                <w:sz w:val="18"/>
              </w:rPr>
              <w:t>Comprehensive survey of ML techniques in cybersecurity.</w:t>
            </w:r>
          </w:p>
        </w:tc>
      </w:tr>
      <w:tr w:rsidR="007D678E" w14:paraId="191103C4" w14:textId="77777777">
        <w:tc>
          <w:tcPr>
            <w:tcW w:w="700" w:type="dxa"/>
          </w:tcPr>
          <w:p w14:paraId="477FA148" w14:textId="77777777" w:rsidR="007D678E" w:rsidRDefault="00000000">
            <w:r>
              <w:rPr>
                <w:sz w:val="18"/>
              </w:rPr>
              <w:t>[3]</w:t>
            </w:r>
          </w:p>
        </w:tc>
        <w:tc>
          <w:tcPr>
            <w:tcW w:w="2200" w:type="dxa"/>
          </w:tcPr>
          <w:p w14:paraId="065B1157" w14:textId="77777777" w:rsidR="007D678E" w:rsidRDefault="00000000">
            <w:r>
              <w:rPr>
                <w:sz w:val="18"/>
              </w:rPr>
              <w:t>Qadir &amp; Varol, 2020</w:t>
            </w:r>
          </w:p>
        </w:tc>
        <w:tc>
          <w:tcPr>
            <w:tcW w:w="1700" w:type="dxa"/>
          </w:tcPr>
          <w:p w14:paraId="6EB4E356" w14:textId="77777777" w:rsidR="007D678E" w:rsidRDefault="00000000">
            <w:r>
              <w:rPr>
                <w:sz w:val="18"/>
              </w:rPr>
              <w:t>Conference</w:t>
            </w:r>
          </w:p>
        </w:tc>
        <w:tc>
          <w:tcPr>
            <w:tcW w:w="1300" w:type="dxa"/>
          </w:tcPr>
          <w:p w14:paraId="2C8244F1" w14:textId="77777777" w:rsidR="007D678E" w:rsidRDefault="00000000">
            <w:r>
              <w:rPr>
                <w:sz w:val="18"/>
              </w:rPr>
              <w:t>RQ2</w:t>
            </w:r>
          </w:p>
        </w:tc>
        <w:tc>
          <w:tcPr>
            <w:tcW w:w="3540" w:type="dxa"/>
          </w:tcPr>
          <w:p w14:paraId="1C9B9E34" w14:textId="77777777" w:rsidR="007D678E" w:rsidRDefault="00000000">
            <w:r>
              <w:rPr>
                <w:sz w:val="18"/>
              </w:rPr>
              <w:t>Role of ML across digital forensic sub-tasks.</w:t>
            </w:r>
          </w:p>
        </w:tc>
      </w:tr>
      <w:tr w:rsidR="007D678E" w14:paraId="57D23624" w14:textId="77777777">
        <w:tc>
          <w:tcPr>
            <w:tcW w:w="700" w:type="dxa"/>
          </w:tcPr>
          <w:p w14:paraId="3CCA25A2" w14:textId="77777777" w:rsidR="007D678E" w:rsidRDefault="00000000">
            <w:r>
              <w:rPr>
                <w:sz w:val="18"/>
              </w:rPr>
              <w:t>[4]</w:t>
            </w:r>
          </w:p>
        </w:tc>
        <w:tc>
          <w:tcPr>
            <w:tcW w:w="2200" w:type="dxa"/>
          </w:tcPr>
          <w:p w14:paraId="321290DE" w14:textId="77777777" w:rsidR="007D678E" w:rsidRDefault="00000000">
            <w:r>
              <w:rPr>
                <w:sz w:val="18"/>
              </w:rPr>
              <w:t>Rughani, 2017</w:t>
            </w:r>
          </w:p>
        </w:tc>
        <w:tc>
          <w:tcPr>
            <w:tcW w:w="1700" w:type="dxa"/>
          </w:tcPr>
          <w:p w14:paraId="0D4C6666" w14:textId="77777777" w:rsidR="007D678E" w:rsidRDefault="00000000">
            <w:r>
              <w:rPr>
                <w:sz w:val="18"/>
              </w:rPr>
              <w:t>Journal</w:t>
            </w:r>
          </w:p>
        </w:tc>
        <w:tc>
          <w:tcPr>
            <w:tcW w:w="1300" w:type="dxa"/>
          </w:tcPr>
          <w:p w14:paraId="4701110D" w14:textId="77777777" w:rsidR="007D678E" w:rsidRDefault="00000000">
            <w:r>
              <w:rPr>
                <w:sz w:val="18"/>
              </w:rPr>
              <w:t>RQ2</w:t>
            </w:r>
          </w:p>
        </w:tc>
        <w:tc>
          <w:tcPr>
            <w:tcW w:w="3540" w:type="dxa"/>
          </w:tcPr>
          <w:p w14:paraId="0EF7E9D4" w14:textId="77777777" w:rsidR="007D678E" w:rsidRDefault="00000000">
            <w:r>
              <w:rPr>
                <w:sz w:val="18"/>
              </w:rPr>
              <w:t>Early conceptual AI-based digital forensics framework.</w:t>
            </w:r>
          </w:p>
        </w:tc>
      </w:tr>
      <w:tr w:rsidR="007D678E" w14:paraId="5F6F3C5D" w14:textId="77777777">
        <w:tc>
          <w:tcPr>
            <w:tcW w:w="700" w:type="dxa"/>
          </w:tcPr>
          <w:p w14:paraId="3673F1E6" w14:textId="77777777" w:rsidR="007D678E" w:rsidRDefault="00000000">
            <w:r>
              <w:rPr>
                <w:sz w:val="18"/>
              </w:rPr>
              <w:t>[5]</w:t>
            </w:r>
          </w:p>
        </w:tc>
        <w:tc>
          <w:tcPr>
            <w:tcW w:w="2200" w:type="dxa"/>
          </w:tcPr>
          <w:p w14:paraId="1913D0D6" w14:textId="77777777" w:rsidR="007D678E" w:rsidRDefault="00000000">
            <w:r>
              <w:rPr>
                <w:sz w:val="18"/>
              </w:rPr>
              <w:t>Chamola et al., 2023</w:t>
            </w:r>
          </w:p>
        </w:tc>
        <w:tc>
          <w:tcPr>
            <w:tcW w:w="1700" w:type="dxa"/>
          </w:tcPr>
          <w:p w14:paraId="283F51C6" w14:textId="77777777" w:rsidR="007D678E" w:rsidRDefault="00000000">
            <w:r>
              <w:rPr>
                <w:sz w:val="18"/>
              </w:rPr>
              <w:t>Journal (review)</w:t>
            </w:r>
          </w:p>
        </w:tc>
        <w:tc>
          <w:tcPr>
            <w:tcW w:w="1300" w:type="dxa"/>
          </w:tcPr>
          <w:p w14:paraId="2030DCF8" w14:textId="77777777" w:rsidR="007D678E" w:rsidRDefault="00000000">
            <w:r>
              <w:rPr>
                <w:sz w:val="18"/>
              </w:rPr>
              <w:t>RQ3</w:t>
            </w:r>
          </w:p>
        </w:tc>
        <w:tc>
          <w:tcPr>
            <w:tcW w:w="3540" w:type="dxa"/>
          </w:tcPr>
          <w:p w14:paraId="0D99C6E0" w14:textId="77777777" w:rsidR="007D678E" w:rsidRDefault="00000000">
            <w:r>
              <w:rPr>
                <w:sz w:val="18"/>
              </w:rPr>
              <w:t>Review of trustworthy and explainable AI (XAI).</w:t>
            </w:r>
          </w:p>
        </w:tc>
      </w:tr>
      <w:tr w:rsidR="007D678E" w14:paraId="098D7328" w14:textId="77777777">
        <w:tc>
          <w:tcPr>
            <w:tcW w:w="700" w:type="dxa"/>
          </w:tcPr>
          <w:p w14:paraId="496BB671" w14:textId="77777777" w:rsidR="007D678E" w:rsidRDefault="00000000">
            <w:r>
              <w:rPr>
                <w:sz w:val="18"/>
              </w:rPr>
              <w:t>[6]</w:t>
            </w:r>
          </w:p>
        </w:tc>
        <w:tc>
          <w:tcPr>
            <w:tcW w:w="2200" w:type="dxa"/>
          </w:tcPr>
          <w:p w14:paraId="4442F427" w14:textId="77777777" w:rsidR="007D678E" w:rsidRDefault="00000000">
            <w:r>
              <w:rPr>
                <w:sz w:val="18"/>
              </w:rPr>
              <w:t>Nanda &amp; Hansen, 2016</w:t>
            </w:r>
          </w:p>
        </w:tc>
        <w:tc>
          <w:tcPr>
            <w:tcW w:w="1700" w:type="dxa"/>
          </w:tcPr>
          <w:p w14:paraId="579D539C" w14:textId="77777777" w:rsidR="007D678E" w:rsidRDefault="00000000">
            <w:r>
              <w:rPr>
                <w:sz w:val="18"/>
              </w:rPr>
              <w:t>Conference</w:t>
            </w:r>
          </w:p>
        </w:tc>
        <w:tc>
          <w:tcPr>
            <w:tcW w:w="1300" w:type="dxa"/>
          </w:tcPr>
          <w:p w14:paraId="499D6089" w14:textId="77777777" w:rsidR="007D678E" w:rsidRDefault="00000000">
            <w:r>
              <w:rPr>
                <w:sz w:val="18"/>
              </w:rPr>
              <w:t>RQ2</w:t>
            </w:r>
          </w:p>
        </w:tc>
        <w:tc>
          <w:tcPr>
            <w:tcW w:w="3540" w:type="dxa"/>
          </w:tcPr>
          <w:p w14:paraId="358D51F2" w14:textId="77777777" w:rsidR="007D678E" w:rsidRDefault="00000000">
            <w:r>
              <w:rPr>
                <w:sz w:val="18"/>
              </w:rPr>
              <w:t>Cloud-based, service-oriented forensic architecture.</w:t>
            </w:r>
          </w:p>
        </w:tc>
      </w:tr>
      <w:tr w:rsidR="007D678E" w14:paraId="79683E33" w14:textId="77777777">
        <w:tc>
          <w:tcPr>
            <w:tcW w:w="700" w:type="dxa"/>
          </w:tcPr>
          <w:p w14:paraId="12876887" w14:textId="77777777" w:rsidR="007D678E" w:rsidRDefault="00000000">
            <w:r>
              <w:rPr>
                <w:sz w:val="18"/>
              </w:rPr>
              <w:t>[7]</w:t>
            </w:r>
          </w:p>
        </w:tc>
        <w:tc>
          <w:tcPr>
            <w:tcW w:w="2200" w:type="dxa"/>
          </w:tcPr>
          <w:p w14:paraId="6FC1AFD9" w14:textId="77777777" w:rsidR="007D678E" w:rsidRDefault="00000000">
            <w:r>
              <w:rPr>
                <w:sz w:val="18"/>
              </w:rPr>
              <w:t>Alex &amp; Kishore, 2017</w:t>
            </w:r>
          </w:p>
        </w:tc>
        <w:tc>
          <w:tcPr>
            <w:tcW w:w="1700" w:type="dxa"/>
          </w:tcPr>
          <w:p w14:paraId="7484097F" w14:textId="77777777" w:rsidR="007D678E" w:rsidRDefault="00000000">
            <w:r>
              <w:rPr>
                <w:sz w:val="18"/>
              </w:rPr>
              <w:t>Journal</w:t>
            </w:r>
          </w:p>
        </w:tc>
        <w:tc>
          <w:tcPr>
            <w:tcW w:w="1300" w:type="dxa"/>
          </w:tcPr>
          <w:p w14:paraId="086D3C1C" w14:textId="77777777" w:rsidR="007D678E" w:rsidRDefault="00000000">
            <w:r>
              <w:rPr>
                <w:sz w:val="18"/>
              </w:rPr>
              <w:t>RQ2</w:t>
            </w:r>
          </w:p>
        </w:tc>
        <w:tc>
          <w:tcPr>
            <w:tcW w:w="3540" w:type="dxa"/>
          </w:tcPr>
          <w:p w14:paraId="61A7B218" w14:textId="77777777" w:rsidR="007D678E" w:rsidRDefault="00000000">
            <w:r>
              <w:rPr>
                <w:sz w:val="18"/>
              </w:rPr>
              <w:t>Forensics framework for cloud computing.</w:t>
            </w:r>
          </w:p>
        </w:tc>
      </w:tr>
      <w:tr w:rsidR="007D678E" w14:paraId="4E82DEEE" w14:textId="77777777">
        <w:tc>
          <w:tcPr>
            <w:tcW w:w="700" w:type="dxa"/>
          </w:tcPr>
          <w:p w14:paraId="2F27118E" w14:textId="77777777" w:rsidR="007D678E" w:rsidRDefault="00000000">
            <w:r>
              <w:rPr>
                <w:sz w:val="18"/>
              </w:rPr>
              <w:t>[8]</w:t>
            </w:r>
          </w:p>
        </w:tc>
        <w:tc>
          <w:tcPr>
            <w:tcW w:w="2200" w:type="dxa"/>
          </w:tcPr>
          <w:p w14:paraId="08D94523" w14:textId="77777777" w:rsidR="007D678E" w:rsidRDefault="00000000">
            <w:r>
              <w:rPr>
                <w:sz w:val="18"/>
              </w:rPr>
              <w:t>Ismail &amp; Ariffin, 2025</w:t>
            </w:r>
          </w:p>
        </w:tc>
        <w:tc>
          <w:tcPr>
            <w:tcW w:w="1700" w:type="dxa"/>
          </w:tcPr>
          <w:p w14:paraId="123E0D4F" w14:textId="77777777" w:rsidR="007D678E" w:rsidRDefault="00000000">
            <w:r>
              <w:rPr>
                <w:sz w:val="18"/>
              </w:rPr>
              <w:t>Journal</w:t>
            </w:r>
          </w:p>
        </w:tc>
        <w:tc>
          <w:tcPr>
            <w:tcW w:w="1300" w:type="dxa"/>
          </w:tcPr>
          <w:p w14:paraId="71914F03" w14:textId="77777777" w:rsidR="007D678E" w:rsidRDefault="00000000">
            <w:r>
              <w:rPr>
                <w:sz w:val="18"/>
              </w:rPr>
              <w:t>RQ4</w:t>
            </w:r>
          </w:p>
        </w:tc>
        <w:tc>
          <w:tcPr>
            <w:tcW w:w="3540" w:type="dxa"/>
          </w:tcPr>
          <w:p w14:paraId="6E911295" w14:textId="77777777" w:rsidR="007D678E" w:rsidRDefault="00000000">
            <w:r>
              <w:rPr>
                <w:sz w:val="18"/>
              </w:rPr>
              <w:t>Legal admissibility framework for open-source forensic tools.</w:t>
            </w:r>
          </w:p>
        </w:tc>
      </w:tr>
      <w:tr w:rsidR="007D678E" w14:paraId="0A7512B1" w14:textId="77777777">
        <w:tc>
          <w:tcPr>
            <w:tcW w:w="700" w:type="dxa"/>
          </w:tcPr>
          <w:p w14:paraId="0DAF3398" w14:textId="77777777" w:rsidR="007D678E" w:rsidRDefault="00000000">
            <w:r>
              <w:rPr>
                <w:sz w:val="18"/>
              </w:rPr>
              <w:t>[9]</w:t>
            </w:r>
          </w:p>
        </w:tc>
        <w:tc>
          <w:tcPr>
            <w:tcW w:w="2200" w:type="dxa"/>
          </w:tcPr>
          <w:p w14:paraId="155B0D9C" w14:textId="77777777" w:rsidR="007D678E" w:rsidRDefault="00000000">
            <w:r>
              <w:rPr>
                <w:sz w:val="18"/>
              </w:rPr>
              <w:t>Dunsin et al., 2022</w:t>
            </w:r>
          </w:p>
        </w:tc>
        <w:tc>
          <w:tcPr>
            <w:tcW w:w="1700" w:type="dxa"/>
          </w:tcPr>
          <w:p w14:paraId="6125E6C5" w14:textId="77777777" w:rsidR="007D678E" w:rsidRDefault="00000000">
            <w:r>
              <w:rPr>
                <w:sz w:val="18"/>
              </w:rPr>
              <w:t>Conference</w:t>
            </w:r>
          </w:p>
        </w:tc>
        <w:tc>
          <w:tcPr>
            <w:tcW w:w="1300" w:type="dxa"/>
          </w:tcPr>
          <w:p w14:paraId="06131040" w14:textId="77777777" w:rsidR="007D678E" w:rsidRDefault="00000000">
            <w:r>
              <w:rPr>
                <w:sz w:val="18"/>
              </w:rPr>
              <w:t>RQ2</w:t>
            </w:r>
          </w:p>
        </w:tc>
        <w:tc>
          <w:tcPr>
            <w:tcW w:w="3540" w:type="dxa"/>
          </w:tcPr>
          <w:p w14:paraId="24632452" w14:textId="77777777" w:rsidR="007D678E" w:rsidRDefault="00000000">
            <w:r>
              <w:rPr>
                <w:sz w:val="18"/>
              </w:rPr>
              <w:t>AI in DFIR within resource-constrained environments.</w:t>
            </w:r>
          </w:p>
        </w:tc>
      </w:tr>
      <w:tr w:rsidR="007D678E" w14:paraId="1A273AE6" w14:textId="77777777">
        <w:tc>
          <w:tcPr>
            <w:tcW w:w="700" w:type="dxa"/>
          </w:tcPr>
          <w:p w14:paraId="485ACCEB" w14:textId="77777777" w:rsidR="007D678E" w:rsidRDefault="00000000">
            <w:r>
              <w:rPr>
                <w:sz w:val="18"/>
              </w:rPr>
              <w:t>[10]</w:t>
            </w:r>
          </w:p>
        </w:tc>
        <w:tc>
          <w:tcPr>
            <w:tcW w:w="2200" w:type="dxa"/>
          </w:tcPr>
          <w:p w14:paraId="5E742B2F" w14:textId="77777777" w:rsidR="007D678E" w:rsidRDefault="00000000">
            <w:r>
              <w:rPr>
                <w:sz w:val="18"/>
              </w:rPr>
              <w:t>Hilmand et al., 2021</w:t>
            </w:r>
          </w:p>
        </w:tc>
        <w:tc>
          <w:tcPr>
            <w:tcW w:w="1700" w:type="dxa"/>
          </w:tcPr>
          <w:p w14:paraId="29A9A5C8" w14:textId="77777777" w:rsidR="007D678E" w:rsidRDefault="00000000">
            <w:r>
              <w:rPr>
                <w:sz w:val="18"/>
              </w:rPr>
              <w:t>Journal (survey)</w:t>
            </w:r>
          </w:p>
        </w:tc>
        <w:tc>
          <w:tcPr>
            <w:tcW w:w="1300" w:type="dxa"/>
          </w:tcPr>
          <w:p w14:paraId="6C49BF39" w14:textId="77777777" w:rsidR="007D678E" w:rsidRDefault="00000000">
            <w:r>
              <w:rPr>
                <w:sz w:val="18"/>
              </w:rPr>
              <w:t>RQ2</w:t>
            </w:r>
          </w:p>
        </w:tc>
        <w:tc>
          <w:tcPr>
            <w:tcW w:w="3540" w:type="dxa"/>
          </w:tcPr>
          <w:p w14:paraId="6439D82E" w14:textId="77777777" w:rsidR="007D678E" w:rsidRDefault="00000000">
            <w:r>
              <w:rPr>
                <w:sz w:val="18"/>
              </w:rPr>
              <w:t>Survey of ML applications across mobile/network/cloud forensics.</w:t>
            </w:r>
          </w:p>
        </w:tc>
      </w:tr>
      <w:tr w:rsidR="007D678E" w14:paraId="2F3AC52D" w14:textId="77777777">
        <w:tc>
          <w:tcPr>
            <w:tcW w:w="700" w:type="dxa"/>
          </w:tcPr>
          <w:p w14:paraId="6E0B4964" w14:textId="77777777" w:rsidR="007D678E" w:rsidRDefault="00000000">
            <w:r>
              <w:rPr>
                <w:sz w:val="18"/>
              </w:rPr>
              <w:t>[11]</w:t>
            </w:r>
          </w:p>
        </w:tc>
        <w:tc>
          <w:tcPr>
            <w:tcW w:w="2200" w:type="dxa"/>
          </w:tcPr>
          <w:p w14:paraId="420B783D" w14:textId="77777777" w:rsidR="007D678E" w:rsidRDefault="00000000">
            <w:r>
              <w:rPr>
                <w:sz w:val="18"/>
              </w:rPr>
              <w:t>Wei et al., 2023</w:t>
            </w:r>
          </w:p>
        </w:tc>
        <w:tc>
          <w:tcPr>
            <w:tcW w:w="1700" w:type="dxa"/>
          </w:tcPr>
          <w:p w14:paraId="4D10A030" w14:textId="77777777" w:rsidR="007D678E" w:rsidRDefault="00000000">
            <w:r>
              <w:rPr>
                <w:sz w:val="18"/>
              </w:rPr>
              <w:t>Conference</w:t>
            </w:r>
          </w:p>
        </w:tc>
        <w:tc>
          <w:tcPr>
            <w:tcW w:w="1300" w:type="dxa"/>
          </w:tcPr>
          <w:p w14:paraId="11DE3E16" w14:textId="77777777" w:rsidR="007D678E" w:rsidRDefault="00000000">
            <w:r>
              <w:rPr>
                <w:sz w:val="18"/>
              </w:rPr>
              <w:t>RQ3</w:t>
            </w:r>
          </w:p>
        </w:tc>
        <w:tc>
          <w:tcPr>
            <w:tcW w:w="3540" w:type="dxa"/>
          </w:tcPr>
          <w:p w14:paraId="16009402" w14:textId="77777777" w:rsidR="007D678E" w:rsidRDefault="00000000">
            <w:r>
              <w:rPr>
                <w:sz w:val="18"/>
              </w:rPr>
              <w:t>XNIDS: explaining DL-based NIDS for active response.</w:t>
            </w:r>
          </w:p>
        </w:tc>
      </w:tr>
      <w:tr w:rsidR="007D678E" w14:paraId="2DAA937B" w14:textId="77777777">
        <w:tc>
          <w:tcPr>
            <w:tcW w:w="700" w:type="dxa"/>
          </w:tcPr>
          <w:p w14:paraId="7CAB2EE1" w14:textId="77777777" w:rsidR="007D678E" w:rsidRDefault="00000000">
            <w:r>
              <w:rPr>
                <w:sz w:val="18"/>
              </w:rPr>
              <w:t>[12]</w:t>
            </w:r>
          </w:p>
        </w:tc>
        <w:tc>
          <w:tcPr>
            <w:tcW w:w="2200" w:type="dxa"/>
          </w:tcPr>
          <w:p w14:paraId="4E325E48" w14:textId="77777777" w:rsidR="007D678E" w:rsidRDefault="00000000">
            <w:r>
              <w:rPr>
                <w:sz w:val="18"/>
              </w:rPr>
              <w:t>Wu, Ge &amp; Li, 2022</w:t>
            </w:r>
          </w:p>
        </w:tc>
        <w:tc>
          <w:tcPr>
            <w:tcW w:w="1700" w:type="dxa"/>
          </w:tcPr>
          <w:p w14:paraId="7D57C366" w14:textId="77777777" w:rsidR="007D678E" w:rsidRDefault="00000000">
            <w:r>
              <w:rPr>
                <w:sz w:val="18"/>
              </w:rPr>
              <w:t>Book</w:t>
            </w:r>
          </w:p>
        </w:tc>
        <w:tc>
          <w:tcPr>
            <w:tcW w:w="1300" w:type="dxa"/>
          </w:tcPr>
          <w:p w14:paraId="2AF018B1" w14:textId="77777777" w:rsidR="007D678E" w:rsidRDefault="00000000">
            <w:r>
              <w:rPr>
                <w:sz w:val="18"/>
              </w:rPr>
              <w:t>RQ1</w:t>
            </w:r>
          </w:p>
        </w:tc>
        <w:tc>
          <w:tcPr>
            <w:tcW w:w="3540" w:type="dxa"/>
          </w:tcPr>
          <w:p w14:paraId="57F002DC" w14:textId="77777777" w:rsidR="007D678E" w:rsidRDefault="00000000">
            <w:r>
              <w:rPr>
                <w:sz w:val="18"/>
              </w:rPr>
              <w:t>AI/ML techniques for network and security management.</w:t>
            </w:r>
          </w:p>
        </w:tc>
      </w:tr>
      <w:tr w:rsidR="007D678E" w14:paraId="38B16E33" w14:textId="77777777">
        <w:tc>
          <w:tcPr>
            <w:tcW w:w="700" w:type="dxa"/>
          </w:tcPr>
          <w:p w14:paraId="03E89C32" w14:textId="77777777" w:rsidR="007D678E" w:rsidRDefault="00000000">
            <w:r>
              <w:rPr>
                <w:sz w:val="18"/>
              </w:rPr>
              <w:t>[13]</w:t>
            </w:r>
          </w:p>
        </w:tc>
        <w:tc>
          <w:tcPr>
            <w:tcW w:w="2200" w:type="dxa"/>
          </w:tcPr>
          <w:p w14:paraId="0DBCDAB9" w14:textId="77777777" w:rsidR="007D678E" w:rsidRDefault="00000000">
            <w:r>
              <w:rPr>
                <w:sz w:val="18"/>
              </w:rPr>
              <w:t>Mahdavifar &amp; Ghorbani, 2019</w:t>
            </w:r>
          </w:p>
        </w:tc>
        <w:tc>
          <w:tcPr>
            <w:tcW w:w="1700" w:type="dxa"/>
          </w:tcPr>
          <w:p w14:paraId="211F934C" w14:textId="77777777" w:rsidR="007D678E" w:rsidRDefault="00000000">
            <w:r>
              <w:rPr>
                <w:sz w:val="18"/>
              </w:rPr>
              <w:t>Journal (survey)</w:t>
            </w:r>
          </w:p>
        </w:tc>
        <w:tc>
          <w:tcPr>
            <w:tcW w:w="1300" w:type="dxa"/>
          </w:tcPr>
          <w:p w14:paraId="536284E7" w14:textId="77777777" w:rsidR="007D678E" w:rsidRDefault="00000000">
            <w:r>
              <w:rPr>
                <w:sz w:val="18"/>
              </w:rPr>
              <w:t>RQ1</w:t>
            </w:r>
          </w:p>
        </w:tc>
        <w:tc>
          <w:tcPr>
            <w:tcW w:w="3540" w:type="dxa"/>
          </w:tcPr>
          <w:p w14:paraId="059177E6" w14:textId="77777777" w:rsidR="007D678E" w:rsidRDefault="00000000">
            <w:r>
              <w:rPr>
                <w:sz w:val="18"/>
              </w:rPr>
              <w:t>Survey of deep learning applications in cybersecurity.</w:t>
            </w:r>
          </w:p>
        </w:tc>
      </w:tr>
      <w:tr w:rsidR="007D678E" w14:paraId="220A4FDD" w14:textId="77777777">
        <w:tc>
          <w:tcPr>
            <w:tcW w:w="700" w:type="dxa"/>
          </w:tcPr>
          <w:p w14:paraId="09DD647C" w14:textId="77777777" w:rsidR="007D678E" w:rsidRDefault="00000000">
            <w:r>
              <w:rPr>
                <w:sz w:val="18"/>
              </w:rPr>
              <w:t>[14]</w:t>
            </w:r>
          </w:p>
        </w:tc>
        <w:tc>
          <w:tcPr>
            <w:tcW w:w="2200" w:type="dxa"/>
          </w:tcPr>
          <w:p w14:paraId="0D64A73E" w14:textId="77777777" w:rsidR="007D678E" w:rsidRDefault="00000000">
            <w:r>
              <w:rPr>
                <w:sz w:val="18"/>
              </w:rPr>
              <w:t>Aslan et al., 2021</w:t>
            </w:r>
          </w:p>
        </w:tc>
        <w:tc>
          <w:tcPr>
            <w:tcW w:w="1700" w:type="dxa"/>
          </w:tcPr>
          <w:p w14:paraId="69709FDB" w14:textId="77777777" w:rsidR="007D678E" w:rsidRDefault="00000000">
            <w:r>
              <w:rPr>
                <w:sz w:val="18"/>
              </w:rPr>
              <w:t>Journal</w:t>
            </w:r>
          </w:p>
        </w:tc>
        <w:tc>
          <w:tcPr>
            <w:tcW w:w="1300" w:type="dxa"/>
          </w:tcPr>
          <w:p w14:paraId="20B18674" w14:textId="77777777" w:rsidR="007D678E" w:rsidRDefault="00000000">
            <w:r>
              <w:rPr>
                <w:sz w:val="18"/>
              </w:rPr>
              <w:t>RQ1</w:t>
            </w:r>
          </w:p>
        </w:tc>
        <w:tc>
          <w:tcPr>
            <w:tcW w:w="3540" w:type="dxa"/>
          </w:tcPr>
          <w:p w14:paraId="557FC736" w14:textId="77777777" w:rsidR="007D678E" w:rsidRDefault="00000000">
            <w:r>
              <w:rPr>
                <w:sz w:val="18"/>
              </w:rPr>
              <w:t>Behaviour-based malware detection in cloud environments.</w:t>
            </w:r>
          </w:p>
        </w:tc>
      </w:tr>
      <w:tr w:rsidR="007D678E" w14:paraId="19F1E602" w14:textId="77777777">
        <w:tc>
          <w:tcPr>
            <w:tcW w:w="700" w:type="dxa"/>
          </w:tcPr>
          <w:p w14:paraId="00A6A4AF" w14:textId="77777777" w:rsidR="007D678E" w:rsidRDefault="00000000">
            <w:r>
              <w:rPr>
                <w:sz w:val="18"/>
              </w:rPr>
              <w:t>[15]</w:t>
            </w:r>
          </w:p>
        </w:tc>
        <w:tc>
          <w:tcPr>
            <w:tcW w:w="2200" w:type="dxa"/>
          </w:tcPr>
          <w:p w14:paraId="1408876C" w14:textId="77777777" w:rsidR="007D678E" w:rsidRDefault="00000000">
            <w:r>
              <w:rPr>
                <w:sz w:val="18"/>
              </w:rPr>
              <w:t>Ribeiro et al., 2016</w:t>
            </w:r>
          </w:p>
        </w:tc>
        <w:tc>
          <w:tcPr>
            <w:tcW w:w="1700" w:type="dxa"/>
          </w:tcPr>
          <w:p w14:paraId="263FF668" w14:textId="77777777" w:rsidR="007D678E" w:rsidRDefault="00000000">
            <w:r>
              <w:rPr>
                <w:sz w:val="18"/>
              </w:rPr>
              <w:t>Conference</w:t>
            </w:r>
          </w:p>
        </w:tc>
        <w:tc>
          <w:tcPr>
            <w:tcW w:w="1300" w:type="dxa"/>
          </w:tcPr>
          <w:p w14:paraId="7EDCAD49" w14:textId="77777777" w:rsidR="007D678E" w:rsidRDefault="00000000">
            <w:r>
              <w:rPr>
                <w:sz w:val="18"/>
              </w:rPr>
              <w:t>RQ3</w:t>
            </w:r>
          </w:p>
        </w:tc>
        <w:tc>
          <w:tcPr>
            <w:tcW w:w="3540" w:type="dxa"/>
          </w:tcPr>
          <w:p w14:paraId="72F0C63C" w14:textId="77777777" w:rsidR="007D678E" w:rsidRDefault="00000000">
            <w:r>
              <w:rPr>
                <w:sz w:val="18"/>
              </w:rPr>
              <w:t>LIME: model-agnostic local explanation technique.</w:t>
            </w:r>
          </w:p>
        </w:tc>
      </w:tr>
      <w:tr w:rsidR="007D678E" w14:paraId="26FC5518" w14:textId="77777777">
        <w:tc>
          <w:tcPr>
            <w:tcW w:w="700" w:type="dxa"/>
          </w:tcPr>
          <w:p w14:paraId="70119817" w14:textId="77777777" w:rsidR="007D678E" w:rsidRDefault="00000000">
            <w:r>
              <w:rPr>
                <w:sz w:val="18"/>
              </w:rPr>
              <w:t>[16]</w:t>
            </w:r>
          </w:p>
        </w:tc>
        <w:tc>
          <w:tcPr>
            <w:tcW w:w="2200" w:type="dxa"/>
          </w:tcPr>
          <w:p w14:paraId="6E04A17D" w14:textId="77777777" w:rsidR="007D678E" w:rsidRDefault="00000000">
            <w:r>
              <w:rPr>
                <w:sz w:val="18"/>
              </w:rPr>
              <w:t>Lundberg &amp; Lee, 2017</w:t>
            </w:r>
          </w:p>
        </w:tc>
        <w:tc>
          <w:tcPr>
            <w:tcW w:w="1700" w:type="dxa"/>
          </w:tcPr>
          <w:p w14:paraId="42B4316B" w14:textId="77777777" w:rsidR="007D678E" w:rsidRDefault="00000000">
            <w:r>
              <w:rPr>
                <w:sz w:val="18"/>
              </w:rPr>
              <w:t>Conference</w:t>
            </w:r>
          </w:p>
        </w:tc>
        <w:tc>
          <w:tcPr>
            <w:tcW w:w="1300" w:type="dxa"/>
          </w:tcPr>
          <w:p w14:paraId="15D8BD33" w14:textId="77777777" w:rsidR="007D678E" w:rsidRDefault="00000000">
            <w:r>
              <w:rPr>
                <w:sz w:val="18"/>
              </w:rPr>
              <w:t>RQ3</w:t>
            </w:r>
          </w:p>
        </w:tc>
        <w:tc>
          <w:tcPr>
            <w:tcW w:w="3540" w:type="dxa"/>
          </w:tcPr>
          <w:p w14:paraId="36DF1383" w14:textId="77777777" w:rsidR="007D678E" w:rsidRDefault="00000000">
            <w:r>
              <w:rPr>
                <w:sz w:val="18"/>
              </w:rPr>
              <w:t>SHAP: unified feature-attribution explanation framework.</w:t>
            </w:r>
          </w:p>
        </w:tc>
      </w:tr>
      <w:tr w:rsidR="007D678E" w14:paraId="412A697F" w14:textId="77777777">
        <w:tc>
          <w:tcPr>
            <w:tcW w:w="700" w:type="dxa"/>
          </w:tcPr>
          <w:p w14:paraId="39593EA7" w14:textId="77777777" w:rsidR="007D678E" w:rsidRDefault="00000000">
            <w:r>
              <w:rPr>
                <w:sz w:val="18"/>
              </w:rPr>
              <w:t>[17]</w:t>
            </w:r>
          </w:p>
        </w:tc>
        <w:tc>
          <w:tcPr>
            <w:tcW w:w="2200" w:type="dxa"/>
          </w:tcPr>
          <w:p w14:paraId="2FC56AB4" w14:textId="77777777" w:rsidR="007D678E" w:rsidRDefault="00000000">
            <w:r>
              <w:rPr>
                <w:sz w:val="18"/>
              </w:rPr>
              <w:t>Zebin et al., 2022</w:t>
            </w:r>
          </w:p>
        </w:tc>
        <w:tc>
          <w:tcPr>
            <w:tcW w:w="1700" w:type="dxa"/>
          </w:tcPr>
          <w:p w14:paraId="439B53A8" w14:textId="77777777" w:rsidR="007D678E" w:rsidRDefault="00000000">
            <w:r>
              <w:rPr>
                <w:sz w:val="18"/>
              </w:rPr>
              <w:t>Journal</w:t>
            </w:r>
          </w:p>
        </w:tc>
        <w:tc>
          <w:tcPr>
            <w:tcW w:w="1300" w:type="dxa"/>
          </w:tcPr>
          <w:p w14:paraId="38E52CD2" w14:textId="77777777" w:rsidR="007D678E" w:rsidRDefault="00000000">
            <w:r>
              <w:rPr>
                <w:sz w:val="18"/>
              </w:rPr>
              <w:t>RQ3</w:t>
            </w:r>
          </w:p>
        </w:tc>
        <w:tc>
          <w:tcPr>
            <w:tcW w:w="3540" w:type="dxa"/>
          </w:tcPr>
          <w:p w14:paraId="4AF5577E" w14:textId="77777777" w:rsidR="007D678E" w:rsidRDefault="00000000">
            <w:r>
              <w:rPr>
                <w:sz w:val="18"/>
              </w:rPr>
              <w:t>Explainable AI-based IDS for DoH attacks.</w:t>
            </w:r>
          </w:p>
        </w:tc>
      </w:tr>
      <w:tr w:rsidR="007D678E" w14:paraId="33533480" w14:textId="77777777">
        <w:tc>
          <w:tcPr>
            <w:tcW w:w="700" w:type="dxa"/>
          </w:tcPr>
          <w:p w14:paraId="131DF61F" w14:textId="77777777" w:rsidR="007D678E" w:rsidRDefault="00000000">
            <w:r>
              <w:rPr>
                <w:sz w:val="18"/>
              </w:rPr>
              <w:t>[18]</w:t>
            </w:r>
          </w:p>
        </w:tc>
        <w:tc>
          <w:tcPr>
            <w:tcW w:w="2200" w:type="dxa"/>
          </w:tcPr>
          <w:p w14:paraId="7F77B396" w14:textId="77777777" w:rsidR="007D678E" w:rsidRDefault="00000000">
            <w:r>
              <w:rPr>
                <w:sz w:val="18"/>
              </w:rPr>
              <w:t>Nwakanma et al., 2023</w:t>
            </w:r>
          </w:p>
        </w:tc>
        <w:tc>
          <w:tcPr>
            <w:tcW w:w="1700" w:type="dxa"/>
          </w:tcPr>
          <w:p w14:paraId="2E3187C4" w14:textId="77777777" w:rsidR="007D678E" w:rsidRDefault="00000000">
            <w:r>
              <w:rPr>
                <w:sz w:val="18"/>
              </w:rPr>
              <w:t>Journal (review)</w:t>
            </w:r>
          </w:p>
        </w:tc>
        <w:tc>
          <w:tcPr>
            <w:tcW w:w="1300" w:type="dxa"/>
          </w:tcPr>
          <w:p w14:paraId="3D3230DC" w14:textId="77777777" w:rsidR="007D678E" w:rsidRDefault="00000000">
            <w:r>
              <w:rPr>
                <w:sz w:val="18"/>
              </w:rPr>
              <w:t>RQ3</w:t>
            </w:r>
          </w:p>
        </w:tc>
        <w:tc>
          <w:tcPr>
            <w:tcW w:w="3540" w:type="dxa"/>
          </w:tcPr>
          <w:p w14:paraId="49894CC6" w14:textId="77777777" w:rsidR="007D678E" w:rsidRDefault="00000000">
            <w:r>
              <w:rPr>
                <w:sz w:val="18"/>
              </w:rPr>
              <w:t>Review of XAI for intrusion detection in connected vehicles.</w:t>
            </w:r>
          </w:p>
        </w:tc>
      </w:tr>
      <w:tr w:rsidR="007D678E" w14:paraId="73FE0B18" w14:textId="77777777">
        <w:tc>
          <w:tcPr>
            <w:tcW w:w="700" w:type="dxa"/>
          </w:tcPr>
          <w:p w14:paraId="1A11F3E9" w14:textId="77777777" w:rsidR="007D678E" w:rsidRDefault="00000000">
            <w:r>
              <w:rPr>
                <w:sz w:val="18"/>
              </w:rPr>
              <w:t>[19]</w:t>
            </w:r>
          </w:p>
        </w:tc>
        <w:tc>
          <w:tcPr>
            <w:tcW w:w="2200" w:type="dxa"/>
          </w:tcPr>
          <w:p w14:paraId="3DC6EA37" w14:textId="77777777" w:rsidR="007D678E" w:rsidRDefault="00000000">
            <w:r>
              <w:rPr>
                <w:sz w:val="18"/>
              </w:rPr>
              <w:t>Hevner et al., 2004</w:t>
            </w:r>
          </w:p>
        </w:tc>
        <w:tc>
          <w:tcPr>
            <w:tcW w:w="1700" w:type="dxa"/>
          </w:tcPr>
          <w:p w14:paraId="13141F24" w14:textId="77777777" w:rsidR="007D678E" w:rsidRDefault="00000000">
            <w:r>
              <w:rPr>
                <w:sz w:val="18"/>
              </w:rPr>
              <w:t>Journal</w:t>
            </w:r>
          </w:p>
        </w:tc>
        <w:tc>
          <w:tcPr>
            <w:tcW w:w="1300" w:type="dxa"/>
          </w:tcPr>
          <w:p w14:paraId="05FB75C8" w14:textId="77777777" w:rsidR="007D678E" w:rsidRDefault="00000000">
            <w:r>
              <w:rPr>
                <w:sz w:val="18"/>
              </w:rPr>
              <w:t>Methodology</w:t>
            </w:r>
          </w:p>
        </w:tc>
        <w:tc>
          <w:tcPr>
            <w:tcW w:w="3540" w:type="dxa"/>
          </w:tcPr>
          <w:p w14:paraId="1AE23AFF" w14:textId="77777777" w:rsidR="007D678E" w:rsidRDefault="00000000">
            <w:r>
              <w:rPr>
                <w:sz w:val="18"/>
              </w:rPr>
              <w:t>Design science research (DSR) framework.</w:t>
            </w:r>
          </w:p>
        </w:tc>
      </w:tr>
      <w:tr w:rsidR="007D678E" w14:paraId="2C4D54E9" w14:textId="77777777">
        <w:tc>
          <w:tcPr>
            <w:tcW w:w="700" w:type="dxa"/>
          </w:tcPr>
          <w:p w14:paraId="73FC9C57" w14:textId="77777777" w:rsidR="007D678E" w:rsidRDefault="00000000">
            <w:r>
              <w:rPr>
                <w:sz w:val="18"/>
              </w:rPr>
              <w:t>[20]</w:t>
            </w:r>
          </w:p>
        </w:tc>
        <w:tc>
          <w:tcPr>
            <w:tcW w:w="2200" w:type="dxa"/>
          </w:tcPr>
          <w:p w14:paraId="3D06A2ED" w14:textId="77777777" w:rsidR="007D678E" w:rsidRDefault="00000000">
            <w:r>
              <w:rPr>
                <w:sz w:val="18"/>
              </w:rPr>
              <w:t>Peffers et al., 2007</w:t>
            </w:r>
          </w:p>
        </w:tc>
        <w:tc>
          <w:tcPr>
            <w:tcW w:w="1700" w:type="dxa"/>
          </w:tcPr>
          <w:p w14:paraId="42A53889" w14:textId="77777777" w:rsidR="007D678E" w:rsidRDefault="00000000">
            <w:r>
              <w:rPr>
                <w:sz w:val="18"/>
              </w:rPr>
              <w:t>Journal</w:t>
            </w:r>
          </w:p>
        </w:tc>
        <w:tc>
          <w:tcPr>
            <w:tcW w:w="1300" w:type="dxa"/>
          </w:tcPr>
          <w:p w14:paraId="5776C2D3" w14:textId="77777777" w:rsidR="007D678E" w:rsidRDefault="00000000">
            <w:r>
              <w:rPr>
                <w:sz w:val="18"/>
              </w:rPr>
              <w:t>Methodology</w:t>
            </w:r>
          </w:p>
        </w:tc>
        <w:tc>
          <w:tcPr>
            <w:tcW w:w="3540" w:type="dxa"/>
          </w:tcPr>
          <w:p w14:paraId="021CF771" w14:textId="77777777" w:rsidR="007D678E" w:rsidRDefault="00000000">
            <w:r>
              <w:rPr>
                <w:sz w:val="18"/>
              </w:rPr>
              <w:t>DSR process methodology (DSRM).</w:t>
            </w:r>
          </w:p>
        </w:tc>
      </w:tr>
      <w:tr w:rsidR="007D678E" w14:paraId="2F11CEF3" w14:textId="77777777">
        <w:tc>
          <w:tcPr>
            <w:tcW w:w="700" w:type="dxa"/>
          </w:tcPr>
          <w:p w14:paraId="2DBF4497" w14:textId="77777777" w:rsidR="007D678E" w:rsidRDefault="00000000">
            <w:r>
              <w:rPr>
                <w:sz w:val="18"/>
              </w:rPr>
              <w:t>[21]</w:t>
            </w:r>
          </w:p>
        </w:tc>
        <w:tc>
          <w:tcPr>
            <w:tcW w:w="2200" w:type="dxa"/>
          </w:tcPr>
          <w:p w14:paraId="1DB72C73" w14:textId="77777777" w:rsidR="007D678E" w:rsidRDefault="00000000">
            <w:r>
              <w:rPr>
                <w:sz w:val="18"/>
              </w:rPr>
              <w:t>NIST, 2006 (SP 800-86)</w:t>
            </w:r>
          </w:p>
        </w:tc>
        <w:tc>
          <w:tcPr>
            <w:tcW w:w="1700" w:type="dxa"/>
          </w:tcPr>
          <w:p w14:paraId="1730F838" w14:textId="77777777" w:rsidR="007D678E" w:rsidRDefault="00000000">
            <w:r>
              <w:rPr>
                <w:sz w:val="18"/>
              </w:rPr>
              <w:t>Standard/guideline</w:t>
            </w:r>
          </w:p>
        </w:tc>
        <w:tc>
          <w:tcPr>
            <w:tcW w:w="1300" w:type="dxa"/>
          </w:tcPr>
          <w:p w14:paraId="4CAF37E9" w14:textId="77777777" w:rsidR="007D678E" w:rsidRDefault="00000000">
            <w:r>
              <w:rPr>
                <w:sz w:val="18"/>
              </w:rPr>
              <w:t>RQ4</w:t>
            </w:r>
          </w:p>
        </w:tc>
        <w:tc>
          <w:tcPr>
            <w:tcW w:w="3540" w:type="dxa"/>
          </w:tcPr>
          <w:p w14:paraId="7900CEFE" w14:textId="77777777" w:rsidR="007D678E" w:rsidRDefault="00000000">
            <w:r>
              <w:rPr>
                <w:sz w:val="18"/>
              </w:rPr>
              <w:t>Guidance on integrating forensic techniques into incident response.</w:t>
            </w:r>
          </w:p>
        </w:tc>
      </w:tr>
      <w:tr w:rsidR="007D678E" w14:paraId="162A3C92" w14:textId="77777777">
        <w:tc>
          <w:tcPr>
            <w:tcW w:w="700" w:type="dxa"/>
          </w:tcPr>
          <w:p w14:paraId="593D10AD" w14:textId="77777777" w:rsidR="007D678E" w:rsidRDefault="00000000">
            <w:r>
              <w:rPr>
                <w:sz w:val="18"/>
              </w:rPr>
              <w:lastRenderedPageBreak/>
              <w:t>[22]</w:t>
            </w:r>
          </w:p>
        </w:tc>
        <w:tc>
          <w:tcPr>
            <w:tcW w:w="2200" w:type="dxa"/>
          </w:tcPr>
          <w:p w14:paraId="16B592DE" w14:textId="77777777" w:rsidR="007D678E" w:rsidRDefault="00000000">
            <w:r>
              <w:rPr>
                <w:sz w:val="18"/>
              </w:rPr>
              <w:t>ISO/IEC 27037:2012</w:t>
            </w:r>
          </w:p>
        </w:tc>
        <w:tc>
          <w:tcPr>
            <w:tcW w:w="1700" w:type="dxa"/>
          </w:tcPr>
          <w:p w14:paraId="4ED01634" w14:textId="77777777" w:rsidR="007D678E" w:rsidRDefault="00000000">
            <w:r>
              <w:rPr>
                <w:sz w:val="18"/>
              </w:rPr>
              <w:t>Standard</w:t>
            </w:r>
          </w:p>
        </w:tc>
        <w:tc>
          <w:tcPr>
            <w:tcW w:w="1300" w:type="dxa"/>
          </w:tcPr>
          <w:p w14:paraId="1FF0B4A4" w14:textId="77777777" w:rsidR="007D678E" w:rsidRDefault="00000000">
            <w:r>
              <w:rPr>
                <w:sz w:val="18"/>
              </w:rPr>
              <w:t>RQ4</w:t>
            </w:r>
          </w:p>
        </w:tc>
        <w:tc>
          <w:tcPr>
            <w:tcW w:w="3540" w:type="dxa"/>
          </w:tcPr>
          <w:p w14:paraId="704EB2B2" w14:textId="77777777" w:rsidR="007D678E" w:rsidRDefault="00000000">
            <w:r>
              <w:rPr>
                <w:sz w:val="18"/>
              </w:rPr>
              <w:t>Requirements for identification, collection and preservation of digital evidence.</w:t>
            </w:r>
          </w:p>
        </w:tc>
      </w:tr>
    </w:tbl>
    <w:p w14:paraId="6D6261B6" w14:textId="77777777" w:rsidR="007D678E" w:rsidRDefault="007D678E"/>
    <w:p w14:paraId="724B778E" w14:textId="77777777" w:rsidR="007D678E" w:rsidRPr="002D4289" w:rsidRDefault="00000000">
      <w:pPr>
        <w:pStyle w:val="Heading2"/>
        <w:rPr>
          <w:color w:val="000000" w:themeColor="text1"/>
        </w:rPr>
      </w:pPr>
      <w:r w:rsidRPr="002D4289">
        <w:rPr>
          <w:color w:val="000000" w:themeColor="text1"/>
        </w:rPr>
        <w:t>Synthesis for RQ1: AI/ML-Based Threat Detection</w:t>
      </w:r>
    </w:p>
    <w:p w14:paraId="543666EA" w14:textId="5FB45707" w:rsidR="007D678E" w:rsidRDefault="00000000">
      <w:r>
        <w:t>A substantial body of work has established machine</w:t>
      </w:r>
      <w:r w:rsidR="009C34B0">
        <w:t>-</w:t>
      </w:r>
      <w:r>
        <w:t>learning and deep</w:t>
      </w:r>
      <w:r w:rsidR="009C34B0">
        <w:t>-</w:t>
      </w:r>
      <w:r>
        <w:t>learning as effective tools for network intrusion and malware detection. Wu et al. discuss how AI and ML techniques are applied across network and security management more broadly [12], while Mahdavifar and Ghorbani provide an early survey of deep learning applications across malware detection, spam filtering and intrusion detection [13]. More recent surveys by Dasgupta et al. and Kaur et al. map the maturing landscape of ML-based cybersecurity, highlighting a shift from traditional classifiers toward ensemble and deep architectures capable of detecting previously unseen, zero-day-style attacks [2], [1]. Complementing this, Aslan et al. demonstrate an intelligent, behaviour-based malware detection system tailored to cloud computing environments, reporting strong detection performance while noting the operational overhead introduced by continuous behavioural monitoring [14]. Collectively, this stream of research demonstrates consistent gains in detection accuracy but rarely considers how detection outputs should be structured for downstream investigative use.</w:t>
      </w:r>
    </w:p>
    <w:p w14:paraId="4617013D" w14:textId="77777777" w:rsidR="007D678E" w:rsidRPr="002D4289" w:rsidRDefault="00000000">
      <w:pPr>
        <w:pStyle w:val="Heading2"/>
        <w:rPr>
          <w:color w:val="000000" w:themeColor="text1"/>
        </w:rPr>
      </w:pPr>
      <w:r w:rsidRPr="002D4289">
        <w:rPr>
          <w:color w:val="000000" w:themeColor="text1"/>
        </w:rPr>
        <w:t>Synthesis for RQ2: AI in Digital Forensics</w:t>
      </w:r>
    </w:p>
    <w:p w14:paraId="7B976004" w14:textId="77777777" w:rsidR="007D678E" w:rsidRDefault="00000000">
      <w:r>
        <w:t>A second, smaller body of research applies AI directly within digital forensic investigation. Qadir and Varol outline the growing role of machine learning across forensic sub-tasks, including file-type identification, artefact classification and timeline reconstruction [3], a theme extended by Hilmand et al. in their survey of ML applications across mobile, network and cloud forensics [10]. Rughani proposes an early conceptual AI-based digital forensics framework structured around automated evidence acquisition, analysis and reporting stages [4], while Nanda and Hansen and Alex and Kishore separately propose cloud-oriented, service-based forensic architectures designed to cope with the elasticity and volatility of cloud-hosted evidence [6], [7]. Most directly relevant to this proposal, Dunsin et al. examine the use of AI in digital forensics and incident response within resource-constrained environments, arguing that lightweight, integrated tooling is essential where organisations cannot maintain separate detection and forensic capabilities [9].</w:t>
      </w:r>
    </w:p>
    <w:p w14:paraId="794B7801" w14:textId="77777777" w:rsidR="007D678E" w:rsidRPr="002D4289" w:rsidRDefault="00000000">
      <w:pPr>
        <w:pStyle w:val="Heading2"/>
        <w:rPr>
          <w:color w:val="000000" w:themeColor="text1"/>
        </w:rPr>
      </w:pPr>
      <w:r w:rsidRPr="002D4289">
        <w:rPr>
          <w:color w:val="000000" w:themeColor="text1"/>
        </w:rPr>
        <w:t>Synthesis for RQ3: Explainable AI for Trust and Evidentiary Value</w:t>
      </w:r>
    </w:p>
    <w:p w14:paraId="5F47B69F" w14:textId="77777777" w:rsidR="007D678E" w:rsidRDefault="00000000">
      <w:r>
        <w:t xml:space="preserve">A third theme concerns the interpretability of AI-based security systems. Chamola et al. review the state of trustworthy and explainable AI (XAI), noting that post-hoc explanation techniques such as LIME [15] and SHAP [16] are increasingly used to expose the reasoning behind otherwise opaque model predictions. Within intrusion detection specifically, Zebin et al. apply explainable techniques to a DNS-over-HTTPS attack detector to improve analyst trust in model outputs [17], Wei et al. propose XNIDS, a framework for explaining deep learning-based network intrusion detection to support active intrusion response [11], and Nwakanma et al. review the application of XAI to intrusion detection in connected vehicles, concluding that explainability generally comes </w:t>
      </w:r>
      <w:r>
        <w:lastRenderedPageBreak/>
        <w:t>at a measurable, though often modest, cost to raw detection performance [18]. These studies establish explainability as both technically feasible and increasingly expected, but rarely link it explicitly to forensic or legal evidentiary requirements.</w:t>
      </w:r>
    </w:p>
    <w:p w14:paraId="5D35E021" w14:textId="77777777" w:rsidR="007D678E" w:rsidRPr="002D4289" w:rsidRDefault="00000000">
      <w:pPr>
        <w:pStyle w:val="Heading2"/>
        <w:rPr>
          <w:color w:val="000000" w:themeColor="text1"/>
        </w:rPr>
      </w:pPr>
      <w:r w:rsidRPr="002D4289">
        <w:rPr>
          <w:color w:val="000000" w:themeColor="text1"/>
        </w:rPr>
        <w:t>Synthesis for RQ4: Legal Admissibility and Chain of Custody</w:t>
      </w:r>
    </w:p>
    <w:p w14:paraId="76E4412E" w14:textId="77777777" w:rsidR="007D678E" w:rsidRDefault="00000000">
      <w:r>
        <w:t>A fourth, more recent theme addresses the legal admissibility of digital and AI-derived evidence. Ismail and Ariffin develop a framework for assessing when evidence produced by open-source forensic tools can be considered legally acceptable, emphasising authenticity, reliability, completeness and an unbroken chain of custody [8]. Related commentary highlights that courts increasingly apply reliability tests, such as the Daubert standard, that require forensic techniques to be testable, subject to peer review and generally accepted — criteria that opaque AI models struggle to satisfy without accompanying explanation and documentation. This theme underscores that technical detection capability alone is insufficient; forensic and legal soundness must be engineered into a system from the outset.</w:t>
      </w:r>
    </w:p>
    <w:p w14:paraId="121490D5" w14:textId="51C3BA71" w:rsidR="007D678E" w:rsidRPr="005C1403" w:rsidRDefault="00000000" w:rsidP="005C1403">
      <w:pPr>
        <w:pStyle w:val="Heading2"/>
        <w:rPr>
          <w:color w:val="000000" w:themeColor="text1"/>
        </w:rPr>
      </w:pPr>
      <w:r w:rsidRPr="002D4289">
        <w:rPr>
          <w:color w:val="000000" w:themeColor="text1"/>
        </w:rPr>
        <w:t>Cross-Cutting Synthesis and Identified Gap</w:t>
      </w:r>
    </w:p>
    <w:p w14:paraId="3A0504CF" w14:textId="77777777" w:rsidR="007D678E" w:rsidRPr="002D4289" w:rsidRDefault="00000000">
      <w:pPr>
        <w:pStyle w:val="Heading2"/>
        <w:rPr>
          <w:color w:val="000000" w:themeColor="text1"/>
        </w:rPr>
      </w:pPr>
      <w:r w:rsidRPr="002D4289">
        <w:rPr>
          <w:color w:val="000000" w:themeColor="text1"/>
        </w:rPr>
        <w:t>Limitations of the Review</w:t>
      </w:r>
    </w:p>
    <w:p w14:paraId="6D965356" w14:textId="77777777" w:rsidR="007D678E" w:rsidRDefault="00000000">
      <w:r>
        <w:t>As with any SLR, this review is subject to limitations: single-reviewer screening introduces a risk of selection bias; the database coverage, while spanning the major venues in the field, may have missed relevant work indexed elsewhere (e.g., Scopus-only or non-English sources); and the reliance on published, predominantly positive-result studies may understate the practical difficulties of implementing integrated AI detection-forensics pipelines. These limitations will be mitigated in the dissertation phase through a fully PRISMA-documented search and dual-reviewer screening process.</w:t>
      </w:r>
    </w:p>
    <w:p w14:paraId="3B07F7CA" w14:textId="77777777" w:rsidR="007D678E" w:rsidRDefault="00000000">
      <w:r>
        <w:t>In summary, the reviewed literature confirms strong individual foundations in AI-based threat detection, AI-assisted forensics, explainable AI and evidentiary admissibility, but reveals a clear absence of integrated frameworks that treat detection, explanation and forensic soundness as a single design problem. This proposal responds directly to that gap through the design, development and evaluation of an integrated AI-driven threat detection and digital forensic investigation framework.</w:t>
      </w:r>
    </w:p>
    <w:p w14:paraId="3BB9C970" w14:textId="77777777" w:rsidR="00DB470A" w:rsidRPr="002D4289" w:rsidRDefault="00000000">
      <w:pPr>
        <w:pStyle w:val="Heading1"/>
        <w:rPr>
          <w:color w:val="000000" w:themeColor="text1"/>
        </w:rPr>
      </w:pPr>
      <w:bookmarkStart w:id="8" w:name="_Toc204843510"/>
      <w:r w:rsidRPr="002D4289">
        <w:rPr>
          <w:color w:val="000000" w:themeColor="text1"/>
        </w:rPr>
        <w:t>3. Research Design and Methodology</w:t>
      </w:r>
      <w:bookmarkEnd w:id="8"/>
    </w:p>
    <w:p w14:paraId="6171AB59" w14:textId="77777777" w:rsidR="00DB470A" w:rsidRPr="002D4289" w:rsidRDefault="00000000">
      <w:pPr>
        <w:pStyle w:val="Heading2"/>
        <w:rPr>
          <w:color w:val="000000" w:themeColor="text1"/>
        </w:rPr>
      </w:pPr>
      <w:bookmarkStart w:id="9" w:name="_Toc204843511"/>
      <w:r w:rsidRPr="002D4289">
        <w:rPr>
          <w:color w:val="000000" w:themeColor="text1"/>
        </w:rPr>
        <w:t>3.1 Research Design</w:t>
      </w:r>
      <w:bookmarkEnd w:id="9"/>
    </w:p>
    <w:p w14:paraId="60C7511E" w14:textId="77777777" w:rsidR="007D678E" w:rsidRDefault="00000000">
      <w:r>
        <w:t xml:space="preserve">This research adopts a design science research (DSR) approach, following the guidelines of Hevner et al. [19] and the process model of Peffers et al. [20]. DSR is appropriate because the central research aim is not purely to explain or predict a phenomenon, but to design, build and rigorously evaluate a novel, purposeful artefact — the AI-driven threat detection and digital forensic investigation framework — that solves an identified, practically relevant problem. The DSR process followed in this study comprises: (1) problem identification and motivation, addressed in Section 1; (2) </w:t>
      </w:r>
      <w:r>
        <w:lastRenderedPageBreak/>
        <w:t>definition of objectives for a solution, addressed in Section 1.3; (3) design and development of the artefact (the layered framework and its prototype implementation); (4) demonstration of the artefact using benchmark datasets; (5) evaluation of the artefact against detection-performance and forensic-readiness criteria; and (6) communication of findings. Because the artefact’s detection component is additionally evaluated quantitatively against baseline models, this design incorporates elements of experimental research, making the overall approach a hybrid of DSR and controlled experimentation, appropriate for artefact-oriented cybersecurity research.</w:t>
      </w:r>
    </w:p>
    <w:p w14:paraId="597FD94B" w14:textId="77777777" w:rsidR="00DB470A" w:rsidRPr="002D4289" w:rsidRDefault="00000000">
      <w:pPr>
        <w:pStyle w:val="Heading2"/>
        <w:rPr>
          <w:color w:val="000000" w:themeColor="text1"/>
        </w:rPr>
      </w:pPr>
      <w:bookmarkStart w:id="10" w:name="_Toc204843512"/>
      <w:r w:rsidRPr="002D4289">
        <w:rPr>
          <w:color w:val="000000" w:themeColor="text1"/>
        </w:rPr>
        <w:t>3.2 Research Methods and Materials</w:t>
      </w:r>
      <w:bookmarkEnd w:id="10"/>
    </w:p>
    <w:p w14:paraId="18BFF395" w14:textId="77777777" w:rsidR="007D678E" w:rsidRDefault="00000000">
      <w:r>
        <w:rPr>
          <w:b/>
        </w:rPr>
        <w:t xml:space="preserve">Methods. </w:t>
      </w:r>
      <w:r>
        <w:t>A mixed-methods approach is adopted, combining quantitative and qualitative methods, because the framework must be evaluated on two distinct dimensions that cannot both be captured through a single method: technical detection performance and forensic/legal usability. Quantitative methods are used to measure the prototype’s detection accuracy against established benchmarks, while qualitative methods are used to assess whether the framework’s outputs are usable and trustworthy from a practitioner’s perspective. This combination is appropriate because purely quantitative detection metrics do not capture forensic soundness or explainability quality, while purely qualitative evaluation cannot establish whether the underlying detection engine performs competitively against existing techniques.</w:t>
      </w:r>
    </w:p>
    <w:p w14:paraId="16F04CBC" w14:textId="77777777" w:rsidR="007D678E" w:rsidRDefault="00000000">
      <w:r>
        <w:t>The primary research strategy is software/artefact development, supplemented by an experimental strategy for quantitative evaluation and a small-scale, case-based qualitative evaluation involving practitioner feedback. The prototype will be evaluated experimentally using established, publicly available network intrusion benchmark datasets (e.g., CICIDS2017 and NSL-KDD), which allow controlled, repeatable comparison against baseline detection models under identical conditions. Following prototype development, a short, semi-structured evaluation session will be conducted with a small number (approximately four to six) of cybersecurity or digital forensics practitioners, who will review the framework’s detection alerts, explanations and generated evidence logs against real-world usability and forensic-readiness expectations. This combination of experimental benchmarking and expert practitioner review is appropriate for validating both the technical and forensic dimensions of the artefact.</w:t>
      </w:r>
    </w:p>
    <w:p w14:paraId="1BBC8537" w14:textId="77777777" w:rsidR="007D678E" w:rsidRDefault="00000000">
      <w:r>
        <w:t>The proposed framework follows a three-layer system architecture:</w:t>
      </w:r>
    </w:p>
    <w:p w14:paraId="2A4F5C4F" w14:textId="77777777" w:rsidR="007D678E" w:rsidRDefault="00000000">
      <w:pPr>
        <w:pStyle w:val="ListBullet"/>
      </w:pPr>
      <w:r>
        <w:t>Data acquisition and pre-processing layer: captures and normalises network traffic and system logs from the benchmark datasets, performing feature extraction and cleaning.</w:t>
      </w:r>
    </w:p>
    <w:p w14:paraId="4195078F" w14:textId="77777777" w:rsidR="007D678E" w:rsidRDefault="00000000">
      <w:pPr>
        <w:pStyle w:val="ListBullet"/>
      </w:pPr>
      <w:r>
        <w:t>AI detection and explainability layer: applies a supervised ensemble/deep learning classifier to flag malicious activity, then generates a corresponding explanation for each alert using SHAP [16].</w:t>
      </w:r>
    </w:p>
    <w:p w14:paraId="0D4FD005" w14:textId="77777777" w:rsidR="007D678E" w:rsidRDefault="00000000">
      <w:pPr>
        <w:pStyle w:val="ListBullet"/>
      </w:pPr>
      <w:r>
        <w:t xml:space="preserve">Forensic evidence and chain-of-custody layer: automatically hashes (SHA-256) and timestamps each flagged event, maps it to relevant MITRE ATT&amp;CK techniques, and </w:t>
      </w:r>
      <w:r>
        <w:lastRenderedPageBreak/>
        <w:t>compiles a structured, ISO/IEC 27037-aligned [22] evidence record and investigation report.</w:t>
      </w:r>
    </w:p>
    <w:p w14:paraId="49EC05D7" w14:textId="77777777" w:rsidR="007D678E" w:rsidRDefault="00000000">
      <w:r>
        <w:t>This layered design allows each component to be evaluated independently while demonstrating end-to-end integration from raw traffic to forensically structured output.</w:t>
      </w:r>
    </w:p>
    <w:p w14:paraId="7EA8E184" w14:textId="77777777" w:rsidR="007D678E" w:rsidRDefault="00000000">
      <w:r>
        <w:t>Detection performance will be assessed using accuracy, precision, recall, F1-score, false-positive rate and area under the ROC curve, benchmarked against at least one non-explainable baseline classifier. Explanation quality will be assessed using established XAI evaluation measures, including the consistency and fidelity of SHAP attributions relative to model behaviour. Forensic readiness will be assessed by scoring generated evidence records against an ISO/IEC 27037-derived checklist covering identification, integrity, documentation and preservation criteria [22]. Qualitative feedback from practitioner evaluation sessions will be analysed thematically to identify recurring usability concerns, strengths and suggested improvements.</w:t>
      </w:r>
    </w:p>
    <w:p w14:paraId="2FE0920B" w14:textId="77777777" w:rsidR="007D678E" w:rsidRDefault="00000000">
      <w:r>
        <w:rPr>
          <w:b/>
        </w:rPr>
        <w:t xml:space="preserve">Materials. </w:t>
      </w:r>
      <w:r>
        <w:t>The following data, software and hardware resources will support the study.</w:t>
      </w:r>
    </w:p>
    <w:p w14:paraId="554F8B08" w14:textId="77777777" w:rsidR="007D678E" w:rsidRDefault="00000000">
      <w:r>
        <w:t>Data:</w:t>
      </w:r>
    </w:p>
    <w:p w14:paraId="6795A658" w14:textId="77777777" w:rsidR="007D678E" w:rsidRDefault="00000000">
      <w:pPr>
        <w:pStyle w:val="ListBullet"/>
      </w:pPr>
      <w:r>
        <w:t>Data source and collection: publicly available, pre-labelled network intrusion datasets (e.g., CICIDS2017, NSL-KDD), supplemented by qualitative data collected via short, recorded practitioner evaluation sessions.</w:t>
      </w:r>
    </w:p>
    <w:p w14:paraId="731B6225" w14:textId="77777777" w:rsidR="007D678E" w:rsidRDefault="00000000">
      <w:pPr>
        <w:pStyle w:val="ListBullet"/>
      </w:pPr>
      <w:r>
        <w:t>Justification: benchmark datasets allow reproducible, comparable evaluation of detection performance consistent with prior literature [14], [2], while practitioner sessions provide the contextual, real-world validation that benchmark data alone cannot offer.</w:t>
      </w:r>
    </w:p>
    <w:p w14:paraId="7C912005" w14:textId="77777777" w:rsidR="007D678E" w:rsidRDefault="00000000">
      <w:pPr>
        <w:pStyle w:val="ListBullet"/>
      </w:pPr>
      <w:r>
        <w:t>Ethical considerations: the network datasets are publicly available for research use and contain no personally identifiable information; practitioner sessions will require informed consent, voluntary participation, anonymisation of responses, and formal ethics approval prior to data collection, alongside secure, access-controlled storage of any recordings or transcripts in line with GDPR and institutional data protection policy.</w:t>
      </w:r>
    </w:p>
    <w:p w14:paraId="66866650" w14:textId="77777777" w:rsidR="007D678E" w:rsidRDefault="00000000">
      <w:r>
        <w:t>Software:</w:t>
      </w:r>
    </w:p>
    <w:p w14:paraId="4D0FE6B3" w14:textId="77777777" w:rsidR="007D678E" w:rsidRDefault="00000000">
      <w:pPr>
        <w:pStyle w:val="ListBullet"/>
      </w:pPr>
      <w:r>
        <w:t>Programming and modelling: Python, scikit-learn, TensorFlow/PyTorch.</w:t>
      </w:r>
    </w:p>
    <w:p w14:paraId="7612407C" w14:textId="77777777" w:rsidR="007D678E" w:rsidRDefault="00000000">
      <w:pPr>
        <w:pStyle w:val="ListBullet"/>
      </w:pPr>
      <w:r>
        <w:t>Explainability: SHAP and LIME libraries.</w:t>
      </w:r>
    </w:p>
    <w:p w14:paraId="3540BE9F" w14:textId="77777777" w:rsidR="007D678E" w:rsidRDefault="00000000">
      <w:pPr>
        <w:pStyle w:val="ListBullet"/>
      </w:pPr>
      <w:r>
        <w:t>Network/traffic analysis: Wireshark and Zeek.</w:t>
      </w:r>
    </w:p>
    <w:p w14:paraId="0FDDB10E" w14:textId="77777777" w:rsidR="007D678E" w:rsidRDefault="00000000">
      <w:pPr>
        <w:pStyle w:val="ListBullet"/>
      </w:pPr>
      <w:r>
        <w:t>Integrity and logging: SHA-256 hashing utilities and a lightweight logging/database framework (e.g., SQLite) for the evidence-record store.</w:t>
      </w:r>
    </w:p>
    <w:p w14:paraId="46DE3104" w14:textId="77777777" w:rsidR="007D678E" w:rsidRDefault="00000000">
      <w:pPr>
        <w:pStyle w:val="ListBullet"/>
      </w:pPr>
      <w:r>
        <w:t>Development and documentation: Jupyter Notebook and Git for version control.</w:t>
      </w:r>
    </w:p>
    <w:p w14:paraId="550B3281" w14:textId="77777777" w:rsidR="007D678E" w:rsidRDefault="00000000">
      <w:r>
        <w:t>Hardware:</w:t>
      </w:r>
    </w:p>
    <w:p w14:paraId="299D66B7" w14:textId="77777777" w:rsidR="007D678E" w:rsidRDefault="00000000">
      <w:pPr>
        <w:pStyle w:val="ListBullet"/>
      </w:pPr>
      <w:r>
        <w:t>A GPU-enabled workstation or university high-performance computing (HPC) allocation for model training.</w:t>
      </w:r>
    </w:p>
    <w:p w14:paraId="167A4AE2" w14:textId="77777777" w:rsidR="007D678E" w:rsidRDefault="00000000">
      <w:pPr>
        <w:pStyle w:val="ListBullet"/>
      </w:pPr>
      <w:r>
        <w:lastRenderedPageBreak/>
        <w:t>Cloud compute credits (if required) for scaling experiments beyond local hardware capacity.</w:t>
      </w:r>
    </w:p>
    <w:p w14:paraId="6C976FC1" w14:textId="77777777" w:rsidR="007D678E" w:rsidRDefault="00000000">
      <w:pPr>
        <w:pStyle w:val="ListBullet"/>
      </w:pPr>
      <w:r>
        <w:t>Standard secure storage for datasets, model artefacts and evaluation records.</w:t>
      </w:r>
    </w:p>
    <w:p w14:paraId="08A72D09" w14:textId="77777777" w:rsidR="00DB470A" w:rsidRPr="002D4289" w:rsidRDefault="00000000">
      <w:pPr>
        <w:pStyle w:val="Heading1"/>
        <w:rPr>
          <w:color w:val="000000" w:themeColor="text1"/>
        </w:rPr>
      </w:pPr>
      <w:bookmarkStart w:id="11" w:name="_Toc204843513"/>
      <w:r w:rsidRPr="002D4289">
        <w:rPr>
          <w:color w:val="000000" w:themeColor="text1"/>
        </w:rPr>
        <w:t>4. Expected Outcome</w:t>
      </w:r>
      <w:bookmarkEnd w:id="11"/>
    </w:p>
    <w:p w14:paraId="107777BB" w14:textId="77777777" w:rsidR="007D678E" w:rsidRDefault="00000000">
      <w:r>
        <w:t>The research is expected to produce a working prototype that detects common network intrusion and malware behaviours with accuracy comparable to existing non-explainable baseline classifiers reported in the literature [14], while additionally generating human-interpretable explanations and forensically structured, hash-verified evidence records for each detection event. It is anticipated that the explainability and evidence-logging components will introduce only a modest reduction in raw detection performance relative to a purely accuracy-optimised baseline, consistent with trade-offs reported in prior XAI studies [18].</w:t>
      </w:r>
    </w:p>
    <w:p w14:paraId="52390305" w14:textId="77777777" w:rsidR="007D678E" w:rsidRDefault="00000000">
      <w:r>
        <w:t>If successful, the framework would demonstrate that detection accuracy, explainability and forensic soundness can be pursued simultaneously rather than traded off, offering a theoretical contribution at the intersection of cybersecurity and digital forensics, and a practical contribution in the form of a reusable architecture and evaluation checklist that security operations centres, forensic units and future researchers could adopt or extend [9], [8].</w:t>
      </w:r>
    </w:p>
    <w:p w14:paraId="7035B898" w14:textId="77777777" w:rsidR="007D678E" w:rsidRDefault="00000000">
      <w:r>
        <w:t>Anticipated limitations include the use of benchmark rather than live production traffic, which may not fully capture emerging or adversarial attack behaviour; the small scale of practitioner evaluation, which limits generalisability; jurisdictional variation in legal evidentiary standards, which cannot be exhaustively addressed within the scope of an MSc proposal; and resource constraints limiting the scale of model training.</w:t>
      </w:r>
    </w:p>
    <w:p w14:paraId="57F7A0FE" w14:textId="77777777" w:rsidR="00DB470A" w:rsidRPr="002D4289" w:rsidRDefault="00000000">
      <w:pPr>
        <w:pStyle w:val="Heading1"/>
        <w:rPr>
          <w:color w:val="000000" w:themeColor="text1"/>
        </w:rPr>
      </w:pPr>
      <w:bookmarkStart w:id="12" w:name="_Toc204843514"/>
      <w:r w:rsidRPr="002D4289">
        <w:rPr>
          <w:color w:val="000000" w:themeColor="text1"/>
        </w:rPr>
        <w:t>5. Timeline</w:t>
      </w:r>
      <w:bookmarkEnd w:id="12"/>
    </w:p>
    <w:p w14:paraId="51E82131" w14:textId="77777777" w:rsidR="007D678E" w:rsidRDefault="00000000">
      <w:r>
        <w:t>The project is planned over an eight-month period, structured around the design science research cycle described in Section 3.1. Table 1 summarises the planned phases, activities and indicative milestones.</w:t>
      </w:r>
    </w:p>
    <w:p w14:paraId="514E2460" w14:textId="77777777" w:rsidR="007D678E" w:rsidRDefault="00000000">
      <w:r>
        <w:t>Table 1: Indicative project timeline</w:t>
      </w:r>
    </w:p>
    <w:tbl>
      <w:tblPr>
        <w:tblStyle w:val="TableGrid"/>
        <w:tblW w:w="8640" w:type="dxa"/>
        <w:tblLook w:val="04A0" w:firstRow="1" w:lastRow="0" w:firstColumn="1" w:lastColumn="0" w:noHBand="0" w:noVBand="1"/>
      </w:tblPr>
      <w:tblGrid>
        <w:gridCol w:w="2200"/>
        <w:gridCol w:w="1500"/>
        <w:gridCol w:w="4940"/>
      </w:tblGrid>
      <w:tr w:rsidR="007D678E" w14:paraId="70591D09" w14:textId="77777777">
        <w:tc>
          <w:tcPr>
            <w:tcW w:w="2200" w:type="dxa"/>
            <w:shd w:val="clear" w:color="auto" w:fill="D9D9D9"/>
          </w:tcPr>
          <w:p w14:paraId="3DD64CF8" w14:textId="77777777" w:rsidR="007D678E" w:rsidRDefault="00000000">
            <w:r>
              <w:rPr>
                <w:b/>
              </w:rPr>
              <w:t>Phase</w:t>
            </w:r>
          </w:p>
        </w:tc>
        <w:tc>
          <w:tcPr>
            <w:tcW w:w="1500" w:type="dxa"/>
            <w:shd w:val="clear" w:color="auto" w:fill="D9D9D9"/>
          </w:tcPr>
          <w:p w14:paraId="6153949E" w14:textId="77777777" w:rsidR="007D678E" w:rsidRDefault="00000000">
            <w:r>
              <w:rPr>
                <w:b/>
              </w:rPr>
              <w:t>Timeframe</w:t>
            </w:r>
          </w:p>
        </w:tc>
        <w:tc>
          <w:tcPr>
            <w:tcW w:w="4940" w:type="dxa"/>
            <w:shd w:val="clear" w:color="auto" w:fill="D9D9D9"/>
          </w:tcPr>
          <w:p w14:paraId="5E795906" w14:textId="77777777" w:rsidR="007D678E" w:rsidRDefault="00000000">
            <w:r>
              <w:rPr>
                <w:b/>
              </w:rPr>
              <w:t>Key Activities / Milestones</w:t>
            </w:r>
          </w:p>
        </w:tc>
      </w:tr>
      <w:tr w:rsidR="007D678E" w14:paraId="7F23E926" w14:textId="77777777">
        <w:tc>
          <w:tcPr>
            <w:tcW w:w="2200" w:type="dxa"/>
          </w:tcPr>
          <w:p w14:paraId="25BBC4A7" w14:textId="77777777" w:rsidR="007D678E" w:rsidRDefault="00000000">
            <w:r>
              <w:t>1. Literature review &amp; ethics</w:t>
            </w:r>
          </w:p>
        </w:tc>
        <w:tc>
          <w:tcPr>
            <w:tcW w:w="1500" w:type="dxa"/>
          </w:tcPr>
          <w:p w14:paraId="2F74012D" w14:textId="77777777" w:rsidR="007D678E" w:rsidRDefault="00000000">
            <w:r>
              <w:t>Months 1–2</w:t>
            </w:r>
          </w:p>
        </w:tc>
        <w:tc>
          <w:tcPr>
            <w:tcW w:w="4940" w:type="dxa"/>
          </w:tcPr>
          <w:p w14:paraId="105DF245" w14:textId="77777777" w:rsidR="007D678E" w:rsidRDefault="00000000">
            <w:r>
              <w:t>Complete literature review; submit and obtain ethics approval for practitioner evaluation.</w:t>
            </w:r>
          </w:p>
        </w:tc>
      </w:tr>
      <w:tr w:rsidR="007D678E" w14:paraId="2FFFD4E0" w14:textId="77777777">
        <w:tc>
          <w:tcPr>
            <w:tcW w:w="2200" w:type="dxa"/>
          </w:tcPr>
          <w:p w14:paraId="1FB45DD4" w14:textId="77777777" w:rsidR="007D678E" w:rsidRDefault="00000000">
            <w:r>
              <w:t>2. Architecture design</w:t>
            </w:r>
          </w:p>
        </w:tc>
        <w:tc>
          <w:tcPr>
            <w:tcW w:w="1500" w:type="dxa"/>
          </w:tcPr>
          <w:p w14:paraId="65804DC7" w14:textId="77777777" w:rsidR="007D678E" w:rsidRDefault="00000000">
            <w:r>
              <w:t>Months 2–3</w:t>
            </w:r>
          </w:p>
        </w:tc>
        <w:tc>
          <w:tcPr>
            <w:tcW w:w="4940" w:type="dxa"/>
          </w:tcPr>
          <w:p w14:paraId="0634BB3D" w14:textId="77777777" w:rsidR="007D678E" w:rsidRDefault="00000000">
            <w:r>
              <w:t>Finalise the three-layer framework architecture and evaluation plan.</w:t>
            </w:r>
          </w:p>
        </w:tc>
      </w:tr>
      <w:tr w:rsidR="007D678E" w14:paraId="1250E6E2" w14:textId="77777777">
        <w:tc>
          <w:tcPr>
            <w:tcW w:w="2200" w:type="dxa"/>
          </w:tcPr>
          <w:p w14:paraId="04965452" w14:textId="77777777" w:rsidR="007D678E" w:rsidRDefault="00000000">
            <w:r>
              <w:t>3. Prototype development</w:t>
            </w:r>
          </w:p>
        </w:tc>
        <w:tc>
          <w:tcPr>
            <w:tcW w:w="1500" w:type="dxa"/>
          </w:tcPr>
          <w:p w14:paraId="162D7115" w14:textId="77777777" w:rsidR="007D678E" w:rsidRDefault="00000000">
            <w:r>
              <w:t>Months 3–5</w:t>
            </w:r>
          </w:p>
        </w:tc>
        <w:tc>
          <w:tcPr>
            <w:tcW w:w="4940" w:type="dxa"/>
          </w:tcPr>
          <w:p w14:paraId="6857FB4F" w14:textId="77777777" w:rsidR="007D678E" w:rsidRDefault="00000000">
            <w:r>
              <w:t>Implement detection engine, SHAP-based explainability module and forensic evidence/chain-of-custody logging module.</w:t>
            </w:r>
          </w:p>
        </w:tc>
      </w:tr>
      <w:tr w:rsidR="007D678E" w14:paraId="4E1DC686" w14:textId="77777777">
        <w:tc>
          <w:tcPr>
            <w:tcW w:w="2200" w:type="dxa"/>
          </w:tcPr>
          <w:p w14:paraId="44B63621" w14:textId="77777777" w:rsidR="007D678E" w:rsidRDefault="00000000">
            <w:r>
              <w:lastRenderedPageBreak/>
              <w:t>4. Experimental evaluation</w:t>
            </w:r>
          </w:p>
        </w:tc>
        <w:tc>
          <w:tcPr>
            <w:tcW w:w="1500" w:type="dxa"/>
          </w:tcPr>
          <w:p w14:paraId="1D477B83" w14:textId="77777777" w:rsidR="007D678E" w:rsidRDefault="00000000">
            <w:r>
              <w:t>Months 5–6</w:t>
            </w:r>
          </w:p>
        </w:tc>
        <w:tc>
          <w:tcPr>
            <w:tcW w:w="4940" w:type="dxa"/>
          </w:tcPr>
          <w:p w14:paraId="5A5A1D2A" w14:textId="77777777" w:rsidR="007D678E" w:rsidRDefault="00000000">
            <w:r>
              <w:t>Benchmark detection performance on CICIDS2017/NSL-KDD against baseline models.</w:t>
            </w:r>
          </w:p>
        </w:tc>
      </w:tr>
      <w:tr w:rsidR="007D678E" w14:paraId="700DC266" w14:textId="77777777">
        <w:tc>
          <w:tcPr>
            <w:tcW w:w="2200" w:type="dxa"/>
          </w:tcPr>
          <w:p w14:paraId="6755DC97" w14:textId="77777777" w:rsidR="007D678E" w:rsidRDefault="00000000">
            <w:r>
              <w:t>5. Practitioner evaluation</w:t>
            </w:r>
          </w:p>
        </w:tc>
        <w:tc>
          <w:tcPr>
            <w:tcW w:w="1500" w:type="dxa"/>
          </w:tcPr>
          <w:p w14:paraId="63FC8BDB" w14:textId="77777777" w:rsidR="007D678E" w:rsidRDefault="00000000">
            <w:r>
              <w:t>Months 6–7</w:t>
            </w:r>
          </w:p>
        </w:tc>
        <w:tc>
          <w:tcPr>
            <w:tcW w:w="4940" w:type="dxa"/>
          </w:tcPr>
          <w:p w14:paraId="6A8E4C30" w14:textId="77777777" w:rsidR="007D678E" w:rsidRDefault="00000000">
            <w:r>
              <w:t>Conduct expert evaluation sessions; thematic analysis of qualitative feedback.</w:t>
            </w:r>
          </w:p>
        </w:tc>
      </w:tr>
      <w:tr w:rsidR="007D678E" w14:paraId="2D97FC3E" w14:textId="77777777">
        <w:tc>
          <w:tcPr>
            <w:tcW w:w="2200" w:type="dxa"/>
          </w:tcPr>
          <w:p w14:paraId="5AE7B1A6" w14:textId="77777777" w:rsidR="007D678E" w:rsidRDefault="00000000">
            <w:r>
              <w:t>6. Analysis &amp; write-up</w:t>
            </w:r>
          </w:p>
        </w:tc>
        <w:tc>
          <w:tcPr>
            <w:tcW w:w="1500" w:type="dxa"/>
          </w:tcPr>
          <w:p w14:paraId="05970B0B" w14:textId="77777777" w:rsidR="007D678E" w:rsidRDefault="00000000">
            <w:r>
              <w:t>Months 7–8</w:t>
            </w:r>
          </w:p>
        </w:tc>
        <w:tc>
          <w:tcPr>
            <w:tcW w:w="4940" w:type="dxa"/>
          </w:tcPr>
          <w:p w14:paraId="0E8F6164" w14:textId="77777777" w:rsidR="007D678E" w:rsidRDefault="00000000">
            <w:r>
              <w:t>Consolidate results, finalise recommendations and complete dissertation write-up.</w:t>
            </w:r>
          </w:p>
        </w:tc>
      </w:tr>
    </w:tbl>
    <w:p w14:paraId="3AB491DE" w14:textId="77777777" w:rsidR="007D678E" w:rsidRDefault="007D678E"/>
    <w:p w14:paraId="3C4CC618" w14:textId="77777777" w:rsidR="00DB470A" w:rsidRPr="002D4289" w:rsidRDefault="00000000">
      <w:pPr>
        <w:pStyle w:val="Heading1"/>
        <w:rPr>
          <w:color w:val="000000" w:themeColor="text1"/>
        </w:rPr>
      </w:pPr>
      <w:bookmarkStart w:id="13" w:name="_Toc204843515"/>
      <w:r w:rsidRPr="002D4289">
        <w:rPr>
          <w:color w:val="000000" w:themeColor="text1"/>
        </w:rPr>
        <w:t>6. References</w:t>
      </w:r>
      <w:bookmarkEnd w:id="13"/>
    </w:p>
    <w:p w14:paraId="68585564" w14:textId="77777777" w:rsidR="007D678E" w:rsidRDefault="00000000">
      <w:r>
        <w:t>[1] S. Kaur, D. Gabrijelčič, and T. Klobučar, "Artificial intelligence for cybersecurity: Literature review and future research directions," Inf. Fusion, vol. 97, art. 101804, 2023. [Online]. Available: https://doi.org/10.1016/j.inffus.2023.101804</w:t>
      </w:r>
    </w:p>
    <w:p w14:paraId="1FD0D2E5" w14:textId="77777777" w:rsidR="007D678E" w:rsidRDefault="00000000">
      <w:r>
        <w:t>[2] D. Dasgupta, Z. Akhtar, and S. Sen, "Machine learning in cybersecurity: A comprehensive survey," J. Def. Model. Simul., vol. 19, no. 1, pp. 57–106, 2022. [Online]. Available: https://doi.org/10.1177/1548512920951275</w:t>
      </w:r>
    </w:p>
    <w:p w14:paraId="29374E72" w14:textId="77777777" w:rsidR="007D678E" w:rsidRDefault="00000000">
      <w:r>
        <w:t>[3] A. M. Qadir and A. Varol, "The role of machine learning in digital forensics," in Proc. 2020 8th Int. Symp. Digital Forensics and Security (ISDFS), Beirut, Lebanon, 2020, pp. 1–5. [Online]. Available: https://doi.org/10.1109/ISDFS49300.2020.9116298</w:t>
      </w:r>
    </w:p>
    <w:p w14:paraId="49C9282E" w14:textId="77777777" w:rsidR="007D678E" w:rsidRDefault="00000000">
      <w:r>
        <w:t>[4] P. H. Rughani, "Artificial intelligence-based digital forensics framework," Int. J. Adv. Res. Comput. Sci., vol. 8, no. 8, pp. 10–14, 2017. [Online]. Available: https://doi.org/10.26483/ijarcs.v8i8.4571</w:t>
      </w:r>
    </w:p>
    <w:p w14:paraId="45175277" w14:textId="77777777" w:rsidR="007D678E" w:rsidRDefault="00000000">
      <w:r>
        <w:t>[5] V. Chamola, V. Hassija, A. R. Sulthana, D. Ghosh, D. Dhingra, and B. Sikdar, "A review of trustworthy and explainable artificial intelligence (XAI)," IEEE Access, vol. 11, pp. 78994–79015, 2023. [Online]. Available: https://doi.org/10.1109/ACCESS.2023.3294569</w:t>
      </w:r>
    </w:p>
    <w:p w14:paraId="2AC36C55" w14:textId="77777777" w:rsidR="007D678E" w:rsidRDefault="00000000">
      <w:r>
        <w:t>[6] S. Nanda and R. A. Hansen, "Forensics as a service: Three-tier architecture for cloud-based forensic analysis," in Proc. 2016 15th Int. Symp. Parallel and Distributed Computing (ISPDC), 2016, pp. 178–183. [Online]. Available: https://doi.org/10.1109/ISPDC.2016.31</w:t>
      </w:r>
    </w:p>
    <w:p w14:paraId="261FCF33" w14:textId="77777777" w:rsidR="007D678E" w:rsidRDefault="00000000">
      <w:r>
        <w:t>[7] M. E. Alex and R. Kishore, "Forensics framework for cloud computing," Comput. Electr. Eng., vol. 60, pp. 193–205, 2017. [Online]. Available: https://doi.org/10.1016/j.compeleceng.2017.02.006</w:t>
      </w:r>
    </w:p>
    <w:p w14:paraId="2D5C9498" w14:textId="77777777" w:rsidR="007D678E" w:rsidRDefault="00000000">
      <w:r>
        <w:t>[8] I. Ismail and K. A. Zainol Ariffin, "The admissibility of digital evidence from open-source forensic tools: Development of a framework for legal acceptance," PLOS ONE, vol. 20, no. 9, 2025, doi: 10.1371/journal.pone.0331683. [Online]. Available: https://doi.org/10.1371/journal.pone.0331683</w:t>
      </w:r>
    </w:p>
    <w:p w14:paraId="53BD667B" w14:textId="77777777" w:rsidR="007D678E" w:rsidRDefault="00000000">
      <w:r>
        <w:lastRenderedPageBreak/>
        <w:t>[9] D. Dunsin, M. C. Ghanem, and K. Ouazzane, "The use of artificial intelligence in digital forensics and incident response in a constrained environment," Int. J. Inf. Commun. Eng., vol. 16, no. 8, pp. 280–285, 2022. [Online]. Available: https://repository.londonmet.ac.uk/7708/</w:t>
      </w:r>
    </w:p>
    <w:p w14:paraId="24115FAA" w14:textId="77777777" w:rsidR="007D678E" w:rsidRDefault="00000000">
      <w:r>
        <w:t>[10] K. Hilmand, H. Sarmad, and M. Bakht, "A survey of machine learning applications in digital forensics," Trends Comput. Sci. Inf. Technol., pp. 020–024, 2021. [Online]. Available: https://doi.org/10.17352/tcsit.000034</w:t>
      </w:r>
    </w:p>
    <w:p w14:paraId="498FD493" w14:textId="77777777" w:rsidR="007D678E" w:rsidRDefault="00000000">
      <w:r>
        <w:t>[11] F. Wei, H. Li, Z. Zhao, and H. Hu, "XNIDS: Explaining deep learning-based network intrusion detection systems for active intrusion responses," in Proc. 32nd USENIX Security Symp., Anaheim, CA, USA, 2023. [Online]. Available: https://www.usenix.org/conference/usenixsecurity23/presentation/wei-feng</w:t>
      </w:r>
    </w:p>
    <w:p w14:paraId="2DDAE0BF" w14:textId="77777777" w:rsidR="007D678E" w:rsidRDefault="00000000">
      <w:r>
        <w:t>[12] Y. Wu, J. Ge, and T. Li, AI and Machine Learning for Network and Security Management. Hoboken, NJ, USA: Wiley, 2022. [Online]. Available: https://www.wiley.com/en-us/AI+and+Machine+Learning+for+Network+and+Security+Management-p-9781119835899</w:t>
      </w:r>
    </w:p>
    <w:p w14:paraId="40ECD4F5" w14:textId="77777777" w:rsidR="007D678E" w:rsidRDefault="00000000">
      <w:r>
        <w:t>[13] S. Mahdavifar and A. A. Ghorbani, "Application of deep learning to cybersecurity: A survey," Neurocomputing, vol. 347, pp. 149–176, 2019. [Online]. Available: https://doi.org/10.1016/j.neucom.2019.02.056</w:t>
      </w:r>
    </w:p>
    <w:p w14:paraId="58B27F1D" w14:textId="77777777" w:rsidR="007D678E" w:rsidRDefault="00000000">
      <w:r>
        <w:t>[14] Ö. Aslan, M. Ozkan-Okay, and D. Gupta, "Intelligent behavior-based malware detection system on cloud computing environment," IEEE Access, vol. 9, pp. 83252–83271, 2021. [Online]. Available: https://doi.org/10.1109/ACCESS.2021.3087316</w:t>
      </w:r>
    </w:p>
    <w:p w14:paraId="52C359A5" w14:textId="77777777" w:rsidR="007D678E" w:rsidRDefault="00000000">
      <w:r>
        <w:t>[15] M. T. Ribeiro, S. Singh, and C. Guestrin, "‘Why should I trust you?’: Explaining the predictions of any classifier," in Proc. 22nd ACM SIGKDD Int. Conf. Knowledge Discovery and Data Mining, San Francisco, CA, USA, 2016, pp. 1135–1144. [Online]. Available: https://doi.org/10.1145/2939672.2939778</w:t>
      </w:r>
    </w:p>
    <w:p w14:paraId="2B52EE2D" w14:textId="77777777" w:rsidR="007D678E" w:rsidRDefault="00000000">
      <w:r>
        <w:t>[16] S. M. Lundberg and S.-I. Lee, "A unified approach to interpreting model predictions," in Adv. Neural Inf. Process. Syst. 30 (NeurIPS 2017), Long Beach, CA, USA, 2017, pp. 4765–4774. [Online]. Available: https://papers.nips.cc/paper_files/paper/2017/hash/8a20a8621978632d76c43dfd28b67767-Abstract.html</w:t>
      </w:r>
    </w:p>
    <w:p w14:paraId="27880905" w14:textId="77777777" w:rsidR="007D678E" w:rsidRDefault="00000000">
      <w:r>
        <w:t>[17] T. Zebin, S. Rezvy, and Y. Luo, "An explainable AI-based intrusion detection system for DNS over HTTPS (DoH) attacks," IEEE Trans. Inf. Forensics Security, vol. 17, pp. 2339–2349, 2022. [Online]. Available: https://doi.org/10.1109/TIFS.2022.3183390</w:t>
      </w:r>
    </w:p>
    <w:p w14:paraId="28CEC209" w14:textId="77777777" w:rsidR="007D678E" w:rsidRDefault="00000000">
      <w:r>
        <w:t>[18] C. I. Nwakanma, L. A. C. Ahakonye, J. N. Njoku, J. C. Odirichukwu, S. A. Okolie, C. Uzondu, C. C. Ndubuisi Nweke, and D.-S. Kim, "Explainable artificial intelligence for intrusion detection and mitigation in intelligent connected vehicles: A review," Appl. Sci., vol. 13, no. 3, art. 1252, 2023. [Online]. Available: https://doi.org/10.3390/app13031252</w:t>
      </w:r>
    </w:p>
    <w:p w14:paraId="1EF6961C" w14:textId="77777777" w:rsidR="007D678E" w:rsidRDefault="00000000">
      <w:r>
        <w:lastRenderedPageBreak/>
        <w:t>[19] A. R. Hevner, S. T. March, J. Park, and S. Ram, "Design science in information systems research," MIS Q., vol. 28, no. 1, pp. 75–105, 2004. [Online]. Available: https://doi.org/10.2307/25148625</w:t>
      </w:r>
    </w:p>
    <w:p w14:paraId="74E9648B" w14:textId="77777777" w:rsidR="007D678E" w:rsidRDefault="00000000">
      <w:r>
        <w:t>[20] K. Peffers, T. Tuunanen, M. A. Rothenberger, and S. Chatterjee, "A design science research methodology for information systems research," J. Manag. Inf. Syst., vol. 24, no. 3, pp. 45–77, 2007. [Online]. Available: https://doi.org/10.2753/MIS0742-1222240302</w:t>
      </w:r>
    </w:p>
    <w:p w14:paraId="38C3276D" w14:textId="77777777" w:rsidR="007D678E" w:rsidRDefault="00000000">
      <w:r>
        <w:t>[21] P. Kent, S. Chevalier, T. Grance, and H. Dang, Guide to Integrating Forensic Techniques into Incident Response, NIST Special Publication 800-86, National Institute of Standards and Technology, Gaithersburg, MD, USA, 2006. [Online]. Available: https://csrc.nist.gov/pubs/sp/800/86/final</w:t>
      </w:r>
    </w:p>
    <w:p w14:paraId="31CC4F0C" w14:textId="77777777" w:rsidR="007D678E" w:rsidRDefault="00000000">
      <w:r>
        <w:t>[22] ISO/IEC 27037:2012, Information Technology — Security Techniques — Guidelines for Identification, Collection, Acquisition and Preservation of Digital Evidence, International Organization for Standardization, Geneva, Switzerland, 2012. [Online]. Available: https://www.iso.org/standard/44381.html</w:t>
      </w:r>
    </w:p>
    <w:p w14:paraId="06016005" w14:textId="77777777" w:rsidR="00DB470A" w:rsidRPr="002D4289" w:rsidRDefault="00000000">
      <w:pPr>
        <w:pStyle w:val="Heading1"/>
        <w:rPr>
          <w:color w:val="000000" w:themeColor="text1"/>
        </w:rPr>
      </w:pPr>
      <w:bookmarkStart w:id="14" w:name="_Toc204843516"/>
      <w:r w:rsidRPr="002D4289">
        <w:rPr>
          <w:color w:val="000000" w:themeColor="text1"/>
        </w:rPr>
        <w:t>7. Appendices</w:t>
      </w:r>
      <w:bookmarkEnd w:id="14"/>
    </w:p>
    <w:p w14:paraId="7DCD5F6D" w14:textId="77777777" w:rsidR="007D678E" w:rsidRDefault="00000000">
      <w:r>
        <w:t>No appendices are included at proposal stage. Ethical approval documentation, the practitioner evaluation instrument and detailed dataset schema will be appended to the final dissertation submission.</w:t>
      </w:r>
    </w:p>
    <w:sectPr w:rsidR="007D678E"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B5A32" w14:textId="77777777" w:rsidR="00862418" w:rsidRDefault="00862418" w:rsidP="002F05D2">
      <w:pPr>
        <w:spacing w:after="0" w:line="240" w:lineRule="auto"/>
      </w:pPr>
      <w:r>
        <w:separator/>
      </w:r>
    </w:p>
  </w:endnote>
  <w:endnote w:type="continuationSeparator" w:id="0">
    <w:p w14:paraId="6A057BDC" w14:textId="77777777" w:rsidR="00862418" w:rsidRDefault="00862418" w:rsidP="002F0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9640864"/>
      <w:docPartObj>
        <w:docPartGallery w:val="Page Numbers (Bottom of Page)"/>
        <w:docPartUnique/>
      </w:docPartObj>
    </w:sdtPr>
    <w:sdtEndPr>
      <w:rPr>
        <w:noProof/>
      </w:rPr>
    </w:sdtEndPr>
    <w:sdtContent>
      <w:p w14:paraId="298537C5" w14:textId="4B6264DF" w:rsidR="002F05D2" w:rsidRDefault="002F05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D34F9" w14:textId="77777777" w:rsidR="002F05D2" w:rsidRDefault="002F0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548ED" w14:textId="77777777" w:rsidR="00862418" w:rsidRDefault="00862418" w:rsidP="002F05D2">
      <w:pPr>
        <w:spacing w:after="0" w:line="240" w:lineRule="auto"/>
      </w:pPr>
      <w:r>
        <w:separator/>
      </w:r>
    </w:p>
  </w:footnote>
  <w:footnote w:type="continuationSeparator" w:id="0">
    <w:p w14:paraId="4AB90642" w14:textId="77777777" w:rsidR="00862418" w:rsidRDefault="00862418" w:rsidP="002F0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B41E56FC"/>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ED878FC"/>
    <w:lvl w:ilvl="0">
      <w:start w:val="1"/>
      <w:numFmt w:val="bullet"/>
      <w:pStyle w:val="ListBullet"/>
      <w:lvlText w:val=""/>
      <w:lvlJc w:val="left"/>
      <w:pPr>
        <w:tabs>
          <w:tab w:val="num" w:pos="360"/>
        </w:tabs>
        <w:ind w:left="360" w:hanging="360"/>
      </w:pPr>
      <w:rPr>
        <w:rFonts w:ascii="Symbol" w:hAnsi="Symbol" w:hint="default"/>
      </w:rPr>
    </w:lvl>
  </w:abstractNum>
  <w:num w:numId="1" w16cid:durableId="705369571">
    <w:abstractNumId w:val="8"/>
  </w:num>
  <w:num w:numId="2" w16cid:durableId="1982614603">
    <w:abstractNumId w:val="6"/>
  </w:num>
  <w:num w:numId="3" w16cid:durableId="123089173">
    <w:abstractNumId w:val="5"/>
  </w:num>
  <w:num w:numId="4" w16cid:durableId="1258249774">
    <w:abstractNumId w:val="4"/>
  </w:num>
  <w:num w:numId="5" w16cid:durableId="295186242">
    <w:abstractNumId w:val="7"/>
  </w:num>
  <w:num w:numId="6" w16cid:durableId="1437945818">
    <w:abstractNumId w:val="3"/>
  </w:num>
  <w:num w:numId="7" w16cid:durableId="752969272">
    <w:abstractNumId w:val="2"/>
  </w:num>
  <w:num w:numId="8" w16cid:durableId="946160956">
    <w:abstractNumId w:val="1"/>
  </w:num>
  <w:num w:numId="9" w16cid:durableId="1102144107">
    <w:abstractNumId w:val="0"/>
  </w:num>
  <w:num w:numId="10" w16cid:durableId="1020619313">
    <w:abstractNumId w:val="7"/>
  </w:num>
  <w:num w:numId="11" w16cid:durableId="280693789">
    <w:abstractNumId w:val="7"/>
  </w:num>
  <w:num w:numId="12" w16cid:durableId="7489606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4957"/>
    <w:rsid w:val="0006063C"/>
    <w:rsid w:val="000B6BA4"/>
    <w:rsid w:val="001061A0"/>
    <w:rsid w:val="0015074B"/>
    <w:rsid w:val="002349A9"/>
    <w:rsid w:val="0029639D"/>
    <w:rsid w:val="002D4289"/>
    <w:rsid w:val="002F05D2"/>
    <w:rsid w:val="00326F90"/>
    <w:rsid w:val="004314E8"/>
    <w:rsid w:val="00477039"/>
    <w:rsid w:val="004B6CA4"/>
    <w:rsid w:val="00541DD7"/>
    <w:rsid w:val="005C1403"/>
    <w:rsid w:val="0063087C"/>
    <w:rsid w:val="007D2C94"/>
    <w:rsid w:val="007D678E"/>
    <w:rsid w:val="008236BE"/>
    <w:rsid w:val="00862418"/>
    <w:rsid w:val="009A3348"/>
    <w:rsid w:val="009C34B0"/>
    <w:rsid w:val="00A207A8"/>
    <w:rsid w:val="00AA1D8D"/>
    <w:rsid w:val="00B21935"/>
    <w:rsid w:val="00B47730"/>
    <w:rsid w:val="00B746D0"/>
    <w:rsid w:val="00C40019"/>
    <w:rsid w:val="00CB0664"/>
    <w:rsid w:val="00DB470A"/>
    <w:rsid w:val="00F4652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20C5B5"/>
  <w14:defaultImageDpi w14:val="300"/>
  <w15:docId w15:val="{A39F95A4-8AC0-43ED-BE5D-76762E792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B6CA4"/>
    <w:pPr>
      <w:spacing w:after="100"/>
    </w:pPr>
  </w:style>
  <w:style w:type="paragraph" w:styleId="TOC2">
    <w:name w:val="toc 2"/>
    <w:basedOn w:val="Normal"/>
    <w:next w:val="Normal"/>
    <w:autoRedefine/>
    <w:uiPriority w:val="39"/>
    <w:unhideWhenUsed/>
    <w:rsid w:val="004B6CA4"/>
    <w:pPr>
      <w:spacing w:after="100"/>
      <w:ind w:left="220"/>
    </w:pPr>
  </w:style>
  <w:style w:type="character" w:styleId="Hyperlink">
    <w:name w:val="Hyperlink"/>
    <w:basedOn w:val="DefaultParagraphFont"/>
    <w:uiPriority w:val="99"/>
    <w:unhideWhenUsed/>
    <w:rsid w:val="004B6CA4"/>
    <w:rPr>
      <w:color w:val="0000FF" w:themeColor="hyperlink"/>
      <w:u w:val="single"/>
    </w:rPr>
  </w:style>
  <w:style w:type="paragraph" w:styleId="NormalWeb">
    <w:name w:val="Normal (Web)"/>
    <w:basedOn w:val="Normal"/>
    <w:uiPriority w:val="99"/>
    <w:semiHidden/>
    <w:unhideWhenUsed/>
    <w:rsid w:val="00541DD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15</Pages>
  <Words>5375</Words>
  <Characters>30641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ekram hossain</cp:lastModifiedBy>
  <cp:revision>5</cp:revision>
  <dcterms:created xsi:type="dcterms:W3CDTF">2026-08-14T07:48:00Z</dcterms:created>
  <dcterms:modified xsi:type="dcterms:W3CDTF">2026-08-14T08:35:00Z</dcterms:modified>
  <cp:category/>
</cp:coreProperties>
</file>