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CB2488" w14:textId="235856FD" w:rsidR="00815887" w:rsidRDefault="00815887">
      <w:pPr>
        <w:spacing w:before="200"/>
        <w:jc w:val="center"/>
        <w:rPr>
          <w:b/>
          <w:sz w:val="28"/>
          <w:szCs w:val="28"/>
        </w:rPr>
      </w:pPr>
    </w:p>
    <w:p w14:paraId="30457C0E" w14:textId="77777777" w:rsidR="00815887" w:rsidRDefault="00815887">
      <w:pPr>
        <w:spacing w:before="200"/>
        <w:jc w:val="center"/>
        <w:rPr>
          <w:b/>
          <w:sz w:val="28"/>
          <w:szCs w:val="28"/>
        </w:rPr>
      </w:pPr>
    </w:p>
    <w:p w14:paraId="74B4E84B" w14:textId="77777777" w:rsidR="00815887" w:rsidRDefault="00000000">
      <w:pPr>
        <w:spacing w:before="200"/>
        <w:jc w:val="center"/>
        <w:rPr>
          <w:b/>
          <w:sz w:val="28"/>
          <w:szCs w:val="28"/>
        </w:rPr>
      </w:pPr>
      <w:r>
        <w:rPr>
          <w:b/>
          <w:sz w:val="28"/>
          <w:szCs w:val="28"/>
        </w:rPr>
        <w:t>Programme: BA (Hons) Business Management</w:t>
      </w:r>
    </w:p>
    <w:p w14:paraId="5B4082D3" w14:textId="77777777" w:rsidR="00815887" w:rsidRDefault="00000000">
      <w:pPr>
        <w:spacing w:before="200"/>
        <w:jc w:val="center"/>
        <w:rPr>
          <w:b/>
          <w:sz w:val="28"/>
          <w:szCs w:val="28"/>
        </w:rPr>
      </w:pPr>
      <w:r>
        <w:rPr>
          <w:b/>
          <w:sz w:val="28"/>
          <w:szCs w:val="28"/>
        </w:rPr>
        <w:t>Module: Data Handling and Business Intelligence</w:t>
      </w:r>
    </w:p>
    <w:p w14:paraId="54E7C2FA" w14:textId="77777777" w:rsidR="00815887" w:rsidRDefault="00000000">
      <w:pPr>
        <w:spacing w:before="200"/>
        <w:jc w:val="center"/>
        <w:rPr>
          <w:b/>
          <w:sz w:val="28"/>
          <w:szCs w:val="28"/>
        </w:rPr>
      </w:pPr>
      <w:r>
        <w:rPr>
          <w:b/>
          <w:sz w:val="28"/>
          <w:szCs w:val="28"/>
        </w:rPr>
        <w:t>Module code: LCBB5000</w:t>
      </w:r>
    </w:p>
    <w:p w14:paraId="5A2FC0FE" w14:textId="77777777" w:rsidR="00815887" w:rsidRDefault="00815887">
      <w:pPr>
        <w:spacing w:before="200"/>
        <w:jc w:val="center"/>
        <w:rPr>
          <w:b/>
          <w:sz w:val="28"/>
          <w:szCs w:val="28"/>
        </w:rPr>
      </w:pPr>
    </w:p>
    <w:p w14:paraId="750BB7BF" w14:textId="77777777" w:rsidR="00815887" w:rsidRDefault="00815887">
      <w:pPr>
        <w:spacing w:before="200"/>
        <w:jc w:val="center"/>
        <w:rPr>
          <w:b/>
          <w:sz w:val="28"/>
          <w:szCs w:val="28"/>
        </w:rPr>
      </w:pPr>
    </w:p>
    <w:p w14:paraId="5D9514AB" w14:textId="77777777" w:rsidR="00815887" w:rsidRDefault="00815887">
      <w:pPr>
        <w:spacing w:before="200"/>
        <w:jc w:val="center"/>
        <w:rPr>
          <w:b/>
          <w:sz w:val="28"/>
          <w:szCs w:val="28"/>
        </w:rPr>
      </w:pPr>
    </w:p>
    <w:p w14:paraId="3B46CEBF" w14:textId="77777777" w:rsidR="00815887" w:rsidRDefault="00815887">
      <w:pPr>
        <w:spacing w:before="200"/>
        <w:jc w:val="center"/>
        <w:rPr>
          <w:b/>
          <w:sz w:val="28"/>
          <w:szCs w:val="28"/>
        </w:rPr>
      </w:pPr>
    </w:p>
    <w:p w14:paraId="26763B12" w14:textId="77777777" w:rsidR="00815887" w:rsidRDefault="00815887">
      <w:pPr>
        <w:spacing w:before="200"/>
        <w:jc w:val="center"/>
        <w:rPr>
          <w:b/>
          <w:sz w:val="28"/>
          <w:szCs w:val="28"/>
        </w:rPr>
      </w:pPr>
    </w:p>
    <w:p w14:paraId="20C4F888" w14:textId="77777777" w:rsidR="00815887" w:rsidRDefault="00815887">
      <w:pPr>
        <w:spacing w:before="200"/>
        <w:jc w:val="center"/>
        <w:rPr>
          <w:b/>
          <w:sz w:val="28"/>
          <w:szCs w:val="28"/>
        </w:rPr>
      </w:pPr>
    </w:p>
    <w:p w14:paraId="3F7F4ED3" w14:textId="77777777" w:rsidR="00815887" w:rsidRDefault="00000000">
      <w:pPr>
        <w:spacing w:before="200"/>
        <w:jc w:val="center"/>
        <w:rPr>
          <w:b/>
          <w:sz w:val="28"/>
          <w:szCs w:val="28"/>
        </w:rPr>
      </w:pPr>
      <w:r>
        <w:rPr>
          <w:b/>
          <w:sz w:val="28"/>
          <w:szCs w:val="28"/>
        </w:rPr>
        <w:t>Student name:</w:t>
      </w:r>
    </w:p>
    <w:p w14:paraId="11FFD131" w14:textId="77777777" w:rsidR="003D7831" w:rsidRDefault="00000000">
      <w:pPr>
        <w:spacing w:before="200"/>
        <w:jc w:val="center"/>
        <w:rPr>
          <w:b/>
          <w:sz w:val="28"/>
          <w:szCs w:val="28"/>
        </w:rPr>
      </w:pPr>
      <w:r>
        <w:rPr>
          <w:b/>
          <w:sz w:val="28"/>
          <w:szCs w:val="28"/>
        </w:rPr>
        <w:t>Student ID:</w:t>
      </w:r>
    </w:p>
    <w:p w14:paraId="1E0904CB" w14:textId="7F690B42" w:rsidR="00815887" w:rsidRDefault="003D7831">
      <w:pPr>
        <w:spacing w:before="200"/>
        <w:jc w:val="center"/>
        <w:rPr>
          <w:b/>
          <w:sz w:val="28"/>
          <w:szCs w:val="28"/>
        </w:rPr>
      </w:pPr>
      <w:r>
        <w:br w:type="page"/>
      </w:r>
    </w:p>
    <w:p w14:paraId="5B0997DE" w14:textId="77777777" w:rsidR="00815887" w:rsidRDefault="00000000">
      <w:pPr>
        <w:spacing w:before="200"/>
        <w:jc w:val="center"/>
        <w:rPr>
          <w:b/>
          <w:sz w:val="28"/>
          <w:szCs w:val="28"/>
        </w:rPr>
      </w:pPr>
      <w:r>
        <w:rPr>
          <w:b/>
          <w:sz w:val="28"/>
          <w:szCs w:val="28"/>
        </w:rPr>
        <w:lastRenderedPageBreak/>
        <w:t>Table of Contents</w:t>
      </w:r>
    </w:p>
    <w:p w14:paraId="1A13FB5D" w14:textId="77777777" w:rsidR="00815887" w:rsidRDefault="00815887">
      <w:pPr>
        <w:spacing w:before="200"/>
        <w:jc w:val="center"/>
        <w:rPr>
          <w:b/>
          <w:sz w:val="28"/>
          <w:szCs w:val="28"/>
        </w:rPr>
      </w:pPr>
    </w:p>
    <w:sdt>
      <w:sdtPr>
        <w:id w:val="-544221272"/>
        <w:docPartObj>
          <w:docPartGallery w:val="Table of Contents"/>
          <w:docPartUnique/>
        </w:docPartObj>
      </w:sdtPr>
      <w:sdtContent>
        <w:p w14:paraId="0B9EDEDA" w14:textId="77777777" w:rsidR="00815887" w:rsidRDefault="00815887">
          <w:pPr>
            <w:widowControl w:val="0"/>
            <w:tabs>
              <w:tab w:val="right" w:leader="dot" w:pos="12000"/>
            </w:tabs>
            <w:spacing w:before="200" w:line="240" w:lineRule="auto"/>
            <w:jc w:val="left"/>
            <w:rPr>
              <w:b/>
              <w:color w:val="000000"/>
            </w:rPr>
          </w:pPr>
          <w:r>
            <w:fldChar w:fldCharType="begin"/>
          </w:r>
          <w:r w:rsidR="00000000">
            <w:instrText xml:space="preserve"> TOC \h \u \z \t "Heading 1,1,Heading 2,2,Heading 3,3,Heading 4,4,Heading 5,5,Heading 6,6,"</w:instrText>
          </w:r>
          <w:r>
            <w:fldChar w:fldCharType="separate"/>
          </w:r>
          <w:hyperlink w:anchor="_s0ts7rm3h9jc">
            <w:r>
              <w:rPr>
                <w:b/>
                <w:color w:val="000000"/>
              </w:rPr>
              <w:t>Part 1: Analysis of Room Reservation Price Trends (2017–2021) Using Microsoft Excel</w:t>
            </w:r>
            <w:r>
              <w:rPr>
                <w:b/>
                <w:color w:val="000000"/>
              </w:rPr>
              <w:tab/>
              <w:t>2</w:t>
            </w:r>
          </w:hyperlink>
        </w:p>
        <w:p w14:paraId="68D81048" w14:textId="77777777" w:rsidR="00815887" w:rsidRDefault="00815887">
          <w:pPr>
            <w:widowControl w:val="0"/>
            <w:tabs>
              <w:tab w:val="right" w:leader="dot" w:pos="12000"/>
            </w:tabs>
            <w:spacing w:before="200" w:line="240" w:lineRule="auto"/>
            <w:ind w:left="360"/>
            <w:jc w:val="left"/>
            <w:rPr>
              <w:color w:val="000000"/>
            </w:rPr>
          </w:pPr>
          <w:hyperlink w:anchor="_6jgscn22l88o">
            <w:r>
              <w:rPr>
                <w:color w:val="000000"/>
              </w:rPr>
              <w:t>Introduction</w:t>
            </w:r>
            <w:r>
              <w:rPr>
                <w:color w:val="000000"/>
              </w:rPr>
              <w:tab/>
              <w:t>2</w:t>
            </w:r>
          </w:hyperlink>
        </w:p>
        <w:p w14:paraId="43F5981C" w14:textId="77777777" w:rsidR="00815887" w:rsidRDefault="00815887">
          <w:pPr>
            <w:widowControl w:val="0"/>
            <w:tabs>
              <w:tab w:val="right" w:leader="dot" w:pos="12000"/>
            </w:tabs>
            <w:spacing w:before="200" w:line="240" w:lineRule="auto"/>
            <w:ind w:left="360"/>
            <w:jc w:val="left"/>
            <w:rPr>
              <w:color w:val="000000"/>
            </w:rPr>
          </w:pPr>
          <w:hyperlink w:anchor="_2j3jrhjfepxe">
            <w:r>
              <w:rPr>
                <w:color w:val="000000"/>
              </w:rPr>
              <w:t>Pre-processing the Dataset Using Microsoft Excel</w:t>
            </w:r>
            <w:r>
              <w:rPr>
                <w:color w:val="000000"/>
              </w:rPr>
              <w:tab/>
              <w:t>2</w:t>
            </w:r>
          </w:hyperlink>
        </w:p>
        <w:p w14:paraId="3FD950F9" w14:textId="77777777" w:rsidR="00815887" w:rsidRDefault="00815887">
          <w:pPr>
            <w:widowControl w:val="0"/>
            <w:tabs>
              <w:tab w:val="right" w:leader="dot" w:pos="12000"/>
            </w:tabs>
            <w:spacing w:before="200" w:line="240" w:lineRule="auto"/>
            <w:ind w:left="360"/>
            <w:jc w:val="left"/>
            <w:rPr>
              <w:color w:val="000000"/>
            </w:rPr>
          </w:pPr>
          <w:hyperlink w:anchor="_ujilrw1q0oaw">
            <w:r>
              <w:rPr>
                <w:color w:val="000000"/>
              </w:rPr>
              <w:t>Data Analysis</w:t>
            </w:r>
            <w:r>
              <w:rPr>
                <w:color w:val="000000"/>
              </w:rPr>
              <w:tab/>
              <w:t>3</w:t>
            </w:r>
          </w:hyperlink>
        </w:p>
        <w:p w14:paraId="0F044264" w14:textId="77777777" w:rsidR="00815887" w:rsidRDefault="00815887">
          <w:pPr>
            <w:widowControl w:val="0"/>
            <w:tabs>
              <w:tab w:val="right" w:leader="dot" w:pos="12000"/>
            </w:tabs>
            <w:spacing w:before="200" w:line="240" w:lineRule="auto"/>
            <w:ind w:left="360"/>
            <w:jc w:val="left"/>
            <w:rPr>
              <w:color w:val="000000"/>
            </w:rPr>
          </w:pPr>
          <w:hyperlink w:anchor="_k0ajemjtvkuc">
            <w:r>
              <w:rPr>
                <w:color w:val="000000"/>
              </w:rPr>
              <w:t>Deeper Insights from the Dataset</w:t>
            </w:r>
            <w:r>
              <w:rPr>
                <w:color w:val="000000"/>
              </w:rPr>
              <w:tab/>
              <w:t>5</w:t>
            </w:r>
          </w:hyperlink>
        </w:p>
        <w:p w14:paraId="3173B951" w14:textId="77777777" w:rsidR="00815887" w:rsidRDefault="00815887">
          <w:pPr>
            <w:widowControl w:val="0"/>
            <w:tabs>
              <w:tab w:val="right" w:leader="dot" w:pos="12000"/>
            </w:tabs>
            <w:spacing w:before="200" w:line="240" w:lineRule="auto"/>
            <w:ind w:left="360"/>
            <w:jc w:val="left"/>
            <w:rPr>
              <w:color w:val="000000"/>
            </w:rPr>
          </w:pPr>
          <w:hyperlink w:anchor="_63fnij5oaxn9">
            <w:r>
              <w:rPr>
                <w:color w:val="000000"/>
              </w:rPr>
              <w:t>Excel Functions Demonstrated</w:t>
            </w:r>
            <w:r>
              <w:rPr>
                <w:color w:val="000000"/>
              </w:rPr>
              <w:tab/>
              <w:t>6</w:t>
            </w:r>
          </w:hyperlink>
        </w:p>
        <w:p w14:paraId="3F991ABD" w14:textId="77777777" w:rsidR="00815887" w:rsidRDefault="00815887">
          <w:pPr>
            <w:widowControl w:val="0"/>
            <w:tabs>
              <w:tab w:val="right" w:leader="dot" w:pos="12000"/>
            </w:tabs>
            <w:spacing w:before="200" w:line="240" w:lineRule="auto"/>
            <w:ind w:left="360"/>
            <w:jc w:val="left"/>
            <w:rPr>
              <w:color w:val="000000"/>
            </w:rPr>
          </w:pPr>
          <w:hyperlink w:anchor="_hig48zkhgwbg">
            <w:r>
              <w:rPr>
                <w:color w:val="000000"/>
              </w:rPr>
              <w:t>Data Visualisation</w:t>
            </w:r>
            <w:r>
              <w:rPr>
                <w:color w:val="000000"/>
              </w:rPr>
              <w:tab/>
              <w:t>6</w:t>
            </w:r>
          </w:hyperlink>
        </w:p>
        <w:p w14:paraId="6FA394FB" w14:textId="77777777" w:rsidR="00815887" w:rsidRDefault="00815887">
          <w:pPr>
            <w:widowControl w:val="0"/>
            <w:tabs>
              <w:tab w:val="right" w:leader="dot" w:pos="12000"/>
            </w:tabs>
            <w:spacing w:before="200" w:line="240" w:lineRule="auto"/>
            <w:ind w:left="360"/>
            <w:jc w:val="left"/>
            <w:rPr>
              <w:color w:val="000000"/>
            </w:rPr>
          </w:pPr>
          <w:hyperlink w:anchor="_o044hqcddum5">
            <w:r>
              <w:rPr>
                <w:color w:val="000000"/>
              </w:rPr>
              <w:t>Conclusion</w:t>
            </w:r>
            <w:r>
              <w:rPr>
                <w:color w:val="000000"/>
              </w:rPr>
              <w:tab/>
              <w:t>10</w:t>
            </w:r>
          </w:hyperlink>
        </w:p>
        <w:p w14:paraId="71975698" w14:textId="77777777" w:rsidR="00815887" w:rsidRDefault="00815887">
          <w:pPr>
            <w:widowControl w:val="0"/>
            <w:tabs>
              <w:tab w:val="right" w:leader="dot" w:pos="12000"/>
            </w:tabs>
            <w:spacing w:before="200" w:line="240" w:lineRule="auto"/>
            <w:jc w:val="left"/>
            <w:rPr>
              <w:b/>
              <w:color w:val="000000"/>
            </w:rPr>
          </w:pPr>
          <w:hyperlink w:anchor="_3bk6ifv242rp">
            <w:r>
              <w:rPr>
                <w:b/>
                <w:color w:val="000000"/>
              </w:rPr>
              <w:t>Part 2</w:t>
            </w:r>
            <w:r>
              <w:rPr>
                <w:b/>
                <w:color w:val="000000"/>
              </w:rPr>
              <w:tab/>
              <w:t>11</w:t>
            </w:r>
          </w:hyperlink>
        </w:p>
        <w:p w14:paraId="55E1F755" w14:textId="77777777" w:rsidR="00815887" w:rsidRDefault="00815887">
          <w:pPr>
            <w:widowControl w:val="0"/>
            <w:tabs>
              <w:tab w:val="right" w:leader="dot" w:pos="12000"/>
            </w:tabs>
            <w:spacing w:before="200" w:line="240" w:lineRule="auto"/>
            <w:ind w:left="360"/>
            <w:jc w:val="left"/>
            <w:rPr>
              <w:color w:val="000000"/>
            </w:rPr>
          </w:pPr>
          <w:hyperlink w:anchor="_kr7v526f0yu6">
            <w:r>
              <w:rPr>
                <w:color w:val="000000"/>
              </w:rPr>
              <w:t>Data Analysis Report on Student Performance and Lunch Qualification</w:t>
            </w:r>
            <w:r>
              <w:rPr>
                <w:color w:val="000000"/>
              </w:rPr>
              <w:tab/>
              <w:t>11</w:t>
            </w:r>
          </w:hyperlink>
        </w:p>
        <w:p w14:paraId="58DA6A4B" w14:textId="77777777" w:rsidR="00815887" w:rsidRDefault="00815887">
          <w:pPr>
            <w:widowControl w:val="0"/>
            <w:tabs>
              <w:tab w:val="right" w:leader="dot" w:pos="12000"/>
            </w:tabs>
            <w:spacing w:before="200" w:line="240" w:lineRule="auto"/>
            <w:ind w:left="720"/>
            <w:jc w:val="left"/>
            <w:rPr>
              <w:color w:val="000000"/>
            </w:rPr>
          </w:pPr>
          <w:hyperlink w:anchor="_ewxkozkxyir2">
            <w:r>
              <w:rPr>
                <w:color w:val="000000"/>
              </w:rPr>
              <w:t>Introduction</w:t>
            </w:r>
            <w:r>
              <w:rPr>
                <w:color w:val="000000"/>
              </w:rPr>
              <w:tab/>
              <w:t>11</w:t>
            </w:r>
          </w:hyperlink>
        </w:p>
        <w:p w14:paraId="4E2CA719" w14:textId="77777777" w:rsidR="00815887" w:rsidRDefault="00815887">
          <w:pPr>
            <w:widowControl w:val="0"/>
            <w:tabs>
              <w:tab w:val="right" w:leader="dot" w:pos="12000"/>
            </w:tabs>
            <w:spacing w:before="200" w:line="240" w:lineRule="auto"/>
            <w:ind w:left="720"/>
            <w:jc w:val="left"/>
            <w:rPr>
              <w:color w:val="000000"/>
            </w:rPr>
          </w:pPr>
          <w:hyperlink w:anchor="_99xp07lver7y">
            <w:r>
              <w:rPr>
                <w:color w:val="000000"/>
              </w:rPr>
              <w:t>Methodology</w:t>
            </w:r>
            <w:r>
              <w:rPr>
                <w:color w:val="000000"/>
              </w:rPr>
              <w:tab/>
              <w:t>11</w:t>
            </w:r>
          </w:hyperlink>
        </w:p>
        <w:p w14:paraId="22133A7B" w14:textId="77777777" w:rsidR="00815887" w:rsidRDefault="00815887">
          <w:pPr>
            <w:widowControl w:val="0"/>
            <w:tabs>
              <w:tab w:val="right" w:leader="dot" w:pos="12000"/>
            </w:tabs>
            <w:spacing w:before="200" w:line="240" w:lineRule="auto"/>
            <w:ind w:left="720"/>
            <w:jc w:val="left"/>
            <w:rPr>
              <w:color w:val="000000"/>
            </w:rPr>
          </w:pPr>
          <w:hyperlink w:anchor="_st18ndmkgwwr">
            <w:r>
              <w:rPr>
                <w:color w:val="000000"/>
              </w:rPr>
              <w:t>Results</w:t>
            </w:r>
            <w:r>
              <w:rPr>
                <w:color w:val="000000"/>
              </w:rPr>
              <w:tab/>
              <w:t>12</w:t>
            </w:r>
          </w:hyperlink>
        </w:p>
        <w:p w14:paraId="56B756B3" w14:textId="77777777" w:rsidR="00815887" w:rsidRDefault="00815887">
          <w:pPr>
            <w:widowControl w:val="0"/>
            <w:tabs>
              <w:tab w:val="right" w:leader="dot" w:pos="12000"/>
            </w:tabs>
            <w:spacing w:before="200" w:line="240" w:lineRule="auto"/>
            <w:ind w:left="720"/>
            <w:jc w:val="left"/>
            <w:rPr>
              <w:color w:val="000000"/>
            </w:rPr>
          </w:pPr>
          <w:hyperlink w:anchor="_5xyzb5y2hi6p">
            <w:r>
              <w:rPr>
                <w:color w:val="000000"/>
              </w:rPr>
              <w:t>Conclusion</w:t>
            </w:r>
            <w:r>
              <w:rPr>
                <w:color w:val="000000"/>
              </w:rPr>
              <w:tab/>
              <w:t>17</w:t>
            </w:r>
          </w:hyperlink>
        </w:p>
        <w:p w14:paraId="5285FEF2" w14:textId="77777777" w:rsidR="00815887" w:rsidRDefault="00815887">
          <w:pPr>
            <w:widowControl w:val="0"/>
            <w:tabs>
              <w:tab w:val="right" w:leader="dot" w:pos="12000"/>
            </w:tabs>
            <w:spacing w:before="200" w:line="240" w:lineRule="auto"/>
            <w:ind w:left="360"/>
            <w:jc w:val="left"/>
            <w:rPr>
              <w:color w:val="000000"/>
            </w:rPr>
          </w:pPr>
          <w:hyperlink w:anchor="_48a238xm2u84">
            <w:r>
              <w:rPr>
                <w:color w:val="000000"/>
              </w:rPr>
              <w:t>K-Means Clustering Analysis Using SPSS</w:t>
            </w:r>
            <w:r>
              <w:rPr>
                <w:color w:val="000000"/>
              </w:rPr>
              <w:tab/>
              <w:t>18</w:t>
            </w:r>
          </w:hyperlink>
        </w:p>
        <w:p w14:paraId="799275A8" w14:textId="77777777" w:rsidR="00815887" w:rsidRDefault="00815887">
          <w:pPr>
            <w:widowControl w:val="0"/>
            <w:tabs>
              <w:tab w:val="right" w:leader="dot" w:pos="12000"/>
            </w:tabs>
            <w:spacing w:before="200" w:line="240" w:lineRule="auto"/>
            <w:ind w:left="720"/>
            <w:jc w:val="left"/>
            <w:rPr>
              <w:color w:val="000000"/>
            </w:rPr>
          </w:pPr>
          <w:hyperlink w:anchor="_9zslq2clp4ab">
            <w:r>
              <w:rPr>
                <w:color w:val="000000"/>
              </w:rPr>
              <w:t>Data Preparation</w:t>
            </w:r>
            <w:r>
              <w:rPr>
                <w:color w:val="000000"/>
              </w:rPr>
              <w:tab/>
              <w:t>18</w:t>
            </w:r>
          </w:hyperlink>
        </w:p>
        <w:p w14:paraId="02B8B5E1" w14:textId="77777777" w:rsidR="00815887" w:rsidRDefault="00815887">
          <w:pPr>
            <w:widowControl w:val="0"/>
            <w:tabs>
              <w:tab w:val="right" w:leader="dot" w:pos="12000"/>
            </w:tabs>
            <w:spacing w:before="200" w:line="240" w:lineRule="auto"/>
            <w:ind w:left="720"/>
            <w:jc w:val="left"/>
            <w:rPr>
              <w:color w:val="000000"/>
            </w:rPr>
          </w:pPr>
          <w:hyperlink w:anchor="_wumi25hfzzs0">
            <w:r>
              <w:rPr>
                <w:color w:val="000000"/>
              </w:rPr>
              <w:t>Clustering Setup in SPSS</w:t>
            </w:r>
            <w:r>
              <w:rPr>
                <w:color w:val="000000"/>
              </w:rPr>
              <w:tab/>
              <w:t>18</w:t>
            </w:r>
          </w:hyperlink>
        </w:p>
        <w:p w14:paraId="0326385B" w14:textId="77777777" w:rsidR="00815887" w:rsidRDefault="00815887">
          <w:pPr>
            <w:widowControl w:val="0"/>
            <w:tabs>
              <w:tab w:val="right" w:leader="dot" w:pos="12000"/>
            </w:tabs>
            <w:spacing w:before="200" w:line="240" w:lineRule="auto"/>
            <w:ind w:left="720"/>
            <w:jc w:val="left"/>
            <w:rPr>
              <w:color w:val="000000"/>
            </w:rPr>
          </w:pPr>
          <w:hyperlink w:anchor="_q18fbowsnfdy">
            <w:r>
              <w:rPr>
                <w:color w:val="000000"/>
              </w:rPr>
              <w:t>Results</w:t>
            </w:r>
            <w:r>
              <w:rPr>
                <w:color w:val="000000"/>
              </w:rPr>
              <w:tab/>
              <w:t>20</w:t>
            </w:r>
          </w:hyperlink>
        </w:p>
        <w:p w14:paraId="6C4CB6B4" w14:textId="77777777" w:rsidR="00815887" w:rsidRDefault="00815887">
          <w:pPr>
            <w:widowControl w:val="0"/>
            <w:tabs>
              <w:tab w:val="right" w:leader="dot" w:pos="12000"/>
            </w:tabs>
            <w:spacing w:before="200" w:line="240" w:lineRule="auto"/>
            <w:ind w:left="360"/>
            <w:jc w:val="left"/>
            <w:rPr>
              <w:color w:val="000000"/>
            </w:rPr>
          </w:pPr>
          <w:hyperlink w:anchor="_90yogtinvtk9">
            <w:r>
              <w:rPr>
                <w:color w:val="000000"/>
              </w:rPr>
              <w:t>Common Data Mining and Text Mining Methods in Contemporary Business</w:t>
            </w:r>
            <w:r>
              <w:rPr>
                <w:color w:val="000000"/>
              </w:rPr>
              <w:tab/>
              <w:t>25</w:t>
            </w:r>
          </w:hyperlink>
        </w:p>
        <w:p w14:paraId="5609F858" w14:textId="77777777" w:rsidR="00815887" w:rsidRDefault="00815887">
          <w:pPr>
            <w:widowControl w:val="0"/>
            <w:tabs>
              <w:tab w:val="right" w:leader="dot" w:pos="12000"/>
            </w:tabs>
            <w:spacing w:before="200" w:line="240" w:lineRule="auto"/>
            <w:ind w:left="360"/>
            <w:jc w:val="left"/>
            <w:rPr>
              <w:color w:val="000000"/>
            </w:rPr>
          </w:pPr>
          <w:hyperlink w:anchor="_ryo3wb6x1m12">
            <w:r>
              <w:rPr>
                <w:color w:val="000000"/>
              </w:rPr>
              <w:t>Advantages and Disadvantages of Using SPSS and Excel</w:t>
            </w:r>
            <w:r>
              <w:rPr>
                <w:color w:val="000000"/>
              </w:rPr>
              <w:tab/>
              <w:t>27</w:t>
            </w:r>
          </w:hyperlink>
        </w:p>
        <w:p w14:paraId="57891BF6" w14:textId="77777777" w:rsidR="00815887" w:rsidRDefault="00815887">
          <w:pPr>
            <w:widowControl w:val="0"/>
            <w:tabs>
              <w:tab w:val="right" w:leader="dot" w:pos="12000"/>
            </w:tabs>
            <w:spacing w:before="200" w:line="240" w:lineRule="auto"/>
            <w:jc w:val="left"/>
            <w:rPr>
              <w:b/>
              <w:color w:val="000000"/>
            </w:rPr>
          </w:pPr>
          <w:hyperlink w:anchor="_of5gurqxqs8k">
            <w:r>
              <w:rPr>
                <w:b/>
                <w:color w:val="000000"/>
              </w:rPr>
              <w:t>References</w:t>
            </w:r>
            <w:r>
              <w:rPr>
                <w:b/>
                <w:color w:val="000000"/>
              </w:rPr>
              <w:tab/>
              <w:t>29</w:t>
            </w:r>
          </w:hyperlink>
          <w:r>
            <w:fldChar w:fldCharType="end"/>
          </w:r>
        </w:p>
      </w:sdtContent>
    </w:sdt>
    <w:p w14:paraId="42029DF5" w14:textId="77777777" w:rsidR="00815887" w:rsidRDefault="00000000">
      <w:pPr>
        <w:spacing w:before="200"/>
        <w:jc w:val="center"/>
      </w:pPr>
      <w:r>
        <w:br w:type="page"/>
      </w:r>
    </w:p>
    <w:p w14:paraId="7972A7ED" w14:textId="77777777" w:rsidR="00815887" w:rsidRDefault="00000000">
      <w:pPr>
        <w:pStyle w:val="Heading1"/>
        <w:keepNext w:val="0"/>
        <w:keepLines w:val="0"/>
        <w:spacing w:before="200"/>
      </w:pPr>
      <w:bookmarkStart w:id="0" w:name="_s0ts7rm3h9jc" w:colFirst="0" w:colLast="0"/>
      <w:bookmarkEnd w:id="0"/>
      <w:r>
        <w:lastRenderedPageBreak/>
        <w:t>Part 1: Analysis of Room Reservation Price Trends (2017–2021) Using Microsoft Excel</w:t>
      </w:r>
    </w:p>
    <w:p w14:paraId="3EA12CD4" w14:textId="77777777" w:rsidR="00815887" w:rsidRDefault="00000000">
      <w:pPr>
        <w:pStyle w:val="Heading2"/>
        <w:keepNext w:val="0"/>
        <w:keepLines w:val="0"/>
        <w:spacing w:before="200"/>
      </w:pPr>
      <w:bookmarkStart w:id="1" w:name="_6jgscn22l88o" w:colFirst="0" w:colLast="0"/>
      <w:bookmarkEnd w:id="1"/>
      <w:r>
        <w:t>Introduction</w:t>
      </w:r>
    </w:p>
    <w:p w14:paraId="48419310" w14:textId="77777777" w:rsidR="00815887" w:rsidRPr="004B3A57" w:rsidRDefault="00F26174" w:rsidP="00F26174">
      <w:pPr>
        <w:spacing w:before="200" w:after="240"/>
        <w:rPr>
          <w:lang/>
        </w:rPr>
      </w:pPr>
      <w:r w:rsidRPr="00F26174">
        <w:t>This part of the task includes the analysis of the average hotel room price for the period of 2017-2021, data cleaning, and data visualisation using the Microsoft Excel. Excel is widely used in hospitality analytics due to the functions such as PivotTables and lookup formulas that help in summarising and quality assurance (Lindquist and Sulewski, 2024</w:t>
      </w:r>
      <w:r w:rsidR="004B3A57">
        <w:t>).</w:t>
      </w:r>
    </w:p>
    <w:p w14:paraId="16B3A2AF" w14:textId="77777777" w:rsidR="00815887" w:rsidRDefault="00000000">
      <w:pPr>
        <w:pStyle w:val="Heading2"/>
        <w:spacing w:before="200"/>
      </w:pPr>
      <w:bookmarkStart w:id="2" w:name="_2j3jrhjfepxe" w:colFirst="0" w:colLast="0"/>
      <w:bookmarkEnd w:id="2"/>
      <w:r>
        <w:t>Pre-processing the Dataset Using Microsoft Excel</w:t>
      </w:r>
    </w:p>
    <w:p w14:paraId="0474CD33" w14:textId="77777777" w:rsidR="00815887" w:rsidRDefault="00F26174" w:rsidP="00F26174">
      <w:pPr>
        <w:spacing w:before="200" w:after="240"/>
      </w:pPr>
      <w:r w:rsidRPr="00F26174">
        <w:t xml:space="preserve">First of all, it is necessary to cheque the reliability and validity of the data collected: The hotel reservation dataset has the average prices for six years and is linked to various types of rooms. Upon loading the data in the Excel sheet, the first three columns namely; </w:t>
      </w:r>
      <w:proofErr w:type="spellStart"/>
      <w:r w:rsidRPr="00F26174">
        <w:t>Arrival_year</w:t>
      </w:r>
      <w:proofErr w:type="spellEnd"/>
      <w:r w:rsidRPr="00F26174">
        <w:t xml:space="preserve">, </w:t>
      </w:r>
      <w:proofErr w:type="spellStart"/>
      <w:r w:rsidRPr="00F26174">
        <w:t>Room_type_reserved</w:t>
      </w:r>
      <w:proofErr w:type="spellEnd"/>
      <w:r w:rsidRPr="00F26174">
        <w:t xml:space="preserve"> and Average price were validated. An initial cheque showed that there were no missing or non-numeric data, however, further assessments were made to validate the data. In Microsoft Excel, the IF function was applied to the Average price in order to determine the numeric value of it in order to provide the most precise results of the analysis. The function used was =</w:t>
      </w:r>
      <w:proofErr w:type="gramStart"/>
      <w:r w:rsidRPr="00F26174">
        <w:t>IF(ISNUMBER(</w:t>
      </w:r>
      <w:proofErr w:type="gramEnd"/>
      <w:r w:rsidRPr="00F26174">
        <w:t>[@Average price]), [@Average price], "") This function helped to highlight any outliers by returning a blank where the value was non-numeric (Nelson and Nelson, 2016). The year philtre was done using Excel’s AutoFilter where records from the year 2017 to 2021 only were obtained</w:t>
      </w:r>
      <w:r w:rsidR="004B3A57">
        <w:t>.</w:t>
      </w:r>
    </w:p>
    <w:p w14:paraId="0FF0C4CB" w14:textId="77777777" w:rsidR="00815887" w:rsidRDefault="00000000">
      <w:pPr>
        <w:spacing w:before="200" w:after="240"/>
      </w:pPr>
      <w:r>
        <w:t xml:space="preserve">To harmonise room type labels, XLOOKUP matched each entry against a master lookup table, standardising category names and detecting inconsistencies. For instance, the formula </w:t>
      </w:r>
      <w:r>
        <w:rPr>
          <w:i/>
        </w:rPr>
        <w:t>=XLOOKUP([@Room_type_reserved</w:t>
      </w:r>
      <w:proofErr w:type="gramStart"/>
      <w:r>
        <w:rPr>
          <w:i/>
        </w:rPr>
        <w:t>],LookupArray</w:t>
      </w:r>
      <w:proofErr w:type="gramEnd"/>
      <w:r>
        <w:rPr>
          <w:i/>
        </w:rPr>
        <w:t>,ReturnArray,"Not Found</w:t>
      </w:r>
      <w:proofErr w:type="gramStart"/>
      <w:r>
        <w:rPr>
          <w:i/>
        </w:rPr>
        <w:t xml:space="preserve">")  </w:t>
      </w:r>
      <w:r>
        <w:t>enabled</w:t>
      </w:r>
      <w:proofErr w:type="gramEnd"/>
      <w:r>
        <w:t xml:space="preserve"> swift cross-verification of room type nomenclature (Jelen, 2024).</w:t>
      </w:r>
    </w:p>
    <w:p w14:paraId="22BA5A1E" w14:textId="77777777" w:rsidR="00815887" w:rsidRDefault="00000000">
      <w:pPr>
        <w:spacing w:before="200" w:after="240"/>
      </w:pPr>
      <w:r>
        <w:t>Finally, a structured table was created to support PivotTable generation. Defining the dataset as an Excel Table permitted dynamic range adjustments and facilitated future refreshes, laying a solid foundation for subsequent analysis (Remenyi, Onofrei and English, 2022).</w:t>
      </w:r>
    </w:p>
    <w:p w14:paraId="621FF77B" w14:textId="77777777" w:rsidR="00815887" w:rsidRDefault="00000000">
      <w:pPr>
        <w:spacing w:before="200" w:after="240"/>
      </w:pPr>
      <w:r>
        <w:lastRenderedPageBreak/>
        <w:t>Data structuring included setting up named ranges and preparing the data for Pivot Table analysis. Such pre-processing steps in Excel are critical for error minimization and to enable smooth, automated analysis workflows (Raharjo et al., 2025). Proper pre-processing not only prepares the data but also enhances the validity of subsequent findings.</w:t>
      </w:r>
    </w:p>
    <w:p w14:paraId="7F660791" w14:textId="77777777" w:rsidR="00815887" w:rsidRDefault="00000000">
      <w:pPr>
        <w:pStyle w:val="Heading2"/>
        <w:spacing w:before="200"/>
      </w:pPr>
      <w:bookmarkStart w:id="3" w:name="_ujilrw1q0oaw" w:colFirst="0" w:colLast="0"/>
      <w:bookmarkEnd w:id="3"/>
      <w:r>
        <w:t>Data Analysis</w:t>
      </w:r>
    </w:p>
    <w:p w14:paraId="083D365F" w14:textId="77777777" w:rsidR="00815887" w:rsidRDefault="00000000">
      <w:pPr>
        <w:spacing w:before="200" w:after="240"/>
      </w:pPr>
      <w:r>
        <w:t xml:space="preserve">The primary analytical task involved assessing the year-on-year changes in average room reservation prices. Utilising PivotTables, the average room price for each year from 2017 to 2021 was calculated by setting </w:t>
      </w:r>
      <w:proofErr w:type="spellStart"/>
      <w:r>
        <w:rPr>
          <w:i/>
        </w:rPr>
        <w:t>Arrival_year</w:t>
      </w:r>
      <w:proofErr w:type="spellEnd"/>
      <w:r>
        <w:t xml:space="preserve"> as the row field and </w:t>
      </w:r>
      <w:r>
        <w:rPr>
          <w:i/>
        </w:rPr>
        <w:t>Average price</w:t>
      </w:r>
      <w:r>
        <w:t xml:space="preserve"> as the value field configured to “Average.” </w:t>
      </w:r>
      <w:r>
        <w:rPr>
          <w:noProof/>
        </w:rPr>
        <w:drawing>
          <wp:anchor distT="114300" distB="114300" distL="114300" distR="114300" simplePos="0" relativeHeight="251658240" behindDoc="0" locked="0" layoutInCell="1" hidden="0" allowOverlap="1" wp14:anchorId="62F5C79E" wp14:editId="09F7D11E">
            <wp:simplePos x="0" y="0"/>
            <wp:positionH relativeFrom="column">
              <wp:posOffset>1047750</wp:posOffset>
            </wp:positionH>
            <wp:positionV relativeFrom="paragraph">
              <wp:posOffset>1372146</wp:posOffset>
            </wp:positionV>
            <wp:extent cx="3848100" cy="2246970"/>
            <wp:effectExtent l="0" t="0" r="0" b="0"/>
            <wp:wrapTopAndBottom distT="114300" distB="1143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3848100" cy="2246970"/>
                    </a:xfrm>
                    <a:prstGeom prst="rect">
                      <a:avLst/>
                    </a:prstGeom>
                    <a:ln/>
                  </pic:spPr>
                </pic:pic>
              </a:graphicData>
            </a:graphic>
          </wp:anchor>
        </w:drawing>
      </w:r>
    </w:p>
    <w:p w14:paraId="2F5B952F" w14:textId="77777777" w:rsidR="00815887" w:rsidRDefault="00000000">
      <w:pPr>
        <w:spacing w:before="200" w:after="240"/>
      </w:pPr>
      <w:r>
        <w:t>The resulting summary revealed a rise from $90.05 in 2017 to $106.45 in 2018, corresponding to an 18.20 percent increase. This peak was followed by a decline to $101.78 in 2019 (–4.39 percent), a recovery to $105.34 in 2020 (+3.49 percent), and a modest drop to $101.23 in 2021 (–3.90 percent).</w:t>
      </w:r>
    </w:p>
    <w:p w14:paraId="6776E82A" w14:textId="77777777" w:rsidR="00815887" w:rsidRDefault="00000000">
      <w:pPr>
        <w:spacing w:before="200" w:after="240"/>
      </w:pPr>
      <w:r>
        <w:rPr>
          <w:noProof/>
        </w:rPr>
        <w:lastRenderedPageBreak/>
        <w:drawing>
          <wp:inline distT="114300" distB="114300" distL="114300" distR="114300" wp14:anchorId="031E21C7" wp14:editId="36027369">
            <wp:extent cx="5943600" cy="2006600"/>
            <wp:effectExtent l="0" t="0" r="0" b="0"/>
            <wp:docPr id="1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8"/>
                    <a:srcRect/>
                    <a:stretch>
                      <a:fillRect/>
                    </a:stretch>
                  </pic:blipFill>
                  <pic:spPr>
                    <a:xfrm>
                      <a:off x="0" y="0"/>
                      <a:ext cx="5943600" cy="2006600"/>
                    </a:xfrm>
                    <a:prstGeom prst="rect">
                      <a:avLst/>
                    </a:prstGeom>
                    <a:ln/>
                  </pic:spPr>
                </pic:pic>
              </a:graphicData>
            </a:graphic>
          </wp:inline>
        </w:drawing>
      </w:r>
    </w:p>
    <w:p w14:paraId="57B58705" w14:textId="77777777" w:rsidR="00815887" w:rsidRDefault="00000000">
      <w:pPr>
        <w:spacing w:before="200" w:after="240"/>
      </w:pPr>
      <w:r>
        <w:t xml:space="preserve">The 2018 surge aligns with broader growth in business travel prior to the pandemic, while the 2019 downturn suggests market correction (Mariani and Baggio, 2022). Despite the challenges of COVID-19, the 3.49 percent increase in 2020 underscores the hotel’s pricing resilience—potentially reflecting a shift toward higher-value bookings and stringent cancellation policies that preserved rates (Lvov and </w:t>
      </w:r>
      <w:proofErr w:type="spellStart"/>
      <w:r>
        <w:t>Komppula</w:t>
      </w:r>
      <w:proofErr w:type="spellEnd"/>
      <w:r>
        <w:t>, 2024). The subsequent decrease in 2021 may indicate ongoing demand volatility and competitive price adjustments in response to occupancy fluctuations.</w:t>
      </w:r>
      <w:r>
        <w:rPr>
          <w:noProof/>
        </w:rPr>
        <w:drawing>
          <wp:inline distT="114300" distB="114300" distL="114300" distR="114300" wp14:anchorId="17124BC1" wp14:editId="33F0F5F8">
            <wp:extent cx="5943600" cy="1689100"/>
            <wp:effectExtent l="0" t="0" r="0" b="0"/>
            <wp:docPr id="2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9"/>
                    <a:srcRect/>
                    <a:stretch>
                      <a:fillRect/>
                    </a:stretch>
                  </pic:blipFill>
                  <pic:spPr>
                    <a:xfrm>
                      <a:off x="0" y="0"/>
                      <a:ext cx="5943600" cy="1689100"/>
                    </a:xfrm>
                    <a:prstGeom prst="rect">
                      <a:avLst/>
                    </a:prstGeom>
                    <a:ln/>
                  </pic:spPr>
                </pic:pic>
              </a:graphicData>
            </a:graphic>
          </wp:inline>
        </w:drawing>
      </w:r>
    </w:p>
    <w:p w14:paraId="6A09BD01" w14:textId="77777777" w:rsidR="00815887" w:rsidRDefault="00000000">
      <w:pPr>
        <w:spacing w:before="200" w:after="240"/>
      </w:pPr>
      <w:r>
        <w:rPr>
          <w:noProof/>
        </w:rPr>
        <w:drawing>
          <wp:inline distT="114300" distB="114300" distL="114300" distR="114300" wp14:anchorId="3E18F02E" wp14:editId="5DC2DA51">
            <wp:extent cx="5943600" cy="15621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943600" cy="1562100"/>
                    </a:xfrm>
                    <a:prstGeom prst="rect">
                      <a:avLst/>
                    </a:prstGeom>
                    <a:ln/>
                  </pic:spPr>
                </pic:pic>
              </a:graphicData>
            </a:graphic>
          </wp:inline>
        </w:drawing>
      </w:r>
      <w:r>
        <w:t xml:space="preserve">In addition to year-wise averages, the PivotTable was expanded to include room type segmentation. </w:t>
      </w:r>
      <w:proofErr w:type="spellStart"/>
      <w:r>
        <w:t>Room_Type</w:t>
      </w:r>
      <w:proofErr w:type="spellEnd"/>
      <w:r>
        <w:t xml:space="preserve"> 6 consistently commanded the highest rates, averaging $173.54 across </w:t>
      </w:r>
      <w:r>
        <w:lastRenderedPageBreak/>
        <w:t xml:space="preserve">five years, whereas </w:t>
      </w:r>
      <w:proofErr w:type="spellStart"/>
      <w:r>
        <w:t>Room_Type</w:t>
      </w:r>
      <w:proofErr w:type="spellEnd"/>
      <w:r>
        <w:t xml:space="preserve"> 7 exhibited extreme volatility with a 515.96 percent year-on-year increase from 2017 to 2018, driven by limited supply and targeted premium positioning. </w:t>
      </w:r>
    </w:p>
    <w:p w14:paraId="12A4C8AD" w14:textId="77777777" w:rsidR="00815887" w:rsidRDefault="00000000">
      <w:pPr>
        <w:pStyle w:val="Heading2"/>
        <w:spacing w:before="200"/>
      </w:pPr>
      <w:bookmarkStart w:id="4" w:name="_k0ajemjtvkuc" w:colFirst="0" w:colLast="0"/>
      <w:bookmarkEnd w:id="4"/>
      <w:r>
        <w:t>Deeper Insights from the Dataset</w:t>
      </w:r>
    </w:p>
    <w:p w14:paraId="56B34B3F" w14:textId="77777777" w:rsidR="004B3A57" w:rsidRDefault="004B3A57" w:rsidP="004B3A57">
      <w:pPr>
        <w:spacing w:before="200" w:after="240"/>
      </w:pPr>
      <w:r>
        <w:t>Besides simple price movements, other insights about the guests and the market can be gleaned from the dataset. The number of reservations made 60 or more days prior to the cheque-in date increased in 2020 and 2021, so the analysis of lead time shows that the majority of bookings were made far in advance. This shift to longer planning horizons is a sign of a new generation of travellers who prefer security over the open-ended, and this is probably due to changes in health measures (Remenyi et al., 2022).</w:t>
      </w:r>
    </w:p>
    <w:p w14:paraId="375A84C8" w14:textId="77777777" w:rsidR="004B3A57" w:rsidRDefault="004B3A57" w:rsidP="004B3A57">
      <w:pPr>
        <w:spacing w:before="200" w:after="240"/>
      </w:pPr>
      <w:r w:rsidRPr="004B3A57">
        <w:t>The cancellation rates have risen in 2020, and 37.5% of bookings were cancelled before cheque-in. On the other hand, the cancellations of the 2021 were less than 30 percent indicating that the guests have gained confidence in staying at the hotels and the hotel policies have become more stringent to ensure better revenues for the hotels (Mariani and Baggio, 2022). There were also changes in the occupancy by days of the week: while business travel used to generate higher weekday rates, the occupancy rates for the weekdays and weekends were closer in 2020. This is a diversification of demand as leisure travellers benefited from midweek bookings because of work from home arrangements (Nikolić, 2017).</w:t>
      </w:r>
    </w:p>
    <w:p w14:paraId="26A4BEC8" w14:textId="77777777" w:rsidR="004B3A57" w:rsidRDefault="004B3A57" w:rsidP="004B3A57">
      <w:pPr>
        <w:spacing w:before="200" w:after="240"/>
      </w:pPr>
      <w:r>
        <w:t xml:space="preserve">Room type analysis also supports the concept of strategic differentiation. </w:t>
      </w:r>
      <w:proofErr w:type="spellStart"/>
      <w:r>
        <w:t>Room_Type</w:t>
      </w:r>
      <w:proofErr w:type="spellEnd"/>
      <w:r>
        <w:t xml:space="preserve"> 1 and </w:t>
      </w:r>
      <w:proofErr w:type="spellStart"/>
      <w:r>
        <w:t>Room_Type</w:t>
      </w:r>
      <w:proofErr w:type="spellEnd"/>
      <w:r>
        <w:t xml:space="preserve"> 2 usual categories had only minor variations, while </w:t>
      </w:r>
      <w:proofErr w:type="spellStart"/>
      <w:r>
        <w:t>Room_Type</w:t>
      </w:r>
      <w:proofErr w:type="spellEnd"/>
      <w:r>
        <w:t xml:space="preserve"> 5 and </w:t>
      </w:r>
      <w:proofErr w:type="spellStart"/>
      <w:r>
        <w:t>Room_Type</w:t>
      </w:r>
      <w:proofErr w:type="spellEnd"/>
      <w:r>
        <w:t xml:space="preserve"> 7 which are luxurious categories had large variations that followed promotion strategies and offers that were limited in terms of time. According to the breakdown of market channel, more than 65% of the bookings came from OTAs, which supports the need to establish rate parity policies and channel-specific revenue management (Şentürk, 2012).</w:t>
      </w:r>
    </w:p>
    <w:p w14:paraId="1937B522" w14:textId="77777777" w:rsidR="00815887" w:rsidRDefault="00000000" w:rsidP="004B3A57">
      <w:pPr>
        <w:spacing w:before="200" w:after="240"/>
      </w:pPr>
      <w:r>
        <w:t>Collectively, these insights advise a segmentation approach: maintain stable pricing for core offerings, selectively deploy dynamic pricing for premium suites, and tailor cancellation policies to emerging guest confidence levels. By aligning price strategies with observed booking behaviours, the hotel can optimise yield while nurturing diverse market segments.</w:t>
      </w:r>
    </w:p>
    <w:p w14:paraId="092C8EDB" w14:textId="77777777" w:rsidR="00815887" w:rsidRDefault="00000000">
      <w:pPr>
        <w:pStyle w:val="Heading2"/>
        <w:spacing w:before="200"/>
      </w:pPr>
      <w:bookmarkStart w:id="5" w:name="_63fnij5oaxn9" w:colFirst="0" w:colLast="0"/>
      <w:bookmarkEnd w:id="5"/>
      <w:r>
        <w:lastRenderedPageBreak/>
        <w:t>Excel Functions Demonstrated</w:t>
      </w:r>
    </w:p>
    <w:p w14:paraId="0D710F33" w14:textId="77777777" w:rsidR="00815887" w:rsidRDefault="00000000">
      <w:pPr>
        <w:spacing w:before="200" w:after="240"/>
      </w:pPr>
      <w:r>
        <w:t xml:space="preserve">Microsoft Excel provided a versatile toolkit for managing and </w:t>
      </w:r>
      <w:proofErr w:type="spellStart"/>
      <w:r>
        <w:t>analyzing</w:t>
      </w:r>
      <w:proofErr w:type="spellEnd"/>
      <w:r>
        <w:t xml:space="preserve"> the Hotel Reservation dataset. The Pivot Table function was central to summarizing complex datasets quickly. By setting </w:t>
      </w:r>
      <w:proofErr w:type="spellStart"/>
      <w:r>
        <w:t>Arrival_year</w:t>
      </w:r>
      <w:proofErr w:type="spellEnd"/>
      <w:r>
        <w:t xml:space="preserve"> as the Row field and averaging Average price, trends became immediately apparent. Dynamic pivot capabilities allowed rapid recalculations and scenario analyses, fundamental for hotel revenue management (Jelen, 2024).</w:t>
      </w:r>
    </w:p>
    <w:p w14:paraId="4560CE60" w14:textId="77777777" w:rsidR="00815887" w:rsidRDefault="00000000">
      <w:pPr>
        <w:spacing w:before="200" w:after="240"/>
      </w:pPr>
      <w:r>
        <w:t>The IF function enabled data validation, ensuring that all calculations operated on valid numerical entries, preserving the reliability of analytical outputs (Lindquist and Sulewski, 2024). The VLOOKUP and XLOOKUP functions further enhanced data standardization, minimizing human error and speeding up data processing times.</w:t>
      </w:r>
    </w:p>
    <w:p w14:paraId="2DDA1138" w14:textId="77777777" w:rsidR="00815887" w:rsidRDefault="00000000">
      <w:pPr>
        <w:spacing w:before="200" w:after="240"/>
      </w:pPr>
      <w:r>
        <w:t>Such functionality highlights Excel’s enduring relevance in both academic and operational settings, allowing non-programmers to perform sophisticated analyses (Raharjo et al., 2025).</w:t>
      </w:r>
    </w:p>
    <w:p w14:paraId="21D34ABE" w14:textId="77777777" w:rsidR="00815887" w:rsidRDefault="00000000">
      <w:pPr>
        <w:pStyle w:val="Heading2"/>
        <w:spacing w:before="200"/>
      </w:pPr>
      <w:bookmarkStart w:id="6" w:name="_hig48zkhgwbg" w:colFirst="0" w:colLast="0"/>
      <w:bookmarkEnd w:id="6"/>
      <w:r>
        <w:t>Data Visualisation</w:t>
      </w:r>
    </w:p>
    <w:p w14:paraId="41E713BF" w14:textId="77777777" w:rsidR="00815887" w:rsidRDefault="00000000">
      <w:pPr>
        <w:spacing w:before="200" w:after="240"/>
      </w:pPr>
      <w:r>
        <w:t>Effective visualisation transforms numerical findings into intuitive insights, enabling stakeholders to grasp complex trends at a glance. In this analysis, three primary chart types were constructed within Excel’s native charting engine to illustrate year-on-year price dynamics and room-type variability. First, a single-line chart plotted the overall average room price from 2017 through 2021. By applying a smooth marker-and-line style, trend inflection points—most notably the sharp rise in 2018 and the modest decline in 2021—became immediately apparent. Data labels and a clearly annotated axis ensured that non-technical viewers could interpret percentage changes without ambiguity (Alcaraz-Martinez et al., 2024).</w:t>
      </w:r>
    </w:p>
    <w:p w14:paraId="58ED4D1E" w14:textId="77777777" w:rsidR="00815887" w:rsidRDefault="00000000">
      <w:pPr>
        <w:spacing w:before="200" w:after="240"/>
      </w:pPr>
      <w:r>
        <w:rPr>
          <w:noProof/>
        </w:rPr>
        <w:lastRenderedPageBreak/>
        <w:drawing>
          <wp:inline distT="114300" distB="114300" distL="114300" distR="114300" wp14:anchorId="173E4BD1" wp14:editId="4BEF441A">
            <wp:extent cx="5943600" cy="2469626"/>
            <wp:effectExtent l="0" t="0" r="0" b="0"/>
            <wp:docPr id="13"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1"/>
                    <a:srcRect t="25494"/>
                    <a:stretch>
                      <a:fillRect/>
                    </a:stretch>
                  </pic:blipFill>
                  <pic:spPr>
                    <a:xfrm>
                      <a:off x="0" y="0"/>
                      <a:ext cx="5943600" cy="2469626"/>
                    </a:xfrm>
                    <a:prstGeom prst="rect">
                      <a:avLst/>
                    </a:prstGeom>
                    <a:ln/>
                  </pic:spPr>
                </pic:pic>
              </a:graphicData>
            </a:graphic>
          </wp:inline>
        </w:drawing>
      </w:r>
    </w:p>
    <w:p w14:paraId="22B463B9" w14:textId="77777777" w:rsidR="00815887" w:rsidRDefault="00000000">
      <w:pPr>
        <w:spacing w:before="200" w:after="240"/>
      </w:pPr>
      <w:r>
        <w:t>The bar-chart view presents the hotel’s average room price for each year from 2017 through 2022. Each blue bar corresponds to a calendar year, showing a sharp rise from $90.05 in 2017 to $106.45 in 2018, followed by moderate fluctuations—dipping to $101.78 in 2019, rebounding to $105.34 in 2020, and settling near $101.50 in 2022. A dashed horizontal line marks the overall mean, facilitating quick comparison across years.</w:t>
      </w:r>
    </w:p>
    <w:p w14:paraId="7D62724A" w14:textId="77777777" w:rsidR="00815887" w:rsidRDefault="00000000">
      <w:pPr>
        <w:spacing w:before="200" w:after="240"/>
      </w:pPr>
      <w:r>
        <w:rPr>
          <w:noProof/>
        </w:rPr>
        <w:drawing>
          <wp:inline distT="114300" distB="114300" distL="114300" distR="114300" wp14:anchorId="3514759C" wp14:editId="6CF0A52E">
            <wp:extent cx="5943600" cy="3062288"/>
            <wp:effectExtent l="0" t="0" r="0" b="0"/>
            <wp:docPr id="9"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2"/>
                    <a:srcRect t="27089"/>
                    <a:stretch>
                      <a:fillRect/>
                    </a:stretch>
                  </pic:blipFill>
                  <pic:spPr>
                    <a:xfrm>
                      <a:off x="0" y="0"/>
                      <a:ext cx="5943600" cy="3062288"/>
                    </a:xfrm>
                    <a:prstGeom prst="rect">
                      <a:avLst/>
                    </a:prstGeom>
                    <a:ln/>
                  </pic:spPr>
                </pic:pic>
              </a:graphicData>
            </a:graphic>
          </wp:inline>
        </w:drawing>
      </w:r>
    </w:p>
    <w:p w14:paraId="44C78907" w14:textId="77777777" w:rsidR="00815887" w:rsidRDefault="00000000" w:rsidP="004B3A57">
      <w:r>
        <w:rPr>
          <w:rFonts w:eastAsia="Gungsuh"/>
        </w:rPr>
        <w:t xml:space="preserve">The year-over-year-change chart displays black bars for the percentage shift in average price: a +18.20% jump in 2018, a −4.39% drop in 2019 (as seen in the tooltip), a +3.49% increase in 2020, a −3.90% decline in 2021, and a marginal +0.27% rise in 2022. </w:t>
      </w:r>
    </w:p>
    <w:p w14:paraId="35E0AD08" w14:textId="77777777" w:rsidR="00815887" w:rsidRDefault="00000000" w:rsidP="00F26174">
      <w:pPr>
        <w:spacing w:before="200" w:after="240"/>
      </w:pPr>
      <w:r>
        <w:rPr>
          <w:noProof/>
        </w:rPr>
        <w:lastRenderedPageBreak/>
        <w:drawing>
          <wp:inline distT="114300" distB="114300" distL="114300" distR="114300" wp14:anchorId="66FDC8CC" wp14:editId="310D3A50">
            <wp:extent cx="5943600" cy="2890354"/>
            <wp:effectExtent l="0" t="0" r="0" b="0"/>
            <wp:docPr id="19"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3"/>
                    <a:srcRect t="25780"/>
                    <a:stretch>
                      <a:fillRect/>
                    </a:stretch>
                  </pic:blipFill>
                  <pic:spPr>
                    <a:xfrm>
                      <a:off x="0" y="0"/>
                      <a:ext cx="5943600" cy="2890354"/>
                    </a:xfrm>
                    <a:prstGeom prst="rect">
                      <a:avLst/>
                    </a:prstGeom>
                    <a:ln/>
                  </pic:spPr>
                </pic:pic>
              </a:graphicData>
            </a:graphic>
          </wp:inline>
        </w:drawing>
      </w:r>
      <w:r w:rsidR="004B3A57" w:rsidRPr="004B3A57">
        <w:t>Next, a multi-line chart was created to show the trend of each of the individual room types for which each series was assigned a different line pattern and marker. This segmentation highlighted the fact that there was not much fluctuation in the mid-range categories compared to the high fluctuation in luxury suites. To avoid misalignment of the horizontal axis and to maintain consistency in the chart, the horizontal axis was aligned across all the series using the Excel’s ‘Select Data’ option (Jelen, 2024). The legends were placed outside the plot area to utilise more space on the chart and the tooltips were enabled to use during live demonstration</w:t>
      </w:r>
      <w:r>
        <w:t>.</w:t>
      </w:r>
      <w:r>
        <w:rPr>
          <w:noProof/>
        </w:rPr>
        <w:drawing>
          <wp:inline distT="114300" distB="114300" distL="114300" distR="114300" wp14:anchorId="6382E0BC" wp14:editId="2EF465B0">
            <wp:extent cx="5943600" cy="2843324"/>
            <wp:effectExtent l="0" t="0" r="0" b="0"/>
            <wp:docPr id="1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4"/>
                    <a:srcRect t="39935"/>
                    <a:stretch>
                      <a:fillRect/>
                    </a:stretch>
                  </pic:blipFill>
                  <pic:spPr>
                    <a:xfrm>
                      <a:off x="0" y="0"/>
                      <a:ext cx="5943600" cy="2843324"/>
                    </a:xfrm>
                    <a:prstGeom prst="rect">
                      <a:avLst/>
                    </a:prstGeom>
                    <a:ln/>
                  </pic:spPr>
                </pic:pic>
              </a:graphicData>
            </a:graphic>
          </wp:inline>
        </w:drawing>
      </w:r>
      <w:r w:rsidR="00F26174" w:rsidRPr="00F26174">
        <w:rPr>
          <w:rFonts w:ascii="__GeistSans_Fallback_3a0388" w:hAnsi="__GeistSans_Fallback_3a0388"/>
          <w:color w:val="000000"/>
          <w:bdr w:val="single" w:sz="2" w:space="2" w:color="E5E5E5" w:frame="1"/>
          <w:shd w:val="clear" w:color="auto" w:fill="99FF99"/>
        </w:rPr>
        <w:t xml:space="preserve"> </w:t>
      </w:r>
      <w:r w:rsidR="00F26174" w:rsidRPr="00F26174">
        <w:t xml:space="preserve">Finally, the use of a clustered bar chart was done to show year-on-year percentage changes of a typical </w:t>
      </w:r>
      <w:proofErr w:type="spellStart"/>
      <w:r w:rsidR="00F26174" w:rsidRPr="00F26174">
        <w:t>Room_Type</w:t>
      </w:r>
      <w:proofErr w:type="spellEnd"/>
      <w:r w:rsidR="00F26174" w:rsidRPr="00F26174">
        <w:t xml:space="preserve"> 1 to show incremental changes that can be compared in categories. These were </w:t>
      </w:r>
      <w:r w:rsidR="00F26174" w:rsidRPr="00F26174">
        <w:lastRenderedPageBreak/>
        <w:t>colour coded with green for the increase and red for the decrease in order to have a quick glance of the performance</w:t>
      </w:r>
      <w:r>
        <w:t>.</w:t>
      </w:r>
    </w:p>
    <w:p w14:paraId="075ADD6F" w14:textId="77777777" w:rsidR="00815887" w:rsidRDefault="00000000">
      <w:pPr>
        <w:spacing w:before="200" w:after="240"/>
      </w:pPr>
      <w:r>
        <w:rPr>
          <w:noProof/>
        </w:rPr>
        <w:drawing>
          <wp:inline distT="114300" distB="114300" distL="114300" distR="114300" wp14:anchorId="70EDDF29" wp14:editId="70971A02">
            <wp:extent cx="5943600" cy="2362200"/>
            <wp:effectExtent l="0" t="0" r="0" b="0"/>
            <wp:docPr id="3"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5"/>
                    <a:srcRect t="40527"/>
                    <a:stretch>
                      <a:fillRect/>
                    </a:stretch>
                  </pic:blipFill>
                  <pic:spPr>
                    <a:xfrm>
                      <a:off x="0" y="0"/>
                      <a:ext cx="5943600" cy="2362200"/>
                    </a:xfrm>
                    <a:prstGeom prst="rect">
                      <a:avLst/>
                    </a:prstGeom>
                    <a:ln/>
                  </pic:spPr>
                </pic:pic>
              </a:graphicData>
            </a:graphic>
          </wp:inline>
        </w:drawing>
      </w:r>
    </w:p>
    <w:p w14:paraId="43ED906A" w14:textId="77777777" w:rsidR="00815887" w:rsidRDefault="00815887">
      <w:pPr>
        <w:spacing w:before="200" w:after="240"/>
      </w:pPr>
      <w:bookmarkStart w:id="7" w:name="_o044hqcddum5" w:colFirst="0" w:colLast="0"/>
      <w:bookmarkEnd w:id="7"/>
    </w:p>
    <w:p w14:paraId="0BCA08FB" w14:textId="77777777" w:rsidR="00815887" w:rsidRDefault="00000000">
      <w:pPr>
        <w:spacing w:before="200" w:after="240"/>
      </w:pPr>
      <w:r>
        <w:br w:type="page"/>
      </w:r>
    </w:p>
    <w:p w14:paraId="60C729D2" w14:textId="77777777" w:rsidR="00815887" w:rsidRDefault="00000000">
      <w:pPr>
        <w:pStyle w:val="Heading1"/>
        <w:spacing w:before="200" w:after="240"/>
      </w:pPr>
      <w:bookmarkStart w:id="8" w:name="_3bk6ifv242rp" w:colFirst="0" w:colLast="0"/>
      <w:bookmarkEnd w:id="8"/>
      <w:r>
        <w:lastRenderedPageBreak/>
        <w:t>Part 2</w:t>
      </w:r>
    </w:p>
    <w:p w14:paraId="539C56AC" w14:textId="77777777" w:rsidR="00815887" w:rsidRDefault="00000000">
      <w:pPr>
        <w:pStyle w:val="Heading2"/>
        <w:spacing w:before="200" w:after="240"/>
      </w:pPr>
      <w:bookmarkStart w:id="9" w:name="_kr7v526f0yu6" w:colFirst="0" w:colLast="0"/>
      <w:bookmarkEnd w:id="9"/>
      <w:r>
        <w:t>Data Analysis Report on Student Performance and Lunch Qualification</w:t>
      </w:r>
    </w:p>
    <w:p w14:paraId="2FB5E837" w14:textId="77777777" w:rsidR="00815887" w:rsidRDefault="00000000">
      <w:pPr>
        <w:pStyle w:val="Heading3"/>
        <w:spacing w:before="200"/>
      </w:pPr>
      <w:bookmarkStart w:id="10" w:name="_ewxkozkxyir2" w:colFirst="0" w:colLast="0"/>
      <w:bookmarkEnd w:id="10"/>
      <w:r>
        <w:t>Introduction</w:t>
      </w:r>
    </w:p>
    <w:p w14:paraId="709A56C0" w14:textId="77777777" w:rsidR="00815887" w:rsidRDefault="00000000">
      <w:pPr>
        <w:spacing w:before="200" w:after="240"/>
      </w:pPr>
      <w:r>
        <w:t>This report analyses a survey of 2,133 students to explore how lunch qualification status relates to gender and to performance on pre-tests and post-tests. By comparing central tendency measures and improvements over time, the school aims to identify equity issues and inform targeted interventions.  Microsoft Excel continues to play a pivotal role in the initial data cleaning, visualization, and descriptive statistical analysis stages, making the transition to SPSS more accessible (Guerrero, Guerrero and Rauscher, 2019).</w:t>
      </w:r>
    </w:p>
    <w:p w14:paraId="6BFEFC9B" w14:textId="77777777" w:rsidR="00815887" w:rsidRDefault="00000000">
      <w:pPr>
        <w:pStyle w:val="Heading3"/>
        <w:spacing w:before="200"/>
      </w:pPr>
      <w:bookmarkStart w:id="11" w:name="_99xp07lver7y" w:colFirst="0" w:colLast="0"/>
      <w:bookmarkEnd w:id="11"/>
      <w:r>
        <w:t>Methodology</w:t>
      </w:r>
    </w:p>
    <w:p w14:paraId="302DC610" w14:textId="77777777" w:rsidR="00815887" w:rsidRDefault="00000000">
      <w:pPr>
        <w:spacing w:before="200" w:after="240"/>
      </w:pPr>
      <w:r>
        <w:t xml:space="preserve">Initial data cleansing and aggregation were performed in Excel. Pivot tables were used to compute counts by gender and lunch status, while AVERAGE and MEDIAN formulas generated preliminary measures of central tendency (Remenyi, Onofrei and English, 2022). Charts were created following accessibility guidelines to ensure readability for all stakeholders, including users with low vision (Alcaraz-Martinez et al., 2024). </w:t>
      </w:r>
    </w:p>
    <w:p w14:paraId="6714221C" w14:textId="77777777" w:rsidR="00815887" w:rsidRDefault="00000000">
      <w:pPr>
        <w:pStyle w:val="Heading3"/>
        <w:spacing w:before="200"/>
      </w:pPr>
      <w:bookmarkStart w:id="12" w:name="_14xdwam0o4cg" w:colFirst="0" w:colLast="0"/>
      <w:bookmarkEnd w:id="12"/>
      <w:r>
        <w:br w:type="page"/>
      </w:r>
    </w:p>
    <w:p w14:paraId="0A6D8542" w14:textId="77777777" w:rsidR="00815887" w:rsidRDefault="00000000">
      <w:pPr>
        <w:pStyle w:val="Heading3"/>
        <w:spacing w:before="200"/>
      </w:pPr>
      <w:bookmarkStart w:id="13" w:name="_st18ndmkgwwr" w:colFirst="0" w:colLast="0"/>
      <w:bookmarkEnd w:id="13"/>
      <w:r>
        <w:lastRenderedPageBreak/>
        <w:t>Results</w:t>
      </w:r>
    </w:p>
    <w:p w14:paraId="269DFCD6" w14:textId="77777777" w:rsidR="00815887" w:rsidRDefault="00000000">
      <w:pPr>
        <w:spacing w:before="200" w:after="240"/>
        <w:rPr>
          <w:b/>
          <w:i/>
        </w:rPr>
      </w:pPr>
      <w:r>
        <w:rPr>
          <w:b/>
          <w:i/>
        </w:rPr>
        <w:t>Gender and Lunch Qualification</w:t>
      </w:r>
    </w:p>
    <w:p w14:paraId="15F958A4" w14:textId="77777777" w:rsidR="00815887" w:rsidRDefault="00000000">
      <w:pPr>
        <w:spacing w:before="200" w:after="240"/>
      </w:pPr>
      <w:r>
        <w:t>The sample comprised 1,056 male students (49.5%) and 1,077 female students (50.5%), reflecting near gender parity (Table 1). A total of 918 students (43.0%) qualified for reduced or free lunch, whereas 1,215 (57.0%) did not. Within the qualifying cohort, 463 were male (50.4% of qualifiers) and 455 were female (49.6%). Among non-qualifiers, 593 were male (48.8% of non-qualifiers) and 622 were female (51.2%) (Table 2).</w:t>
      </w:r>
    </w:p>
    <w:p w14:paraId="19CA3637" w14:textId="77777777" w:rsidR="00815887" w:rsidRDefault="00000000">
      <w:pPr>
        <w:spacing w:before="200" w:after="240"/>
        <w:jc w:val="center"/>
      </w:pPr>
      <w:r>
        <w:rPr>
          <w:i/>
        </w:rPr>
        <w:t>Table 1: Gender Distribution</w:t>
      </w:r>
    </w:p>
    <w:tbl>
      <w:tblPr>
        <w:tblStyle w:val="a"/>
        <w:tblW w:w="9300" w:type="dxa"/>
        <w:tblBorders>
          <w:top w:val="nil"/>
          <w:left w:val="nil"/>
          <w:bottom w:val="nil"/>
          <w:right w:val="nil"/>
          <w:insideH w:val="nil"/>
          <w:insideV w:val="nil"/>
        </w:tblBorders>
        <w:tblLayout w:type="fixed"/>
        <w:tblLook w:val="0600" w:firstRow="0" w:lastRow="0" w:firstColumn="0" w:lastColumn="0" w:noHBand="1" w:noVBand="1"/>
      </w:tblPr>
      <w:tblGrid>
        <w:gridCol w:w="2895"/>
        <w:gridCol w:w="2505"/>
        <w:gridCol w:w="3900"/>
      </w:tblGrid>
      <w:tr w:rsidR="00815887" w14:paraId="38700575" w14:textId="77777777">
        <w:trPr>
          <w:trHeight w:val="51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8E9D04" w14:textId="77777777" w:rsidR="00815887" w:rsidRDefault="00000000">
            <w:pPr>
              <w:spacing w:before="200"/>
              <w:jc w:val="center"/>
            </w:pPr>
            <w:r>
              <w:rPr>
                <w:b/>
              </w:rPr>
              <w:t>Gender</w:t>
            </w:r>
          </w:p>
        </w:tc>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2A95C4" w14:textId="77777777" w:rsidR="00815887" w:rsidRDefault="00000000">
            <w:pPr>
              <w:spacing w:before="200"/>
              <w:jc w:val="center"/>
            </w:pPr>
            <w:r>
              <w:rPr>
                <w:b/>
              </w:rPr>
              <w:t>Count</w:t>
            </w:r>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C06F05" w14:textId="77777777" w:rsidR="00815887" w:rsidRDefault="00000000">
            <w:pPr>
              <w:spacing w:before="200"/>
              <w:jc w:val="center"/>
            </w:pPr>
            <w:r>
              <w:rPr>
                <w:b/>
              </w:rPr>
              <w:t>Percentage</w:t>
            </w:r>
          </w:p>
        </w:tc>
      </w:tr>
      <w:tr w:rsidR="00815887" w14:paraId="7D7B3365" w14:textId="77777777">
        <w:trPr>
          <w:trHeight w:val="51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8E300C" w14:textId="77777777" w:rsidR="00815887" w:rsidRDefault="00000000">
            <w:pPr>
              <w:spacing w:before="200"/>
              <w:jc w:val="center"/>
            </w:pPr>
            <w:r>
              <w:t>Male</w:t>
            </w:r>
          </w:p>
        </w:tc>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D60E55" w14:textId="77777777" w:rsidR="00815887" w:rsidRDefault="00000000">
            <w:pPr>
              <w:spacing w:before="200"/>
              <w:jc w:val="center"/>
            </w:pPr>
            <w:r>
              <w:t>1,056</w:t>
            </w:r>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F0A1C7" w14:textId="77777777" w:rsidR="00815887" w:rsidRDefault="00000000">
            <w:pPr>
              <w:spacing w:before="200"/>
              <w:jc w:val="center"/>
            </w:pPr>
            <w:r>
              <w:t>49.5%</w:t>
            </w:r>
          </w:p>
        </w:tc>
      </w:tr>
      <w:tr w:rsidR="00815887" w14:paraId="7F0A1CC4" w14:textId="77777777">
        <w:trPr>
          <w:trHeight w:val="515"/>
        </w:trPr>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6F9D4D" w14:textId="77777777" w:rsidR="00815887" w:rsidRDefault="00000000">
            <w:pPr>
              <w:spacing w:before="200"/>
              <w:jc w:val="center"/>
            </w:pPr>
            <w:r>
              <w:t>Female</w:t>
            </w:r>
          </w:p>
        </w:tc>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F29DAB" w14:textId="77777777" w:rsidR="00815887" w:rsidRDefault="00000000">
            <w:pPr>
              <w:spacing w:before="200"/>
              <w:jc w:val="center"/>
            </w:pPr>
            <w:r>
              <w:t>1,077</w:t>
            </w:r>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9764FD" w14:textId="77777777" w:rsidR="00815887" w:rsidRDefault="00000000">
            <w:pPr>
              <w:spacing w:before="200"/>
              <w:jc w:val="center"/>
            </w:pPr>
            <w:r>
              <w:t>50.5%</w:t>
            </w:r>
          </w:p>
        </w:tc>
      </w:tr>
    </w:tbl>
    <w:p w14:paraId="41FE89C2" w14:textId="77777777" w:rsidR="00815887" w:rsidRDefault="00000000">
      <w:pPr>
        <w:spacing w:before="200" w:after="240"/>
        <w:jc w:val="center"/>
        <w:rPr>
          <w:i/>
        </w:rPr>
      </w:pPr>
      <w:r>
        <w:rPr>
          <w:i/>
          <w:noProof/>
        </w:rPr>
        <w:drawing>
          <wp:inline distT="114300" distB="114300" distL="114300" distR="114300" wp14:anchorId="6FCDB124" wp14:editId="41119A01">
            <wp:extent cx="5943600" cy="3479800"/>
            <wp:effectExtent l="0" t="0" r="0" b="0"/>
            <wp:docPr id="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943600" cy="3479800"/>
                    </a:xfrm>
                    <a:prstGeom prst="rect">
                      <a:avLst/>
                    </a:prstGeom>
                    <a:ln/>
                  </pic:spPr>
                </pic:pic>
              </a:graphicData>
            </a:graphic>
          </wp:inline>
        </w:drawing>
      </w:r>
      <w:r>
        <w:rPr>
          <w:i/>
        </w:rPr>
        <w:t>Table 2: Lunch Qualification by Gender</w:t>
      </w:r>
    </w:p>
    <w:tbl>
      <w:tblPr>
        <w:tblStyle w:val="a0"/>
        <w:tblW w:w="9225" w:type="dxa"/>
        <w:tblBorders>
          <w:top w:val="nil"/>
          <w:left w:val="nil"/>
          <w:bottom w:val="nil"/>
          <w:right w:val="nil"/>
          <w:insideH w:val="nil"/>
          <w:insideV w:val="nil"/>
        </w:tblBorders>
        <w:tblLayout w:type="fixed"/>
        <w:tblLook w:val="0600" w:firstRow="0" w:lastRow="0" w:firstColumn="0" w:lastColumn="0" w:noHBand="1" w:noVBand="1"/>
      </w:tblPr>
      <w:tblGrid>
        <w:gridCol w:w="1905"/>
        <w:gridCol w:w="2130"/>
        <w:gridCol w:w="3750"/>
        <w:gridCol w:w="1440"/>
      </w:tblGrid>
      <w:tr w:rsidR="00815887" w14:paraId="5AEA7BB6" w14:textId="77777777">
        <w:trPr>
          <w:trHeight w:val="515"/>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F7A95F" w14:textId="77777777" w:rsidR="00815887" w:rsidRDefault="00000000">
            <w:pPr>
              <w:spacing w:before="200"/>
              <w:jc w:val="center"/>
            </w:pPr>
            <w:r>
              <w:rPr>
                <w:b/>
              </w:rPr>
              <w:lastRenderedPageBreak/>
              <w:t>Gender</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298FCF" w14:textId="77777777" w:rsidR="00815887" w:rsidRDefault="00000000">
            <w:pPr>
              <w:spacing w:before="200"/>
              <w:jc w:val="center"/>
            </w:pPr>
            <w:r>
              <w:rPr>
                <w:b/>
              </w:rPr>
              <w:t>Qualifies</w:t>
            </w:r>
          </w:p>
        </w:tc>
        <w:tc>
          <w:tcPr>
            <w:tcW w:w="3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7EBA0F" w14:textId="77777777" w:rsidR="00815887" w:rsidRDefault="00000000">
            <w:pPr>
              <w:spacing w:before="200"/>
              <w:jc w:val="center"/>
            </w:pPr>
            <w:r>
              <w:rPr>
                <w:b/>
              </w:rPr>
              <w:t>Does Not Qualify</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B4C4B0" w14:textId="77777777" w:rsidR="00815887" w:rsidRDefault="00000000">
            <w:pPr>
              <w:spacing w:before="200"/>
              <w:jc w:val="center"/>
            </w:pPr>
            <w:r>
              <w:rPr>
                <w:b/>
              </w:rPr>
              <w:t>Total</w:t>
            </w:r>
          </w:p>
        </w:tc>
      </w:tr>
      <w:tr w:rsidR="00815887" w14:paraId="5DD6C0DF" w14:textId="77777777">
        <w:trPr>
          <w:trHeight w:val="515"/>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98E4E8" w14:textId="77777777" w:rsidR="00815887" w:rsidRDefault="00000000">
            <w:pPr>
              <w:spacing w:before="200"/>
              <w:jc w:val="center"/>
            </w:pPr>
            <w:r>
              <w:t>Male</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9298C9" w14:textId="77777777" w:rsidR="00815887" w:rsidRDefault="00000000">
            <w:pPr>
              <w:spacing w:before="200"/>
              <w:jc w:val="center"/>
            </w:pPr>
            <w:r>
              <w:t>463</w:t>
            </w:r>
          </w:p>
        </w:tc>
        <w:tc>
          <w:tcPr>
            <w:tcW w:w="3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FC1E46" w14:textId="77777777" w:rsidR="00815887" w:rsidRDefault="00000000">
            <w:pPr>
              <w:spacing w:before="200"/>
              <w:jc w:val="center"/>
            </w:pPr>
            <w:r>
              <w:t>593</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2259AB" w14:textId="77777777" w:rsidR="00815887" w:rsidRDefault="00000000">
            <w:pPr>
              <w:spacing w:before="200"/>
              <w:jc w:val="center"/>
            </w:pPr>
            <w:r>
              <w:t>1,056</w:t>
            </w:r>
          </w:p>
        </w:tc>
      </w:tr>
      <w:tr w:rsidR="00815887" w14:paraId="73511455" w14:textId="77777777">
        <w:trPr>
          <w:trHeight w:val="515"/>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B21D5B" w14:textId="77777777" w:rsidR="00815887" w:rsidRDefault="00000000">
            <w:pPr>
              <w:spacing w:before="200"/>
              <w:jc w:val="center"/>
            </w:pPr>
            <w:r>
              <w:t>Female</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1CE694" w14:textId="77777777" w:rsidR="00815887" w:rsidRDefault="00000000">
            <w:pPr>
              <w:spacing w:before="200"/>
              <w:jc w:val="center"/>
            </w:pPr>
            <w:r>
              <w:t>455</w:t>
            </w:r>
          </w:p>
        </w:tc>
        <w:tc>
          <w:tcPr>
            <w:tcW w:w="3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C69049" w14:textId="77777777" w:rsidR="00815887" w:rsidRDefault="00000000">
            <w:pPr>
              <w:spacing w:before="200"/>
              <w:jc w:val="center"/>
            </w:pPr>
            <w:r>
              <w:t>622</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9A162A" w14:textId="77777777" w:rsidR="00815887" w:rsidRDefault="00000000">
            <w:pPr>
              <w:spacing w:before="200"/>
              <w:jc w:val="center"/>
            </w:pPr>
            <w:r>
              <w:t>1,077</w:t>
            </w:r>
          </w:p>
        </w:tc>
      </w:tr>
      <w:tr w:rsidR="00815887" w14:paraId="35D8A2C9" w14:textId="77777777">
        <w:trPr>
          <w:trHeight w:val="515"/>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86013C" w14:textId="77777777" w:rsidR="00815887" w:rsidRDefault="00000000">
            <w:pPr>
              <w:spacing w:before="200"/>
              <w:jc w:val="center"/>
            </w:pPr>
            <w:r>
              <w:rPr>
                <w:b/>
              </w:rPr>
              <w:t>Total</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EA141F" w14:textId="77777777" w:rsidR="00815887" w:rsidRDefault="00000000">
            <w:pPr>
              <w:spacing w:before="200"/>
              <w:jc w:val="center"/>
            </w:pPr>
            <w:r>
              <w:rPr>
                <w:b/>
              </w:rPr>
              <w:t>918</w:t>
            </w:r>
          </w:p>
        </w:tc>
        <w:tc>
          <w:tcPr>
            <w:tcW w:w="3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129B05" w14:textId="77777777" w:rsidR="00815887" w:rsidRDefault="00000000">
            <w:pPr>
              <w:spacing w:before="200"/>
              <w:jc w:val="center"/>
            </w:pPr>
            <w:r>
              <w:rPr>
                <w:b/>
              </w:rPr>
              <w:t>1,215</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D1B34F" w14:textId="77777777" w:rsidR="00815887" w:rsidRDefault="00000000">
            <w:pPr>
              <w:spacing w:before="200"/>
              <w:jc w:val="center"/>
            </w:pPr>
            <w:r>
              <w:rPr>
                <w:b/>
              </w:rPr>
              <w:t>2,133</w:t>
            </w:r>
          </w:p>
        </w:tc>
      </w:tr>
    </w:tbl>
    <w:p w14:paraId="52E9BEA1" w14:textId="77777777" w:rsidR="00815887" w:rsidRDefault="00000000">
      <w:pPr>
        <w:spacing w:before="200" w:after="240"/>
        <w:rPr>
          <w:i/>
        </w:rPr>
      </w:pPr>
      <w:r>
        <w:rPr>
          <w:i/>
          <w:noProof/>
        </w:rPr>
        <w:lastRenderedPageBreak/>
        <w:drawing>
          <wp:inline distT="114300" distB="114300" distL="114300" distR="114300" wp14:anchorId="5B4DEFCE" wp14:editId="57F58AB3">
            <wp:extent cx="5943600" cy="2728913"/>
            <wp:effectExtent l="0" t="0" r="0" b="0"/>
            <wp:docPr id="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5943600" cy="2728913"/>
                    </a:xfrm>
                    <a:prstGeom prst="rect">
                      <a:avLst/>
                    </a:prstGeom>
                    <a:ln/>
                  </pic:spPr>
                </pic:pic>
              </a:graphicData>
            </a:graphic>
          </wp:inline>
        </w:drawing>
      </w:r>
      <w:r>
        <w:rPr>
          <w:i/>
          <w:noProof/>
        </w:rPr>
        <w:drawing>
          <wp:inline distT="114300" distB="114300" distL="114300" distR="114300" wp14:anchorId="01D6DF34" wp14:editId="2B3D9021">
            <wp:extent cx="5943600" cy="3378200"/>
            <wp:effectExtent l="0" t="0" r="0" b="0"/>
            <wp:docPr id="1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5943600" cy="3378200"/>
                    </a:xfrm>
                    <a:prstGeom prst="rect">
                      <a:avLst/>
                    </a:prstGeom>
                    <a:ln/>
                  </pic:spPr>
                </pic:pic>
              </a:graphicData>
            </a:graphic>
          </wp:inline>
        </w:drawing>
      </w:r>
    </w:p>
    <w:p w14:paraId="6C42F682" w14:textId="77777777" w:rsidR="00815887" w:rsidRDefault="00000000">
      <w:pPr>
        <w:spacing w:before="200" w:after="240"/>
        <w:rPr>
          <w:b/>
          <w:i/>
        </w:rPr>
      </w:pPr>
      <w:r>
        <w:rPr>
          <w:b/>
          <w:i/>
        </w:rPr>
        <w:t>Performance by Lunch Status</w:t>
      </w:r>
    </w:p>
    <w:p w14:paraId="5FF7D921" w14:textId="77777777" w:rsidR="00815887" w:rsidRDefault="00000000">
      <w:pPr>
        <w:spacing w:before="200" w:after="240"/>
      </w:pPr>
      <w:r>
        <w:t xml:space="preserve">The first major finding is that students who qualify for free/reduced lunch have lower scores on both the pretest and </w:t>
      </w:r>
      <w:proofErr w:type="spellStart"/>
      <w:r>
        <w:t>posttest</w:t>
      </w:r>
      <w:proofErr w:type="spellEnd"/>
      <w:r>
        <w:t xml:space="preserve">. Students who did not qualify had a mean pretest score of 62.29 and a mean </w:t>
      </w:r>
      <w:proofErr w:type="spellStart"/>
      <w:r>
        <w:t>posttest</w:t>
      </w:r>
      <w:proofErr w:type="spellEnd"/>
      <w:r>
        <w:t xml:space="preserve"> score of 74.38. In contrast, students who qualified had a mean pretest score of 45.25 and a </w:t>
      </w:r>
      <w:proofErr w:type="spellStart"/>
      <w:r>
        <w:t>posttest</w:t>
      </w:r>
      <w:proofErr w:type="spellEnd"/>
      <w:r>
        <w:t xml:space="preserve"> score of 57.48. Median scores reflected the same pattern. Using Excel’s built-</w:t>
      </w:r>
      <w:r>
        <w:lastRenderedPageBreak/>
        <w:t>in functions such as AVERAGE and MEDIAN (Remenyi, Onofrei, and English, 2022), this disparity was easily identified and visualized.</w:t>
      </w:r>
    </w:p>
    <w:p w14:paraId="4251A33A" w14:textId="77777777" w:rsidR="00815887" w:rsidRDefault="00000000">
      <w:pPr>
        <w:spacing w:before="200" w:after="240"/>
        <w:jc w:val="center"/>
      </w:pPr>
      <w:r>
        <w:rPr>
          <w:i/>
        </w:rPr>
        <w:t>Table 3: Score Summaries by Lunch Qualification</w:t>
      </w:r>
    </w:p>
    <w:tbl>
      <w:tblPr>
        <w:tblStyle w:val="a1"/>
        <w:tblW w:w="9190" w:type="dxa"/>
        <w:tblBorders>
          <w:top w:val="nil"/>
          <w:left w:val="nil"/>
          <w:bottom w:val="nil"/>
          <w:right w:val="nil"/>
          <w:insideH w:val="nil"/>
          <w:insideV w:val="nil"/>
        </w:tblBorders>
        <w:tblLayout w:type="fixed"/>
        <w:tblLook w:val="0600" w:firstRow="0" w:lastRow="0" w:firstColumn="0" w:lastColumn="0" w:noHBand="1" w:noVBand="1"/>
      </w:tblPr>
      <w:tblGrid>
        <w:gridCol w:w="1940"/>
        <w:gridCol w:w="1670"/>
        <w:gridCol w:w="1865"/>
        <w:gridCol w:w="1760"/>
        <w:gridCol w:w="1955"/>
      </w:tblGrid>
      <w:tr w:rsidR="00815887" w14:paraId="593401E4" w14:textId="77777777">
        <w:trPr>
          <w:trHeight w:val="515"/>
        </w:trPr>
        <w:tc>
          <w:tcPr>
            <w:tcW w:w="1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EFB28C" w14:textId="77777777" w:rsidR="00815887" w:rsidRDefault="00000000">
            <w:pPr>
              <w:spacing w:before="200"/>
              <w:jc w:val="center"/>
            </w:pPr>
            <w:r>
              <w:rPr>
                <w:b/>
              </w:rPr>
              <w:t>Qualification</w:t>
            </w:r>
          </w:p>
        </w:tc>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A193D5" w14:textId="77777777" w:rsidR="00815887" w:rsidRDefault="00000000">
            <w:pPr>
              <w:spacing w:before="200"/>
              <w:jc w:val="center"/>
            </w:pPr>
            <w:r>
              <w:rPr>
                <w:b/>
              </w:rPr>
              <w:t>Mean Pre-test</w:t>
            </w:r>
          </w:p>
        </w:tc>
        <w:tc>
          <w:tcPr>
            <w:tcW w:w="1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B1063B" w14:textId="77777777" w:rsidR="00815887" w:rsidRDefault="00000000">
            <w:pPr>
              <w:spacing w:before="200"/>
              <w:jc w:val="center"/>
            </w:pPr>
            <w:r>
              <w:rPr>
                <w:b/>
              </w:rPr>
              <w:t>Median Pre-test</w:t>
            </w:r>
          </w:p>
        </w:tc>
        <w:tc>
          <w:tcPr>
            <w:tcW w:w="17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48D395" w14:textId="77777777" w:rsidR="00815887" w:rsidRDefault="00000000">
            <w:pPr>
              <w:spacing w:before="200"/>
              <w:jc w:val="center"/>
            </w:pPr>
            <w:r>
              <w:rPr>
                <w:b/>
              </w:rPr>
              <w:t>Mean Post-test</w:t>
            </w:r>
          </w:p>
        </w:tc>
        <w:tc>
          <w:tcPr>
            <w:tcW w:w="1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E9E646" w14:textId="77777777" w:rsidR="00815887" w:rsidRDefault="00000000">
            <w:pPr>
              <w:spacing w:before="200"/>
              <w:jc w:val="center"/>
            </w:pPr>
            <w:r>
              <w:rPr>
                <w:b/>
              </w:rPr>
              <w:t>Median Post-test</w:t>
            </w:r>
          </w:p>
        </w:tc>
      </w:tr>
      <w:tr w:rsidR="00815887" w14:paraId="4DFC36FC" w14:textId="77777777">
        <w:trPr>
          <w:trHeight w:val="515"/>
        </w:trPr>
        <w:tc>
          <w:tcPr>
            <w:tcW w:w="1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396856" w14:textId="77777777" w:rsidR="00815887" w:rsidRDefault="00000000">
            <w:pPr>
              <w:spacing w:before="200"/>
              <w:jc w:val="center"/>
            </w:pPr>
            <w:r>
              <w:t>Does Not Qualify</w:t>
            </w:r>
          </w:p>
        </w:tc>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648349" w14:textId="77777777" w:rsidR="00815887" w:rsidRDefault="00000000">
            <w:pPr>
              <w:spacing w:before="200"/>
              <w:jc w:val="center"/>
            </w:pPr>
            <w:r>
              <w:t>62.29</w:t>
            </w:r>
          </w:p>
        </w:tc>
        <w:tc>
          <w:tcPr>
            <w:tcW w:w="1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0D4B68" w14:textId="77777777" w:rsidR="00815887" w:rsidRDefault="00000000">
            <w:pPr>
              <w:spacing w:before="200"/>
              <w:jc w:val="center"/>
            </w:pPr>
            <w:r>
              <w:t>62.0</w:t>
            </w:r>
          </w:p>
        </w:tc>
        <w:tc>
          <w:tcPr>
            <w:tcW w:w="17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129DFC" w14:textId="77777777" w:rsidR="00815887" w:rsidRDefault="00000000">
            <w:pPr>
              <w:spacing w:before="200"/>
              <w:jc w:val="center"/>
            </w:pPr>
            <w:r>
              <w:t>74.38</w:t>
            </w:r>
          </w:p>
        </w:tc>
        <w:tc>
          <w:tcPr>
            <w:tcW w:w="1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43B824" w14:textId="77777777" w:rsidR="00815887" w:rsidRDefault="00000000">
            <w:pPr>
              <w:spacing w:before="200"/>
              <w:jc w:val="center"/>
            </w:pPr>
            <w:r>
              <w:t>74.0</w:t>
            </w:r>
          </w:p>
        </w:tc>
      </w:tr>
      <w:tr w:rsidR="00815887" w14:paraId="573EBA35" w14:textId="77777777">
        <w:trPr>
          <w:trHeight w:val="515"/>
        </w:trPr>
        <w:tc>
          <w:tcPr>
            <w:tcW w:w="1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D64FC4" w14:textId="77777777" w:rsidR="00815887" w:rsidRDefault="00000000">
            <w:pPr>
              <w:spacing w:before="200"/>
              <w:jc w:val="center"/>
            </w:pPr>
            <w:r>
              <w:t>Qualifies</w:t>
            </w:r>
          </w:p>
        </w:tc>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BEF376" w14:textId="77777777" w:rsidR="00815887" w:rsidRDefault="00000000">
            <w:pPr>
              <w:spacing w:before="200"/>
              <w:jc w:val="center"/>
            </w:pPr>
            <w:r>
              <w:t>45.25</w:t>
            </w:r>
          </w:p>
        </w:tc>
        <w:tc>
          <w:tcPr>
            <w:tcW w:w="1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8EC6DE" w14:textId="77777777" w:rsidR="00815887" w:rsidRDefault="00000000">
            <w:pPr>
              <w:spacing w:before="200"/>
              <w:jc w:val="center"/>
            </w:pPr>
            <w:r>
              <w:t>44.0</w:t>
            </w:r>
          </w:p>
        </w:tc>
        <w:tc>
          <w:tcPr>
            <w:tcW w:w="17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6FF3B0" w14:textId="77777777" w:rsidR="00815887" w:rsidRDefault="00000000">
            <w:pPr>
              <w:spacing w:before="200"/>
              <w:jc w:val="center"/>
            </w:pPr>
            <w:r>
              <w:t>57.48</w:t>
            </w:r>
          </w:p>
        </w:tc>
        <w:tc>
          <w:tcPr>
            <w:tcW w:w="1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E473E5" w14:textId="77777777" w:rsidR="00815887" w:rsidRDefault="00000000">
            <w:pPr>
              <w:spacing w:before="200"/>
              <w:jc w:val="center"/>
            </w:pPr>
            <w:r>
              <w:t>55.0</w:t>
            </w:r>
          </w:p>
        </w:tc>
      </w:tr>
    </w:tbl>
    <w:p w14:paraId="1C7A6EEE" w14:textId="77777777" w:rsidR="00815887" w:rsidRDefault="00000000">
      <w:pPr>
        <w:spacing w:before="200" w:after="240"/>
        <w:rPr>
          <w:b/>
          <w:i/>
        </w:rPr>
      </w:pPr>
      <w:r>
        <w:rPr>
          <w:b/>
          <w:i/>
          <w:noProof/>
        </w:rPr>
        <w:drawing>
          <wp:inline distT="114300" distB="114300" distL="114300" distR="114300" wp14:anchorId="73CF0B58" wp14:editId="68F31924">
            <wp:extent cx="5943600" cy="3582553"/>
            <wp:effectExtent l="0" t="0" r="0" b="0"/>
            <wp:docPr id="1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9"/>
                    <a:srcRect/>
                    <a:stretch>
                      <a:fillRect/>
                    </a:stretch>
                  </pic:blipFill>
                  <pic:spPr>
                    <a:xfrm>
                      <a:off x="0" y="0"/>
                      <a:ext cx="5943600" cy="3582553"/>
                    </a:xfrm>
                    <a:prstGeom prst="rect">
                      <a:avLst/>
                    </a:prstGeom>
                    <a:ln/>
                  </pic:spPr>
                </pic:pic>
              </a:graphicData>
            </a:graphic>
          </wp:inline>
        </w:drawing>
      </w:r>
    </w:p>
    <w:p w14:paraId="1FFE6014" w14:textId="77777777" w:rsidR="00815887" w:rsidRDefault="00000000">
      <w:pPr>
        <w:spacing w:before="200" w:after="240"/>
        <w:rPr>
          <w:b/>
          <w:i/>
        </w:rPr>
      </w:pPr>
      <w:r>
        <w:rPr>
          <w:b/>
          <w:i/>
          <w:noProof/>
        </w:rPr>
        <w:lastRenderedPageBreak/>
        <w:drawing>
          <wp:inline distT="114300" distB="114300" distL="114300" distR="114300" wp14:anchorId="511862C1" wp14:editId="2F915670">
            <wp:extent cx="5943600" cy="3213100"/>
            <wp:effectExtent l="0" t="0" r="0" b="0"/>
            <wp:docPr id="1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0"/>
                    <a:srcRect/>
                    <a:stretch>
                      <a:fillRect/>
                    </a:stretch>
                  </pic:blipFill>
                  <pic:spPr>
                    <a:xfrm>
                      <a:off x="0" y="0"/>
                      <a:ext cx="5943600" cy="3213100"/>
                    </a:xfrm>
                    <a:prstGeom prst="rect">
                      <a:avLst/>
                    </a:prstGeom>
                    <a:ln/>
                  </pic:spPr>
                </pic:pic>
              </a:graphicData>
            </a:graphic>
          </wp:inline>
        </w:drawing>
      </w:r>
    </w:p>
    <w:p w14:paraId="7CB89AE8" w14:textId="77777777" w:rsidR="00815887" w:rsidRDefault="00000000">
      <w:pPr>
        <w:spacing w:before="200" w:after="240"/>
        <w:rPr>
          <w:b/>
          <w:i/>
        </w:rPr>
      </w:pPr>
      <w:r>
        <w:rPr>
          <w:b/>
          <w:i/>
        </w:rPr>
        <w:t>Improvement from Pre-test to Post-test</w:t>
      </w:r>
    </w:p>
    <w:p w14:paraId="511BA699" w14:textId="77777777" w:rsidR="00815887" w:rsidRDefault="00000000">
      <w:pPr>
        <w:spacing w:before="200" w:after="240"/>
      </w:pPr>
      <w:r>
        <w:t xml:space="preserve">The second major finding is that both groups showed similar improvements, with an average gain of approximately 12 points from pretest to </w:t>
      </w:r>
      <w:proofErr w:type="spellStart"/>
      <w:r>
        <w:t>posttest</w:t>
      </w:r>
      <w:proofErr w:type="spellEnd"/>
      <w:r>
        <w:t>. Female students improved by an average of 12.16 points, while male students improved by 12.13 points. The similarity in score improvements suggests that, while starting points differed, the instructional impact was consistent across both socio-economic groups.</w:t>
      </w:r>
    </w:p>
    <w:p w14:paraId="2CD32036" w14:textId="77777777" w:rsidR="00815887" w:rsidRDefault="00000000">
      <w:pPr>
        <w:spacing w:before="200" w:after="240"/>
        <w:jc w:val="center"/>
      </w:pPr>
      <w:r>
        <w:rPr>
          <w:i/>
        </w:rPr>
        <w:t>Table 4: Pre-test to Post-test Score Improvements</w:t>
      </w:r>
    </w:p>
    <w:tbl>
      <w:tblPr>
        <w:tblStyle w:val="a2"/>
        <w:tblW w:w="9330" w:type="dxa"/>
        <w:tblBorders>
          <w:top w:val="nil"/>
          <w:left w:val="nil"/>
          <w:bottom w:val="nil"/>
          <w:right w:val="nil"/>
          <w:insideH w:val="nil"/>
          <w:insideV w:val="nil"/>
        </w:tblBorders>
        <w:tblLayout w:type="fixed"/>
        <w:tblLook w:val="0600" w:firstRow="0" w:lastRow="0" w:firstColumn="0" w:lastColumn="0" w:noHBand="1" w:noVBand="1"/>
      </w:tblPr>
      <w:tblGrid>
        <w:gridCol w:w="3375"/>
        <w:gridCol w:w="2835"/>
        <w:gridCol w:w="3120"/>
      </w:tblGrid>
      <w:tr w:rsidR="00815887" w14:paraId="64406501" w14:textId="77777777">
        <w:trPr>
          <w:trHeight w:val="515"/>
        </w:trPr>
        <w:tc>
          <w:tcPr>
            <w:tcW w:w="3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878F49" w14:textId="77777777" w:rsidR="00815887" w:rsidRDefault="00000000">
            <w:pPr>
              <w:spacing w:before="200"/>
              <w:jc w:val="center"/>
            </w:pPr>
            <w:r>
              <w:rPr>
                <w:b/>
              </w:rPr>
              <w:t>Metric</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90AAEC" w14:textId="77777777" w:rsidR="00815887" w:rsidRDefault="00000000">
            <w:pPr>
              <w:spacing w:before="200"/>
              <w:jc w:val="center"/>
            </w:pPr>
            <w:r>
              <w:rPr>
                <w:b/>
              </w:rPr>
              <w:t>Mean Difference</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FA23E9" w14:textId="77777777" w:rsidR="00815887" w:rsidRDefault="00000000">
            <w:pPr>
              <w:spacing w:before="200"/>
              <w:jc w:val="center"/>
            </w:pPr>
            <w:r>
              <w:rPr>
                <w:b/>
              </w:rPr>
              <w:t>Median Difference</w:t>
            </w:r>
          </w:p>
        </w:tc>
      </w:tr>
      <w:tr w:rsidR="00815887" w14:paraId="73ABA03B" w14:textId="77777777">
        <w:trPr>
          <w:trHeight w:val="515"/>
        </w:trPr>
        <w:tc>
          <w:tcPr>
            <w:tcW w:w="3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6FBC85" w14:textId="77777777" w:rsidR="00815887" w:rsidRDefault="00000000">
            <w:pPr>
              <w:spacing w:before="200"/>
              <w:jc w:val="center"/>
            </w:pPr>
            <w:r>
              <w:t>Overall Improvement</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9FF608" w14:textId="77777777" w:rsidR="00815887" w:rsidRDefault="00000000">
            <w:pPr>
              <w:spacing w:before="200"/>
              <w:jc w:val="center"/>
            </w:pPr>
            <w:r>
              <w:t>12.15</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AE8831" w14:textId="77777777" w:rsidR="00815887" w:rsidRDefault="00000000">
            <w:pPr>
              <w:spacing w:before="200"/>
              <w:jc w:val="center"/>
            </w:pPr>
            <w:r>
              <w:t>12.0</w:t>
            </w:r>
          </w:p>
        </w:tc>
      </w:tr>
      <w:tr w:rsidR="00815887" w14:paraId="249495D8" w14:textId="77777777">
        <w:trPr>
          <w:trHeight w:val="515"/>
        </w:trPr>
        <w:tc>
          <w:tcPr>
            <w:tcW w:w="3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2EEEDF" w14:textId="77777777" w:rsidR="00815887" w:rsidRDefault="00000000">
            <w:pPr>
              <w:spacing w:before="200"/>
              <w:jc w:val="center"/>
            </w:pPr>
            <w:r>
              <w:t>Male Improvement</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8EA92C" w14:textId="77777777" w:rsidR="00815887" w:rsidRDefault="00000000">
            <w:pPr>
              <w:spacing w:before="200"/>
              <w:jc w:val="center"/>
            </w:pPr>
            <w:r>
              <w:t>12.13</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FCAD64" w14:textId="77777777" w:rsidR="00815887" w:rsidRDefault="00000000">
            <w:pPr>
              <w:spacing w:before="200"/>
              <w:jc w:val="center"/>
            </w:pPr>
            <w:r>
              <w:t>12.0</w:t>
            </w:r>
          </w:p>
        </w:tc>
      </w:tr>
      <w:tr w:rsidR="00815887" w14:paraId="12B822F5" w14:textId="77777777">
        <w:trPr>
          <w:trHeight w:val="515"/>
        </w:trPr>
        <w:tc>
          <w:tcPr>
            <w:tcW w:w="3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454201" w14:textId="77777777" w:rsidR="00815887" w:rsidRDefault="00000000">
            <w:pPr>
              <w:spacing w:before="200"/>
              <w:jc w:val="center"/>
            </w:pPr>
            <w:r>
              <w:t>Female Improvement</w:t>
            </w:r>
          </w:p>
        </w:tc>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020597" w14:textId="77777777" w:rsidR="00815887" w:rsidRDefault="00000000">
            <w:pPr>
              <w:spacing w:before="200"/>
              <w:jc w:val="center"/>
            </w:pPr>
            <w:r>
              <w:t>12.16</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9D5AFB" w14:textId="77777777" w:rsidR="00815887" w:rsidRDefault="00000000">
            <w:pPr>
              <w:spacing w:before="200"/>
              <w:jc w:val="center"/>
            </w:pPr>
            <w:r>
              <w:t>12.0</w:t>
            </w:r>
          </w:p>
        </w:tc>
      </w:tr>
    </w:tbl>
    <w:p w14:paraId="3D21C754" w14:textId="77777777" w:rsidR="00815887" w:rsidRDefault="00000000">
      <w:pPr>
        <w:pStyle w:val="Heading3"/>
        <w:spacing w:before="200"/>
      </w:pPr>
      <w:bookmarkStart w:id="14" w:name="_d8239lafn1fm" w:colFirst="0" w:colLast="0"/>
      <w:bookmarkEnd w:id="14"/>
      <w:r>
        <w:br w:type="page"/>
      </w:r>
      <w:r>
        <w:rPr>
          <w:noProof/>
        </w:rPr>
        <w:lastRenderedPageBreak/>
        <w:drawing>
          <wp:inline distT="114300" distB="114300" distL="114300" distR="114300" wp14:anchorId="75ADD5BC" wp14:editId="28ED7F57">
            <wp:extent cx="5943600" cy="3289300"/>
            <wp:effectExtent l="0" t="0" r="0" b="0"/>
            <wp:docPr id="1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1"/>
                    <a:srcRect/>
                    <a:stretch>
                      <a:fillRect/>
                    </a:stretch>
                  </pic:blipFill>
                  <pic:spPr>
                    <a:xfrm>
                      <a:off x="0" y="0"/>
                      <a:ext cx="5943600" cy="3289300"/>
                    </a:xfrm>
                    <a:prstGeom prst="rect">
                      <a:avLst/>
                    </a:prstGeom>
                    <a:ln/>
                  </pic:spPr>
                </pic:pic>
              </a:graphicData>
            </a:graphic>
          </wp:inline>
        </w:drawing>
      </w:r>
      <w:r>
        <w:rPr>
          <w:noProof/>
        </w:rPr>
        <w:drawing>
          <wp:inline distT="114300" distB="114300" distL="114300" distR="114300" wp14:anchorId="3A3AF1C4" wp14:editId="0259B8C9">
            <wp:extent cx="5943600" cy="33020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5943600" cy="3302000"/>
                    </a:xfrm>
                    <a:prstGeom prst="rect">
                      <a:avLst/>
                    </a:prstGeom>
                    <a:ln/>
                  </pic:spPr>
                </pic:pic>
              </a:graphicData>
            </a:graphic>
          </wp:inline>
        </w:drawing>
      </w:r>
    </w:p>
    <w:p w14:paraId="53E8AF71" w14:textId="77777777" w:rsidR="00815887" w:rsidRDefault="00000000" w:rsidP="00E44CA3">
      <w:pPr>
        <w:spacing w:before="200" w:after="240"/>
      </w:pPr>
      <w:r>
        <w:t xml:space="preserve">The third major finding is that </w:t>
      </w:r>
      <w:r>
        <w:rPr>
          <w:b/>
        </w:rPr>
        <w:t xml:space="preserve">the achievement gap persisted from pretest to </w:t>
      </w:r>
      <w:proofErr w:type="spellStart"/>
      <w:r>
        <w:rPr>
          <w:b/>
        </w:rPr>
        <w:t>posttest</w:t>
      </w:r>
      <w:proofErr w:type="spellEnd"/>
      <w:r>
        <w:t>. Although both groups improved by roughly the same amount, students who qualified for free/reduced lunch continued to score approximately 17 points lower on average than their peers who did not qualify.</w:t>
      </w:r>
      <w:r w:rsidR="00E44CA3">
        <w:t xml:space="preserve"> </w:t>
      </w:r>
      <w:r>
        <w:t xml:space="preserve">This suggests that while interventions may be helping all students equally in terms of growth, they </w:t>
      </w:r>
      <w:r>
        <w:lastRenderedPageBreak/>
        <w:t>are not closing the initial performance gap. This finding underscores the importance of targeted support for students from lower socio-economic backgrounds.</w:t>
      </w:r>
    </w:p>
    <w:p w14:paraId="209F584C" w14:textId="77777777" w:rsidR="00815887" w:rsidRDefault="00000000">
      <w:pPr>
        <w:spacing w:before="200" w:after="240"/>
      </w:pPr>
      <w:bookmarkStart w:id="15" w:name="_5xyzb5y2hi6p" w:colFirst="0" w:colLast="0"/>
      <w:bookmarkEnd w:id="15"/>
      <w:r>
        <w:br w:type="page"/>
      </w:r>
    </w:p>
    <w:p w14:paraId="1C0B11B6" w14:textId="77777777" w:rsidR="00815887" w:rsidRDefault="00000000">
      <w:pPr>
        <w:pStyle w:val="Heading2"/>
        <w:spacing w:before="200"/>
      </w:pPr>
      <w:bookmarkStart w:id="16" w:name="_48a238xm2u84" w:colFirst="0" w:colLast="0"/>
      <w:bookmarkEnd w:id="16"/>
      <w:r>
        <w:lastRenderedPageBreak/>
        <w:t>K-Means Clustering Analysis Using SPSS</w:t>
      </w:r>
    </w:p>
    <w:p w14:paraId="6FB32C23" w14:textId="77777777" w:rsidR="00815887" w:rsidRDefault="00000000">
      <w:pPr>
        <w:spacing w:before="200"/>
      </w:pPr>
      <w:r>
        <w:t xml:space="preserve">The purpose of this analysis was to apply the K-Means Clustering technique using SPSS to group 2,133 school students based on their Pretest and </w:t>
      </w:r>
      <w:proofErr w:type="spellStart"/>
      <w:r>
        <w:t>Posttest</w:t>
      </w:r>
      <w:proofErr w:type="spellEnd"/>
      <w:r>
        <w:t xml:space="preserve"> scores. By clustering the students, the school aimed to identify distinct academic performance groups that could guide interventions and support strategies. The dataset Student_Score.csv was imported into SPSS for this purpose.</w:t>
      </w:r>
    </w:p>
    <w:p w14:paraId="47B11D52" w14:textId="77777777" w:rsidR="00815887" w:rsidRDefault="00000000">
      <w:pPr>
        <w:pStyle w:val="Heading3"/>
        <w:spacing w:before="200"/>
      </w:pPr>
      <w:bookmarkStart w:id="17" w:name="_9zslq2clp4ab" w:colFirst="0" w:colLast="0"/>
      <w:bookmarkEnd w:id="17"/>
      <w:r>
        <w:t>Data Preparation</w:t>
      </w:r>
    </w:p>
    <w:p w14:paraId="70BEAE20" w14:textId="1F34C651" w:rsidR="00815887" w:rsidRDefault="00000000">
      <w:pPr>
        <w:spacing w:before="200"/>
      </w:pPr>
      <w:r>
        <w:t xml:space="preserve">After loading the dataset into SPSS, four variables were available: Gender, Lunch, Pretest, and </w:t>
      </w:r>
      <w:proofErr w:type="spellStart"/>
      <w:r>
        <w:t>Posttest</w:t>
      </w:r>
      <w:proofErr w:type="spellEnd"/>
      <w:r>
        <w:t xml:space="preserve">. For the clustering analysis, only Pretest and </w:t>
      </w:r>
      <w:proofErr w:type="spellStart"/>
      <w:r>
        <w:t>Posttest</w:t>
      </w:r>
      <w:proofErr w:type="spellEnd"/>
      <w:r>
        <w:t xml:space="preserve"> scores were selected because the objective was to classify students based solely on academic achievement. Both variables were set as Scale (continuous) in the Variable View.</w:t>
      </w:r>
      <w:r>
        <w:rPr>
          <w:noProof/>
        </w:rPr>
        <w:drawing>
          <wp:anchor distT="114300" distB="114300" distL="114300" distR="114300" simplePos="0" relativeHeight="251659264" behindDoc="0" locked="0" layoutInCell="1" hidden="0" allowOverlap="1" wp14:anchorId="47129C8F" wp14:editId="300CF3DE">
            <wp:simplePos x="0" y="0"/>
            <wp:positionH relativeFrom="column">
              <wp:posOffset>1238250</wp:posOffset>
            </wp:positionH>
            <wp:positionV relativeFrom="paragraph">
              <wp:posOffset>1133475</wp:posOffset>
            </wp:positionV>
            <wp:extent cx="3467100" cy="2343150"/>
            <wp:effectExtent l="0" t="0" r="0" b="0"/>
            <wp:wrapTopAndBottom distT="114300" distB="11430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3"/>
                    <a:srcRect l="15974" t="-1502" r="16805" b="17010"/>
                    <a:stretch>
                      <a:fillRect/>
                    </a:stretch>
                  </pic:blipFill>
                  <pic:spPr>
                    <a:xfrm>
                      <a:off x="0" y="0"/>
                      <a:ext cx="3467100" cy="2343150"/>
                    </a:xfrm>
                    <a:prstGeom prst="rect">
                      <a:avLst/>
                    </a:prstGeom>
                    <a:ln/>
                  </pic:spPr>
                </pic:pic>
              </a:graphicData>
            </a:graphic>
          </wp:anchor>
        </w:drawing>
      </w:r>
    </w:p>
    <w:p w14:paraId="5E2AEB92" w14:textId="77777777" w:rsidR="00815887" w:rsidRDefault="00000000">
      <w:pPr>
        <w:pStyle w:val="Heading3"/>
        <w:spacing w:before="200"/>
      </w:pPr>
      <w:bookmarkStart w:id="18" w:name="_wumi25hfzzs0" w:colFirst="0" w:colLast="0"/>
      <w:bookmarkEnd w:id="18"/>
      <w:r>
        <w:t>Clustering Setup in SPSS</w:t>
      </w:r>
    </w:p>
    <w:p w14:paraId="2F9C3A40" w14:textId="77777777" w:rsidR="00815887" w:rsidRDefault="00000000">
      <w:pPr>
        <w:spacing w:before="200"/>
      </w:pPr>
      <w:r>
        <w:rPr>
          <w:rFonts w:ascii="Cardo" w:eastAsia="Cardo" w:hAnsi="Cardo" w:cs="Cardo"/>
        </w:rPr>
        <w:t xml:space="preserve">The K-Means Clustering procedure was initiated by navigating to </w:t>
      </w:r>
      <w:proofErr w:type="spellStart"/>
      <w:r>
        <w:rPr>
          <w:rFonts w:ascii="Cardo" w:eastAsia="Cardo" w:hAnsi="Cardo" w:cs="Cardo"/>
        </w:rPr>
        <w:t>Analyze</w:t>
      </w:r>
      <w:proofErr w:type="spellEnd"/>
      <w:r>
        <w:rPr>
          <w:rFonts w:ascii="Cardo" w:eastAsia="Cardo" w:hAnsi="Cardo" w:cs="Cardo"/>
        </w:rPr>
        <w:t xml:space="preserve"> → Classify → K-Means Cluster in SPSS. In the K-Means dialog box, the variables Pretest and </w:t>
      </w:r>
      <w:proofErr w:type="spellStart"/>
      <w:r>
        <w:rPr>
          <w:rFonts w:ascii="Cardo" w:eastAsia="Cardo" w:hAnsi="Cardo" w:cs="Cardo"/>
        </w:rPr>
        <w:t>Posttest</w:t>
      </w:r>
      <w:proofErr w:type="spellEnd"/>
      <w:r>
        <w:rPr>
          <w:rFonts w:ascii="Cardo" w:eastAsia="Cardo" w:hAnsi="Cardo" w:cs="Cardo"/>
        </w:rPr>
        <w:t xml:space="preserve"> were moved into the “Variables” section. The Number of Clusters was set to three (3) to group students into three categories: low performers, medium performers, and high performers (See Figure 2).</w:t>
      </w:r>
    </w:p>
    <w:p w14:paraId="1773668B" w14:textId="77777777" w:rsidR="00815887" w:rsidRDefault="00000000" w:rsidP="00C75473">
      <w:pPr>
        <w:spacing w:before="200"/>
        <w:jc w:val="center"/>
      </w:pPr>
      <w:r>
        <w:rPr>
          <w:noProof/>
        </w:rPr>
        <w:lastRenderedPageBreak/>
        <w:drawing>
          <wp:inline distT="114300" distB="114300" distL="114300" distR="114300" wp14:anchorId="7BF454ED" wp14:editId="5D1D0EE1">
            <wp:extent cx="4806868" cy="2722360"/>
            <wp:effectExtent l="0" t="0" r="0" b="1905"/>
            <wp:docPr id="2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rotWithShape="1">
                    <a:blip r:embed="rId24"/>
                    <a:srcRect l="19115" t="18805" b="8025"/>
                    <a:stretch/>
                  </pic:blipFill>
                  <pic:spPr bwMode="auto">
                    <a:xfrm>
                      <a:off x="0" y="0"/>
                      <a:ext cx="4807527" cy="2722733"/>
                    </a:xfrm>
                    <a:prstGeom prst="rect">
                      <a:avLst/>
                    </a:prstGeom>
                    <a:ln>
                      <a:noFill/>
                    </a:ln>
                    <a:extLst>
                      <a:ext uri="{53640926-AAD7-44D8-BBD7-CCE9431645EC}">
                        <a14:shadowObscured xmlns:a14="http://schemas.microsoft.com/office/drawing/2010/main"/>
                      </a:ext>
                    </a:extLst>
                  </pic:spPr>
                </pic:pic>
              </a:graphicData>
            </a:graphic>
          </wp:inline>
        </w:drawing>
      </w:r>
    </w:p>
    <w:p w14:paraId="4131AC4D" w14:textId="77777777" w:rsidR="00815887" w:rsidRDefault="00815887">
      <w:pPr>
        <w:spacing w:before="200"/>
      </w:pPr>
    </w:p>
    <w:p w14:paraId="29ABDC97" w14:textId="77777777" w:rsidR="00815887" w:rsidRDefault="00000000">
      <w:pPr>
        <w:spacing w:before="200"/>
      </w:pPr>
      <w:r>
        <w:t xml:space="preserve">Under the Options button, selections were made to display the Initial Cluster </w:t>
      </w:r>
      <w:proofErr w:type="spellStart"/>
      <w:r>
        <w:t>Centers</w:t>
      </w:r>
      <w:proofErr w:type="spellEnd"/>
      <w:r>
        <w:t>, ANOVA Table, and to Exclude Cases Listwise to handle missing data properly. These settings ensure a comprehensive clustering output and minimize errors during analysis (See Figure 3).</w:t>
      </w:r>
      <w:r>
        <w:rPr>
          <w:noProof/>
        </w:rPr>
        <w:drawing>
          <wp:anchor distT="114300" distB="114300" distL="114300" distR="114300" simplePos="0" relativeHeight="251660288" behindDoc="0" locked="0" layoutInCell="1" hidden="0" allowOverlap="1" wp14:anchorId="0E1F1B43" wp14:editId="5A658219">
            <wp:simplePos x="0" y="0"/>
            <wp:positionH relativeFrom="column">
              <wp:posOffset>23813</wp:posOffset>
            </wp:positionH>
            <wp:positionV relativeFrom="paragraph">
              <wp:posOffset>1057275</wp:posOffset>
            </wp:positionV>
            <wp:extent cx="5895975" cy="2947504"/>
            <wp:effectExtent l="0" t="0" r="0" b="0"/>
            <wp:wrapTopAndBottom distT="114300" distB="1143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5"/>
                    <a:srcRect l="22739" t="19680" r="14072" b="13810"/>
                    <a:stretch>
                      <a:fillRect/>
                    </a:stretch>
                  </pic:blipFill>
                  <pic:spPr>
                    <a:xfrm>
                      <a:off x="0" y="0"/>
                      <a:ext cx="5895975" cy="2947504"/>
                    </a:xfrm>
                    <a:prstGeom prst="rect">
                      <a:avLst/>
                    </a:prstGeom>
                    <a:ln/>
                  </pic:spPr>
                </pic:pic>
              </a:graphicData>
            </a:graphic>
          </wp:anchor>
        </w:drawing>
      </w:r>
    </w:p>
    <w:p w14:paraId="413A65CC" w14:textId="77777777" w:rsidR="00815887" w:rsidRDefault="00000000">
      <w:pPr>
        <w:spacing w:before="200"/>
      </w:pPr>
      <w:r>
        <w:t>After configuring the settings, the analysis was executed by clicking the OK button.</w:t>
      </w:r>
    </w:p>
    <w:p w14:paraId="57BE33BD" w14:textId="77777777" w:rsidR="002238AC" w:rsidRDefault="002238AC">
      <w:pPr>
        <w:spacing w:before="200"/>
      </w:pPr>
    </w:p>
    <w:p w14:paraId="78600DE2" w14:textId="77777777" w:rsidR="00815887" w:rsidRDefault="00000000">
      <w:pPr>
        <w:pStyle w:val="Heading3"/>
        <w:keepNext w:val="0"/>
        <w:keepLines w:val="0"/>
        <w:spacing w:before="200"/>
      </w:pPr>
      <w:bookmarkStart w:id="19" w:name="_q18fbowsnfdy" w:colFirst="0" w:colLast="0"/>
      <w:bookmarkEnd w:id="19"/>
      <w:r>
        <w:lastRenderedPageBreak/>
        <w:t>Results</w:t>
      </w:r>
    </w:p>
    <w:p w14:paraId="1801A1F2" w14:textId="77777777" w:rsidR="00815887" w:rsidRDefault="00000000">
      <w:pPr>
        <w:spacing w:before="200" w:after="80"/>
        <w:rPr>
          <w:b/>
        </w:rPr>
      </w:pPr>
      <w:r>
        <w:rPr>
          <w:b/>
        </w:rPr>
        <w:t xml:space="preserve">Initial Cluster </w:t>
      </w:r>
      <w:proofErr w:type="spellStart"/>
      <w:r>
        <w:rPr>
          <w:b/>
        </w:rPr>
        <w:t>Centers</w:t>
      </w:r>
      <w:proofErr w:type="spellEnd"/>
    </w:p>
    <w:p w14:paraId="11AE8AB9" w14:textId="77777777" w:rsidR="00815887" w:rsidRDefault="00000000">
      <w:pPr>
        <w:spacing w:before="200" w:after="240"/>
      </w:pPr>
      <w:r>
        <w:t xml:space="preserve">The initial cluster </w:t>
      </w:r>
      <w:proofErr w:type="spellStart"/>
      <w:r>
        <w:t>centers</w:t>
      </w:r>
      <w:proofErr w:type="spellEnd"/>
      <w:r>
        <w:t xml:space="preserve"> represent the starting mean values for each cluster before iteration. Based on the output, the clusters initially had the following approximate </w:t>
      </w:r>
      <w:proofErr w:type="spellStart"/>
      <w:r>
        <w:t>centers</w:t>
      </w:r>
      <w:proofErr w:type="spellEnd"/>
      <w:r>
        <w:t>:</w:t>
      </w:r>
    </w:p>
    <w:p w14:paraId="700C8B75" w14:textId="77777777" w:rsidR="00815887" w:rsidRDefault="00000000">
      <w:pPr>
        <w:numPr>
          <w:ilvl w:val="0"/>
          <w:numId w:val="1"/>
        </w:numPr>
        <w:spacing w:before="200" w:after="240"/>
        <w:jc w:val="left"/>
      </w:pPr>
      <w:r>
        <w:t xml:space="preserve">Cluster 1: Pretest 23, </w:t>
      </w:r>
      <w:proofErr w:type="spellStart"/>
      <w:r>
        <w:t>Posttest</w:t>
      </w:r>
      <w:proofErr w:type="spellEnd"/>
      <w:r>
        <w:t xml:space="preserve"> 35</w:t>
      </w:r>
    </w:p>
    <w:p w14:paraId="2C4F06CF" w14:textId="77777777" w:rsidR="00815887" w:rsidRDefault="00000000">
      <w:pPr>
        <w:numPr>
          <w:ilvl w:val="0"/>
          <w:numId w:val="1"/>
        </w:numPr>
        <w:spacing w:before="200"/>
        <w:jc w:val="left"/>
      </w:pPr>
      <w:r>
        <w:t xml:space="preserve">Cluster 2: Pretest 93, </w:t>
      </w:r>
      <w:proofErr w:type="spellStart"/>
      <w:r>
        <w:t>Posttest</w:t>
      </w:r>
      <w:proofErr w:type="spellEnd"/>
      <w:r>
        <w:t xml:space="preserve"> 100</w:t>
      </w:r>
    </w:p>
    <w:p w14:paraId="6EC4FE0D" w14:textId="77777777" w:rsidR="00815887" w:rsidRDefault="00000000">
      <w:pPr>
        <w:numPr>
          <w:ilvl w:val="0"/>
          <w:numId w:val="1"/>
        </w:numPr>
        <w:spacing w:before="200" w:after="240"/>
        <w:jc w:val="left"/>
      </w:pPr>
      <w:r>
        <w:t xml:space="preserve">Cluster 3: Pretest 54, </w:t>
      </w:r>
      <w:proofErr w:type="spellStart"/>
      <w:r>
        <w:t>Posttest</w:t>
      </w:r>
      <w:proofErr w:type="spellEnd"/>
      <w:r>
        <w:t xml:space="preserve"> 72</w:t>
      </w:r>
    </w:p>
    <w:p w14:paraId="1653242C" w14:textId="77777777" w:rsidR="00815887" w:rsidRDefault="00000000">
      <w:pPr>
        <w:spacing w:before="200" w:after="240"/>
      </w:pPr>
      <w:r>
        <w:t xml:space="preserve">These initial </w:t>
      </w:r>
      <w:proofErr w:type="spellStart"/>
      <w:r>
        <w:t>centers</w:t>
      </w:r>
      <w:proofErr w:type="spellEnd"/>
      <w:r>
        <w:t xml:space="preserve"> were randomly selected and used as starting points for further refinement through iterative processes (See </w:t>
      </w:r>
      <w:r>
        <w:rPr>
          <w:i/>
        </w:rPr>
        <w:t>Figure 4</w:t>
      </w:r>
      <w:r>
        <w:t>).</w:t>
      </w:r>
    </w:p>
    <w:p w14:paraId="0E9F71BF" w14:textId="77777777" w:rsidR="00815887" w:rsidRDefault="00000000">
      <w:pPr>
        <w:spacing w:before="200" w:after="240"/>
      </w:pPr>
      <w:r>
        <w:rPr>
          <w:noProof/>
        </w:rPr>
        <w:lastRenderedPageBreak/>
        <w:drawing>
          <wp:inline distT="114300" distB="114300" distL="114300" distR="114300" wp14:anchorId="033CF218" wp14:editId="5420439B">
            <wp:extent cx="5410200" cy="7843838"/>
            <wp:effectExtent l="0" t="0" r="0" b="0"/>
            <wp:docPr id="2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6"/>
                    <a:srcRect/>
                    <a:stretch>
                      <a:fillRect/>
                    </a:stretch>
                  </pic:blipFill>
                  <pic:spPr>
                    <a:xfrm>
                      <a:off x="0" y="0"/>
                      <a:ext cx="5410200" cy="7843838"/>
                    </a:xfrm>
                    <a:prstGeom prst="rect">
                      <a:avLst/>
                    </a:prstGeom>
                    <a:ln/>
                  </pic:spPr>
                </pic:pic>
              </a:graphicData>
            </a:graphic>
          </wp:inline>
        </w:drawing>
      </w:r>
    </w:p>
    <w:p w14:paraId="15DB63FD" w14:textId="77777777" w:rsidR="00815887" w:rsidRDefault="00000000">
      <w:pPr>
        <w:spacing w:before="200" w:after="240"/>
        <w:rPr>
          <w:b/>
        </w:rPr>
      </w:pPr>
      <w:r>
        <w:rPr>
          <w:b/>
        </w:rPr>
        <w:lastRenderedPageBreak/>
        <w:t>Iteration History</w:t>
      </w:r>
    </w:p>
    <w:p w14:paraId="1C978BD9" w14:textId="77777777" w:rsidR="00815887" w:rsidRDefault="00000000">
      <w:pPr>
        <w:spacing w:before="200" w:after="240"/>
      </w:pPr>
      <w:r>
        <w:t xml:space="preserve">The K-Means algorithm iteratively adjusted cluster memberships. As seen from the iteration history, the movement of cluster </w:t>
      </w:r>
      <w:proofErr w:type="spellStart"/>
      <w:r>
        <w:t>centers</w:t>
      </w:r>
      <w:proofErr w:type="spellEnd"/>
      <w:r>
        <w:t xml:space="preserve"> gradually decreased with each iteration. By the 7th iteration, convergence was achieved, meaning the </w:t>
      </w:r>
      <w:proofErr w:type="spellStart"/>
      <w:r>
        <w:t>centers</w:t>
      </w:r>
      <w:proofErr w:type="spellEnd"/>
      <w:r>
        <w:t xml:space="preserve"> stabilized and no further substantial change occurred. The minimum distance between initial </w:t>
      </w:r>
      <w:proofErr w:type="spellStart"/>
      <w:r>
        <w:t>centers</w:t>
      </w:r>
      <w:proofErr w:type="spellEnd"/>
      <w:r>
        <w:t xml:space="preserve"> was calculated at 48.010, confirming sufficient separation between groups to allow meaningful clustering.</w:t>
      </w:r>
    </w:p>
    <w:p w14:paraId="7CDCBA60" w14:textId="77777777" w:rsidR="00815887" w:rsidRDefault="00000000">
      <w:pPr>
        <w:spacing w:before="200"/>
        <w:rPr>
          <w:b/>
          <w:sz w:val="26"/>
          <w:szCs w:val="26"/>
        </w:rPr>
      </w:pPr>
      <w:r>
        <w:rPr>
          <w:b/>
          <w:sz w:val="26"/>
          <w:szCs w:val="26"/>
        </w:rPr>
        <w:t xml:space="preserve">Final Cluster </w:t>
      </w:r>
      <w:proofErr w:type="spellStart"/>
      <w:r>
        <w:rPr>
          <w:b/>
          <w:sz w:val="26"/>
          <w:szCs w:val="26"/>
        </w:rPr>
        <w:t>Centers</w:t>
      </w:r>
      <w:proofErr w:type="spellEnd"/>
    </w:p>
    <w:p w14:paraId="3AE6FE12" w14:textId="77777777" w:rsidR="00815887" w:rsidRDefault="00000000">
      <w:pPr>
        <w:spacing w:before="200" w:after="240"/>
        <w:jc w:val="left"/>
      </w:pPr>
      <w:r>
        <w:t xml:space="preserve">Upon convergence, the final cluster </w:t>
      </w:r>
      <w:proofErr w:type="spellStart"/>
      <w:r>
        <w:t>centers</w:t>
      </w:r>
      <w:proofErr w:type="spellEnd"/>
      <w:r>
        <w:t xml:space="preserve"> were established as:</w:t>
      </w:r>
    </w:p>
    <w:p w14:paraId="4AADC27E" w14:textId="77777777" w:rsidR="00815887" w:rsidRDefault="00000000">
      <w:pPr>
        <w:numPr>
          <w:ilvl w:val="0"/>
          <w:numId w:val="4"/>
        </w:numPr>
        <w:spacing w:before="200" w:after="240"/>
        <w:jc w:val="left"/>
      </w:pPr>
      <w:r>
        <w:t xml:space="preserve">Cluster 1: Pretest 40, </w:t>
      </w:r>
      <w:proofErr w:type="spellStart"/>
      <w:r>
        <w:t>Posttest</w:t>
      </w:r>
      <w:proofErr w:type="spellEnd"/>
      <w:r>
        <w:t xml:space="preserve"> 52</w:t>
      </w:r>
      <w:r>
        <w:br/>
      </w:r>
    </w:p>
    <w:p w14:paraId="070B4055" w14:textId="77777777" w:rsidR="00815887" w:rsidRDefault="00000000">
      <w:pPr>
        <w:numPr>
          <w:ilvl w:val="0"/>
          <w:numId w:val="4"/>
        </w:numPr>
        <w:spacing w:before="200"/>
        <w:jc w:val="left"/>
      </w:pPr>
      <w:r>
        <w:t xml:space="preserve">Cluster 2: Pretest 72, </w:t>
      </w:r>
      <w:proofErr w:type="spellStart"/>
      <w:r>
        <w:t>Posttest</w:t>
      </w:r>
      <w:proofErr w:type="spellEnd"/>
      <w:r>
        <w:t xml:space="preserve"> 85</w:t>
      </w:r>
      <w:r>
        <w:br/>
      </w:r>
    </w:p>
    <w:p w14:paraId="55AFA736" w14:textId="77777777" w:rsidR="00815887" w:rsidRDefault="00000000">
      <w:pPr>
        <w:numPr>
          <w:ilvl w:val="0"/>
          <w:numId w:val="4"/>
        </w:numPr>
        <w:spacing w:before="200" w:after="240"/>
        <w:jc w:val="left"/>
      </w:pPr>
      <w:r>
        <w:t xml:space="preserve">Cluster 3: Pretest 57, </w:t>
      </w:r>
      <w:proofErr w:type="spellStart"/>
      <w:r>
        <w:t>Posttest</w:t>
      </w:r>
      <w:proofErr w:type="spellEnd"/>
      <w:r>
        <w:t xml:space="preserve"> 69</w:t>
      </w:r>
      <w:r>
        <w:br/>
      </w:r>
    </w:p>
    <w:p w14:paraId="4EAEB482" w14:textId="77777777" w:rsidR="00815887" w:rsidRDefault="00000000">
      <w:pPr>
        <w:spacing w:before="200" w:after="240"/>
      </w:pPr>
      <w:r>
        <w:t xml:space="preserve">These results suggest clear groupings where Cluster 1 contains lower-performing students, Cluster 2 comprises higher-performing students, and Cluster 3 represents medium performers (See </w:t>
      </w:r>
      <w:r>
        <w:rPr>
          <w:i/>
        </w:rPr>
        <w:t>Figure 5</w:t>
      </w:r>
      <w:r>
        <w:t>).</w:t>
      </w:r>
    </w:p>
    <w:p w14:paraId="1F4FBCAA" w14:textId="77777777" w:rsidR="00815887" w:rsidRDefault="00000000">
      <w:pPr>
        <w:spacing w:before="200"/>
        <w:rPr>
          <w:b/>
        </w:rPr>
      </w:pPr>
      <w:r>
        <w:rPr>
          <w:noProof/>
        </w:rPr>
        <w:lastRenderedPageBreak/>
        <w:drawing>
          <wp:inline distT="114300" distB="114300" distL="114300" distR="114300" wp14:anchorId="74CE76B0" wp14:editId="2FAC2591">
            <wp:extent cx="5943600" cy="5308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7"/>
                    <a:srcRect/>
                    <a:stretch>
                      <a:fillRect/>
                    </a:stretch>
                  </pic:blipFill>
                  <pic:spPr>
                    <a:xfrm>
                      <a:off x="0" y="0"/>
                      <a:ext cx="5943600" cy="5308600"/>
                    </a:xfrm>
                    <a:prstGeom prst="rect">
                      <a:avLst/>
                    </a:prstGeom>
                    <a:ln/>
                  </pic:spPr>
                </pic:pic>
              </a:graphicData>
            </a:graphic>
          </wp:inline>
        </w:drawing>
      </w:r>
      <w:r>
        <w:rPr>
          <w:b/>
        </w:rPr>
        <w:t>ANOVA Results</w:t>
      </w:r>
    </w:p>
    <w:p w14:paraId="51058CA4" w14:textId="77777777" w:rsidR="00815887" w:rsidRDefault="00000000">
      <w:pPr>
        <w:spacing w:before="200" w:after="240"/>
      </w:pPr>
      <w:r>
        <w:t xml:space="preserve">The ANOVA table produced during clustering provides evidence of significant differences between the clusters. For both </w:t>
      </w:r>
      <w:r>
        <w:rPr>
          <w:b/>
        </w:rPr>
        <w:t>Pretest</w:t>
      </w:r>
      <w:r>
        <w:t xml:space="preserve"> and </w:t>
      </w:r>
      <w:proofErr w:type="spellStart"/>
      <w:r>
        <w:rPr>
          <w:b/>
        </w:rPr>
        <w:t>Posttest</w:t>
      </w:r>
      <w:proofErr w:type="spellEnd"/>
      <w:r>
        <w:t xml:space="preserve"> scores, the F-statistics were very large:</w:t>
      </w:r>
    </w:p>
    <w:p w14:paraId="5CF142F9" w14:textId="77777777" w:rsidR="00815887" w:rsidRDefault="00000000">
      <w:pPr>
        <w:numPr>
          <w:ilvl w:val="0"/>
          <w:numId w:val="3"/>
        </w:numPr>
        <w:spacing w:before="200" w:after="240"/>
        <w:jc w:val="left"/>
      </w:pPr>
      <w:proofErr w:type="spellStart"/>
      <w:r>
        <w:t>Posttest</w:t>
      </w:r>
      <w:proofErr w:type="spellEnd"/>
      <w:r>
        <w:t>: F = 5134.041</w:t>
      </w:r>
    </w:p>
    <w:p w14:paraId="2EA32AAB" w14:textId="77777777" w:rsidR="00815887" w:rsidRDefault="00000000">
      <w:pPr>
        <w:numPr>
          <w:ilvl w:val="0"/>
          <w:numId w:val="3"/>
        </w:numPr>
        <w:spacing w:before="200" w:after="240"/>
        <w:jc w:val="left"/>
      </w:pPr>
      <w:r>
        <w:t>Pretest: F = 5055.221</w:t>
      </w:r>
    </w:p>
    <w:p w14:paraId="44A89E4A" w14:textId="77777777" w:rsidR="00815887" w:rsidRDefault="00000000">
      <w:pPr>
        <w:spacing w:before="200" w:after="240"/>
      </w:pPr>
      <w:r>
        <w:t xml:space="preserve">Both variables demonstrated p-values </w:t>
      </w:r>
      <w:r>
        <w:rPr>
          <w:b/>
        </w:rPr>
        <w:t>&lt; 0.001</w:t>
      </w:r>
      <w:r>
        <w:t>, confirming statistically significant differences between cluster means. It is important to note, however, that the ANOVA here serves only descriptive purposes, as the clusters were designed to maximize these differences.</w:t>
      </w:r>
    </w:p>
    <w:p w14:paraId="13CD5141" w14:textId="77777777" w:rsidR="00815887" w:rsidRDefault="00000000">
      <w:pPr>
        <w:spacing w:before="200" w:after="240"/>
        <w:rPr>
          <w:b/>
          <w:sz w:val="26"/>
          <w:szCs w:val="26"/>
        </w:rPr>
      </w:pPr>
      <w:r>
        <w:rPr>
          <w:b/>
          <w:sz w:val="26"/>
          <w:szCs w:val="26"/>
        </w:rPr>
        <w:lastRenderedPageBreak/>
        <w:t>Cluster Membership Distribution</w:t>
      </w:r>
    </w:p>
    <w:p w14:paraId="46B2F252" w14:textId="77777777" w:rsidR="00815887" w:rsidRDefault="00000000">
      <w:pPr>
        <w:spacing w:before="200" w:after="240"/>
      </w:pPr>
      <w:r>
        <w:t>The number of cases in each cluster was reported as:</w:t>
      </w:r>
    </w:p>
    <w:p w14:paraId="5A07071C" w14:textId="77777777" w:rsidR="00815887" w:rsidRDefault="00000000">
      <w:pPr>
        <w:numPr>
          <w:ilvl w:val="0"/>
          <w:numId w:val="5"/>
        </w:numPr>
        <w:spacing w:before="200" w:after="240"/>
        <w:jc w:val="left"/>
      </w:pPr>
      <w:r>
        <w:t>Cluster 1: 715 students</w:t>
      </w:r>
    </w:p>
    <w:p w14:paraId="5AA89669" w14:textId="77777777" w:rsidR="00815887" w:rsidRDefault="00000000">
      <w:pPr>
        <w:numPr>
          <w:ilvl w:val="0"/>
          <w:numId w:val="5"/>
        </w:numPr>
        <w:spacing w:before="200"/>
        <w:jc w:val="left"/>
      </w:pPr>
      <w:r>
        <w:t>Cluster 2: 534 students</w:t>
      </w:r>
    </w:p>
    <w:p w14:paraId="109F20CD" w14:textId="77777777" w:rsidR="00815887" w:rsidRDefault="00000000">
      <w:pPr>
        <w:numPr>
          <w:ilvl w:val="0"/>
          <w:numId w:val="5"/>
        </w:numPr>
        <w:spacing w:before="200" w:after="240"/>
        <w:jc w:val="left"/>
      </w:pPr>
      <w:r>
        <w:t>Cluster 3: 884 students</w:t>
      </w:r>
    </w:p>
    <w:p w14:paraId="43BA061B" w14:textId="77777777" w:rsidR="00815887" w:rsidRDefault="00000000">
      <w:pPr>
        <w:spacing w:before="200" w:after="240"/>
      </w:pPr>
      <w:r>
        <w:t xml:space="preserve">In total, all </w:t>
      </w:r>
      <w:r>
        <w:rPr>
          <w:b/>
        </w:rPr>
        <w:t>2,133</w:t>
      </w:r>
      <w:r>
        <w:t xml:space="preserve"> students were successfully classified without missing values (See </w:t>
      </w:r>
      <w:r>
        <w:rPr>
          <w:i/>
        </w:rPr>
        <w:t>Figure 5</w:t>
      </w:r>
      <w:r>
        <w:t>).</w:t>
      </w:r>
    </w:p>
    <w:p w14:paraId="52890509" w14:textId="77777777" w:rsidR="00815887" w:rsidRDefault="00000000">
      <w:pPr>
        <w:spacing w:before="200"/>
        <w:rPr>
          <w:b/>
        </w:rPr>
      </w:pPr>
      <w:r>
        <w:rPr>
          <w:b/>
        </w:rPr>
        <w:t>Interpretation and Discussion</w:t>
      </w:r>
    </w:p>
    <w:p w14:paraId="6D931231" w14:textId="77777777" w:rsidR="00815887" w:rsidRDefault="00000000">
      <w:pPr>
        <w:spacing w:before="200" w:after="240"/>
      </w:pPr>
      <w:r>
        <w:t xml:space="preserve">The K-Means clustering divided the students into three distinct groups reflecting their academic performance levels. Students in </w:t>
      </w:r>
      <w:r>
        <w:rPr>
          <w:b/>
        </w:rPr>
        <w:t>Cluster 1</w:t>
      </w:r>
      <w:r>
        <w:t xml:space="preserve"> were lower achievers with Pretest and </w:t>
      </w:r>
      <w:proofErr w:type="spellStart"/>
      <w:r>
        <w:t>Posttest</w:t>
      </w:r>
      <w:proofErr w:type="spellEnd"/>
      <w:r>
        <w:t xml:space="preserve"> averages of 40 and 52, respectively. </w:t>
      </w:r>
      <w:r>
        <w:rPr>
          <w:b/>
        </w:rPr>
        <w:t>Cluster 2</w:t>
      </w:r>
      <w:r>
        <w:t xml:space="preserve"> included the highest achievers, while </w:t>
      </w:r>
      <w:r>
        <w:rPr>
          <w:b/>
        </w:rPr>
        <w:t>Cluster 3</w:t>
      </w:r>
      <w:r>
        <w:t xml:space="preserve"> represented average performers.</w:t>
      </w:r>
    </w:p>
    <w:p w14:paraId="3E2DDF88" w14:textId="77777777" w:rsidR="00815887" w:rsidRDefault="00000000">
      <w:pPr>
        <w:spacing w:before="200" w:after="240"/>
      </w:pPr>
      <w:r>
        <w:t>The results allow the school to implement differentiated strategies:</w:t>
      </w:r>
    </w:p>
    <w:p w14:paraId="00E53675" w14:textId="77777777" w:rsidR="00815887" w:rsidRDefault="00000000">
      <w:pPr>
        <w:numPr>
          <w:ilvl w:val="0"/>
          <w:numId w:val="2"/>
        </w:numPr>
        <w:spacing w:before="200" w:after="240"/>
        <w:jc w:val="left"/>
      </w:pPr>
      <w:r>
        <w:rPr>
          <w:b/>
        </w:rPr>
        <w:t>Cluster 1</w:t>
      </w:r>
      <w:r>
        <w:t xml:space="preserve"> students may require remedial interventions and personalized support.</w:t>
      </w:r>
    </w:p>
    <w:p w14:paraId="7466D601" w14:textId="77777777" w:rsidR="00815887" w:rsidRDefault="00000000">
      <w:pPr>
        <w:numPr>
          <w:ilvl w:val="0"/>
          <w:numId w:val="2"/>
        </w:numPr>
        <w:spacing w:before="200"/>
        <w:jc w:val="left"/>
      </w:pPr>
      <w:r>
        <w:rPr>
          <w:b/>
        </w:rPr>
        <w:t>Cluster 2</w:t>
      </w:r>
      <w:r>
        <w:t xml:space="preserve"> students could be encouraged with advanced academic programs.</w:t>
      </w:r>
    </w:p>
    <w:p w14:paraId="282CEAB6" w14:textId="77777777" w:rsidR="00815887" w:rsidRDefault="00000000">
      <w:pPr>
        <w:numPr>
          <w:ilvl w:val="0"/>
          <w:numId w:val="2"/>
        </w:numPr>
        <w:spacing w:before="200" w:after="240"/>
        <w:jc w:val="left"/>
      </w:pPr>
      <w:r>
        <w:rPr>
          <w:b/>
        </w:rPr>
        <w:t>Cluster 3</w:t>
      </w:r>
      <w:r>
        <w:t xml:space="preserve"> students should receive consistent encouragement to further enhance their performance.</w:t>
      </w:r>
    </w:p>
    <w:p w14:paraId="5E35215B" w14:textId="77777777" w:rsidR="00815887" w:rsidRDefault="00000000">
      <w:pPr>
        <w:spacing w:before="200" w:after="240"/>
      </w:pPr>
      <w:r>
        <w:t xml:space="preserve">The strong statistical significance reported by ANOVA validates the clustering solution, confirming that Pretest and </w:t>
      </w:r>
      <w:proofErr w:type="spellStart"/>
      <w:r>
        <w:t>Posttest</w:t>
      </w:r>
      <w:proofErr w:type="spellEnd"/>
      <w:r>
        <w:t xml:space="preserve"> scores effectively segment the students.</w:t>
      </w:r>
    </w:p>
    <w:p w14:paraId="374D86B6" w14:textId="77777777" w:rsidR="00815887" w:rsidRDefault="00000000">
      <w:pPr>
        <w:spacing w:before="200" w:after="240"/>
      </w:pPr>
      <w:r>
        <w:br w:type="page"/>
      </w:r>
    </w:p>
    <w:p w14:paraId="3435C81D" w14:textId="77777777" w:rsidR="00815887" w:rsidRDefault="00000000">
      <w:pPr>
        <w:pStyle w:val="Heading2"/>
        <w:spacing w:before="200" w:after="240"/>
      </w:pPr>
      <w:bookmarkStart w:id="20" w:name="_90yogtinvtk9" w:colFirst="0" w:colLast="0"/>
      <w:bookmarkEnd w:id="20"/>
      <w:r>
        <w:lastRenderedPageBreak/>
        <w:t>Common Data Mining and Text Mining Methods in Contemporary Business</w:t>
      </w:r>
    </w:p>
    <w:p w14:paraId="0E4ACBC4" w14:textId="77777777" w:rsidR="00815887" w:rsidRDefault="00000000">
      <w:pPr>
        <w:spacing w:before="200" w:after="240"/>
      </w:pPr>
      <w:r>
        <w:t xml:space="preserve">Data mining in contemporary business leverages statistical and machine-learning algorithms to extract actionable insights from large datasets. Classification, such as decision-tree or support-vector-machine models, is widely used in credit scoring to predict loan defaults and in telecommunications to forecast customer churn rates (Ergün, 2016). Clustering techniques—most commonly K-means—segment retail customers based on purchase histories, enabling targeted promotions and personalized recommendations (Ergün, 2016). Association rule mining, exemplified by the </w:t>
      </w:r>
      <w:proofErr w:type="spellStart"/>
      <w:r>
        <w:t>Apriori</w:t>
      </w:r>
      <w:proofErr w:type="spellEnd"/>
      <w:r>
        <w:t xml:space="preserve"> algorithm, drives market-basket analysis in supermarkets, revealing that customers who buy diapers frequently also purchase baby wipes, which informs shelf placement strategies (Ergün, 2016). Regression analysis, including linear and logistic regression, underpins demand forecasting in supply-chain management, allowing firms to adjust production schedules in anticipation of seasonal sales fluctuations (Ergün, 2016). Anomaly detection, using models such as isolation forests or neural-network autoencoders, flags fraudulent credit-card transactions in real time, safeguarding financial institutions against losses (Zong, Xia and Zhang, 2021).</w:t>
      </w:r>
    </w:p>
    <w:p w14:paraId="6677DFC3" w14:textId="77777777" w:rsidR="00815887" w:rsidRDefault="00000000" w:rsidP="00E44CA3">
      <w:pPr>
        <w:spacing w:before="200" w:after="240"/>
      </w:pPr>
      <w:r>
        <w:t xml:space="preserve">Text mining methods enable firms to transform unstructured textual information into structured formats for analysis. Tokenization and preprocessing (e.g., stop-word removal, stemming) standardize customer feedback data before deeper analysis (Gaikwad, Chaugule and Patil, 2014). Term-frequency/inverse-document-frequency (TF-IDF) weighting identifies salient terms in online product reviews, helping e-commerce platforms to prioritize feature enhancements (Agrawal and Batra, 2013). Topic </w:t>
      </w:r>
      <w:proofErr w:type="spellStart"/>
      <w:r>
        <w:t>modeling</w:t>
      </w:r>
      <w:proofErr w:type="spellEnd"/>
      <w:r>
        <w:t xml:space="preserve">, particularly Latent Dirichlet Allocation, uncovers latent themes in social-media discussions, allowing marketing teams to detect emerging consumer trends around new product launches (Sukanya and Biruntha, 2012). Sentiment analysis applies lexicon-based or supervised-learning approaches to classify tweets or comments as positive, negative, or neutral, informing real-time brand-reputation management (Talib et al., 2016). Named-entity recognition extracts </w:t>
      </w:r>
      <w:proofErr w:type="gramStart"/>
      <w:r>
        <w:t>mentions</w:t>
      </w:r>
      <w:proofErr w:type="gramEnd"/>
      <w:r>
        <w:t xml:space="preserve"> of brands, products, and competitors from news articles and press releases, enabling competitive-intelligence units to monitor market positioning and respond to rival initiatives (Zong, Xia and Zhang, 2021).</w:t>
      </w:r>
    </w:p>
    <w:p w14:paraId="1FD03992" w14:textId="77777777" w:rsidR="00815887" w:rsidRDefault="00000000">
      <w:pPr>
        <w:pStyle w:val="Heading2"/>
        <w:keepNext w:val="0"/>
        <w:keepLines w:val="0"/>
        <w:spacing w:before="200"/>
      </w:pPr>
      <w:bookmarkStart w:id="21" w:name="_ryo3wb6x1m12" w:colFirst="0" w:colLast="0"/>
      <w:bookmarkEnd w:id="21"/>
      <w:r>
        <w:lastRenderedPageBreak/>
        <w:t>Advantages and Disadvantages of Using SPSS and Excel</w:t>
      </w:r>
    </w:p>
    <w:p w14:paraId="123D67F0" w14:textId="77777777" w:rsidR="00815887" w:rsidRDefault="00000000">
      <w:pPr>
        <w:spacing w:before="200" w:after="240"/>
      </w:pPr>
      <w:r>
        <w:t xml:space="preserve">Table below compares the principal strengths and limitations of SPSS and Excel, drawing on empirical and pedagogical perspectives. </w:t>
      </w:r>
    </w:p>
    <w:tbl>
      <w:tblPr>
        <w:tblStyle w:val="a3"/>
        <w:tblW w:w="9360" w:type="dxa"/>
        <w:tblBorders>
          <w:top w:val="nil"/>
          <w:left w:val="nil"/>
          <w:bottom w:val="nil"/>
          <w:right w:val="nil"/>
          <w:insideH w:val="nil"/>
          <w:insideV w:val="nil"/>
        </w:tblBorders>
        <w:tblLayout w:type="fixed"/>
        <w:tblLook w:val="0600" w:firstRow="0" w:lastRow="0" w:firstColumn="0" w:lastColumn="0" w:noHBand="1" w:noVBand="1"/>
      </w:tblPr>
      <w:tblGrid>
        <w:gridCol w:w="1230"/>
        <w:gridCol w:w="2940"/>
        <w:gridCol w:w="2685"/>
        <w:gridCol w:w="2505"/>
      </w:tblGrid>
      <w:tr w:rsidR="00815887" w14:paraId="0FFC103A" w14:textId="77777777">
        <w:trPr>
          <w:trHeight w:val="515"/>
        </w:trPr>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C92A1E" w14:textId="77777777" w:rsidR="00815887" w:rsidRDefault="00000000">
            <w:pPr>
              <w:spacing w:before="200" w:after="240"/>
              <w:jc w:val="left"/>
            </w:pPr>
            <w:r>
              <w:rPr>
                <w:b/>
              </w:rPr>
              <w:t>Software</w:t>
            </w:r>
          </w:p>
        </w:tc>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61A920" w14:textId="77777777" w:rsidR="00815887" w:rsidRDefault="00000000">
            <w:pPr>
              <w:spacing w:before="200" w:after="240"/>
              <w:jc w:val="left"/>
            </w:pPr>
            <w:r>
              <w:rPr>
                <w:b/>
              </w:rPr>
              <w:t>Advantages</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A1FD81" w14:textId="77777777" w:rsidR="00815887" w:rsidRDefault="00000000">
            <w:pPr>
              <w:spacing w:before="200" w:after="240"/>
              <w:jc w:val="left"/>
            </w:pPr>
            <w:r>
              <w:rPr>
                <w:b/>
              </w:rPr>
              <w:t>Disadvantages</w:t>
            </w:r>
          </w:p>
        </w:tc>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86FF48" w14:textId="77777777" w:rsidR="00815887" w:rsidRDefault="00000000">
            <w:pPr>
              <w:spacing w:before="200" w:after="240"/>
              <w:jc w:val="left"/>
            </w:pPr>
            <w:r>
              <w:rPr>
                <w:b/>
              </w:rPr>
              <w:t>Practical Example</w:t>
            </w:r>
          </w:p>
        </w:tc>
      </w:tr>
      <w:tr w:rsidR="00815887" w14:paraId="26E214B9" w14:textId="77777777">
        <w:trPr>
          <w:trHeight w:val="4400"/>
        </w:trPr>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0734D9" w14:textId="77777777" w:rsidR="00815887" w:rsidRDefault="00000000">
            <w:pPr>
              <w:spacing w:before="200" w:after="240"/>
            </w:pPr>
            <w:r>
              <w:rPr>
                <w:b/>
              </w:rPr>
              <w:t>SPSS</w:t>
            </w:r>
          </w:p>
        </w:tc>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834705" w14:textId="77777777" w:rsidR="00815887" w:rsidRDefault="00000000">
            <w:pPr>
              <w:spacing w:before="200" w:after="240"/>
            </w:pPr>
            <w:r>
              <w:t>SPSS provides an extensive suite of advanced statistical procedures (e.g. ANOVA, multivariate regression, factor analysis) via an intuitive point-and-click interface, ensuring reproducibility and reducing syntax errors (</w:t>
            </w:r>
            <w:proofErr w:type="spellStart"/>
            <w:r>
              <w:t>Cleff</w:t>
            </w:r>
            <w:proofErr w:type="spellEnd"/>
            <w:r>
              <w:t xml:space="preserve">, 2019; </w:t>
            </w:r>
            <w:proofErr w:type="spellStart"/>
            <w:r>
              <w:t>Arkkelin</w:t>
            </w:r>
            <w:proofErr w:type="spellEnd"/>
            <w:r>
              <w:t>, 2014). Its Output Viewer generates publication-ready tables, and its Complex Samples module handles survey weights and stratification (McCormick and Salcedo, 2017).</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484AA8" w14:textId="77777777" w:rsidR="00815887" w:rsidRDefault="00000000">
            <w:pPr>
              <w:spacing w:before="200" w:after="240"/>
            </w:pPr>
            <w:r>
              <w:t>Licensing fees can be prohibitive for small organizations, and its reliance on proprietary formats limits integration with open-source big-data platforms. The learning curve for syntax-driven analyses is steep, and verbose output can overwhelm novice users (Opie, 2019; McCormick and Salcedo, 2017).</w:t>
            </w:r>
          </w:p>
        </w:tc>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64DF94" w14:textId="77777777" w:rsidR="00815887" w:rsidRDefault="00000000">
            <w:pPr>
              <w:spacing w:before="200" w:after="240"/>
            </w:pPr>
            <w:r>
              <w:t>Market-research teams employ SPSS to perform repeated-measures ANOVA on longitudinal consumer-satisfaction surveys, adjusting for clustering and weights to derive nationally representative insights (</w:t>
            </w:r>
            <w:proofErr w:type="spellStart"/>
            <w:r>
              <w:t>Arkkelin</w:t>
            </w:r>
            <w:proofErr w:type="spellEnd"/>
            <w:r>
              <w:t>, 2014).</w:t>
            </w:r>
          </w:p>
        </w:tc>
      </w:tr>
      <w:tr w:rsidR="00815887" w14:paraId="1AB0E306" w14:textId="77777777">
        <w:trPr>
          <w:trHeight w:val="4115"/>
        </w:trPr>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41BC85" w14:textId="77777777" w:rsidR="00815887" w:rsidRDefault="00000000">
            <w:pPr>
              <w:spacing w:before="200" w:after="240"/>
            </w:pPr>
            <w:r>
              <w:rPr>
                <w:b/>
              </w:rPr>
              <w:lastRenderedPageBreak/>
              <w:t>Excel</w:t>
            </w:r>
          </w:p>
        </w:tc>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EA26D0" w14:textId="77777777" w:rsidR="00815887" w:rsidRDefault="00000000">
            <w:pPr>
              <w:spacing w:before="200" w:after="240"/>
            </w:pPr>
            <w:r>
              <w:t xml:space="preserve">Ubiquitously available, Excel facilitates rapid data entry, pivot-table summarization, and basic charting without specialized training. Its formula language and VBA automation support custom dashboards, and it integrates seamlessly with Microsoft Office workflows (Opie, 2019; Paura and </w:t>
            </w:r>
            <w:proofErr w:type="spellStart"/>
            <w:r>
              <w:t>Arhipova</w:t>
            </w:r>
            <w:proofErr w:type="spellEnd"/>
            <w:r>
              <w:t>, 2012).</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DFD400" w14:textId="77777777" w:rsidR="00815887" w:rsidRDefault="00000000">
            <w:pPr>
              <w:spacing w:before="200" w:after="240"/>
            </w:pPr>
            <w:r>
              <w:t xml:space="preserve">Excel is prone to human error in complex formulas, lacks built-in modules for multilevel or nonlinear </w:t>
            </w:r>
            <w:proofErr w:type="spellStart"/>
            <w:r>
              <w:t>modeling</w:t>
            </w:r>
            <w:proofErr w:type="spellEnd"/>
            <w:r>
              <w:t>, and performance degrades markedly with very large datasets (&gt;1 million rows). It offers limited audit trails for statistical procedures (</w:t>
            </w:r>
            <w:proofErr w:type="spellStart"/>
            <w:r>
              <w:t>Buzrul</w:t>
            </w:r>
            <w:proofErr w:type="spellEnd"/>
            <w:r>
              <w:t xml:space="preserve">, 2024; </w:t>
            </w:r>
            <w:proofErr w:type="spellStart"/>
            <w:r>
              <w:t>Cleff</w:t>
            </w:r>
            <w:proofErr w:type="spellEnd"/>
            <w:r>
              <w:t>, 2019).</w:t>
            </w:r>
          </w:p>
        </w:tc>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D4E70D" w14:textId="77777777" w:rsidR="00815887" w:rsidRDefault="00000000">
            <w:pPr>
              <w:spacing w:before="200" w:after="240"/>
            </w:pPr>
            <w:r>
              <w:t xml:space="preserve">Finance departments build dynamic cash-flow forecasts using LOOKUP functions, pivot tables, and VBA scripts for monthly budgeting. Marketing analysts prototype A/B-test result charts in Excel before migrating to dedicated analytics platforms (Opie, 2019; Paura and </w:t>
            </w:r>
            <w:proofErr w:type="spellStart"/>
            <w:r>
              <w:t>Arhipova</w:t>
            </w:r>
            <w:proofErr w:type="spellEnd"/>
            <w:r>
              <w:t>, 2012).</w:t>
            </w:r>
          </w:p>
        </w:tc>
      </w:tr>
    </w:tbl>
    <w:p w14:paraId="0F02160E" w14:textId="77777777" w:rsidR="00815887" w:rsidRDefault="00000000">
      <w:pPr>
        <w:spacing w:before="200" w:after="240"/>
      </w:pPr>
      <w:r>
        <w:br w:type="page"/>
      </w:r>
    </w:p>
    <w:p w14:paraId="5E14C564" w14:textId="77777777" w:rsidR="00815887" w:rsidRDefault="00000000">
      <w:pPr>
        <w:pStyle w:val="Heading1"/>
        <w:spacing w:before="200" w:after="240"/>
      </w:pPr>
      <w:bookmarkStart w:id="22" w:name="_of5gurqxqs8k" w:colFirst="0" w:colLast="0"/>
      <w:bookmarkEnd w:id="22"/>
      <w:r>
        <w:lastRenderedPageBreak/>
        <w:t>References</w:t>
      </w:r>
    </w:p>
    <w:p w14:paraId="5DE570E8" w14:textId="77777777" w:rsidR="00815887" w:rsidRDefault="00000000">
      <w:pPr>
        <w:spacing w:before="200" w:after="240"/>
      </w:pPr>
      <w:r>
        <w:t xml:space="preserve">Agrawal, R., and Batra, M. (2013). A detailed study on text mining techniques. </w:t>
      </w:r>
      <w:r>
        <w:rPr>
          <w:i/>
        </w:rPr>
        <w:t>International Journal of Soft Computing and Engineering</w:t>
      </w:r>
      <w:r>
        <w:t>, 2(6), 118–121.</w:t>
      </w:r>
    </w:p>
    <w:p w14:paraId="46295D7B" w14:textId="77777777" w:rsidR="00815887" w:rsidRDefault="00000000">
      <w:pPr>
        <w:spacing w:before="200" w:after="240"/>
      </w:pPr>
      <w:r>
        <w:t xml:space="preserve">Alcaraz-Martinez, R., Ribera, M., Roig Marcelino, J., and Pascual-Almenara, A. (2024, June). Can we create accessible charts with Microsoft </w:t>
      </w:r>
      <w:proofErr w:type="gramStart"/>
      <w:r>
        <w:t>Excel?:</w:t>
      </w:r>
      <w:proofErr w:type="gramEnd"/>
      <w:r>
        <w:t xml:space="preserve"> A review of possibilities and limits, with a special focus to users with low vision. In </w:t>
      </w:r>
      <w:r>
        <w:rPr>
          <w:i/>
        </w:rPr>
        <w:t>Proceedings of the XXIV International Conference on Human Computer Interaction</w:t>
      </w:r>
      <w:r>
        <w:t xml:space="preserve"> (pp. 1–13).</w:t>
      </w:r>
    </w:p>
    <w:p w14:paraId="3BF4126C" w14:textId="77777777" w:rsidR="00815887" w:rsidRDefault="00000000">
      <w:pPr>
        <w:spacing w:before="200" w:after="240"/>
      </w:pPr>
      <w:proofErr w:type="spellStart"/>
      <w:r>
        <w:t>Arkkelin</w:t>
      </w:r>
      <w:proofErr w:type="spellEnd"/>
      <w:r>
        <w:t xml:space="preserve">, D. (2014). </w:t>
      </w:r>
      <w:r>
        <w:rPr>
          <w:i/>
        </w:rPr>
        <w:t>Using SPSS to understand research and data analysis</w:t>
      </w:r>
      <w:r>
        <w:t>.</w:t>
      </w:r>
    </w:p>
    <w:p w14:paraId="1D7391CD" w14:textId="77777777" w:rsidR="00815887" w:rsidRDefault="00000000">
      <w:pPr>
        <w:spacing w:before="200" w:after="240"/>
      </w:pPr>
      <w:proofErr w:type="spellStart"/>
      <w:r>
        <w:t>Buzrul</w:t>
      </w:r>
      <w:proofErr w:type="spellEnd"/>
      <w:r>
        <w:t xml:space="preserve">, S. (2024). On the pros and cons of using Excel for regression analysis. </w:t>
      </w:r>
      <w:r>
        <w:rPr>
          <w:i/>
        </w:rPr>
        <w:t>Turkish Journal of Agriculture-Food Science and Technology</w:t>
      </w:r>
      <w:r>
        <w:t>, 12(s2), 2234–2241.</w:t>
      </w:r>
    </w:p>
    <w:p w14:paraId="75AD33C5" w14:textId="77777777" w:rsidR="00815887" w:rsidRDefault="00000000">
      <w:pPr>
        <w:spacing w:before="200" w:after="240"/>
      </w:pPr>
      <w:proofErr w:type="spellStart"/>
      <w:r>
        <w:t>Cleff</w:t>
      </w:r>
      <w:proofErr w:type="spellEnd"/>
      <w:r>
        <w:t xml:space="preserve">, T. (2019). </w:t>
      </w:r>
      <w:r>
        <w:rPr>
          <w:i/>
        </w:rPr>
        <w:t>Applied statistics and multivariate data analysis for business and economics: A modern approach using SPSS, Stata, and Excel</w:t>
      </w:r>
      <w:r>
        <w:t>. Springer.</w:t>
      </w:r>
    </w:p>
    <w:p w14:paraId="10A805A7" w14:textId="77777777" w:rsidR="00815887" w:rsidRDefault="00000000">
      <w:pPr>
        <w:spacing w:before="200" w:after="240"/>
      </w:pPr>
      <w:r>
        <w:t xml:space="preserve">Ergün, M. (2016). Using the techniques of data mining and text mining in educational research. </w:t>
      </w:r>
      <w:r>
        <w:rPr>
          <w:i/>
        </w:rPr>
        <w:t>Participatory Educational Research</w:t>
      </w:r>
      <w:r>
        <w:t>, 4(1), 140–151.</w:t>
      </w:r>
    </w:p>
    <w:p w14:paraId="18ED9F87" w14:textId="77777777" w:rsidR="00815887" w:rsidRDefault="00000000">
      <w:pPr>
        <w:spacing w:before="200" w:after="240"/>
      </w:pPr>
      <w:r>
        <w:t xml:space="preserve">Gaikwad, S. V., Chaugule, A., and Patil, P. (2014). Text mining methods and techniques. </w:t>
      </w:r>
      <w:r>
        <w:rPr>
          <w:i/>
        </w:rPr>
        <w:t>International Journal of Computer Applications</w:t>
      </w:r>
      <w:r>
        <w:t>, 85(17).</w:t>
      </w:r>
    </w:p>
    <w:p w14:paraId="6F0DB8EF" w14:textId="77777777" w:rsidR="00815887" w:rsidRDefault="00000000">
      <w:pPr>
        <w:spacing w:before="200" w:after="240"/>
      </w:pPr>
      <w:r>
        <w:t xml:space="preserve">Guerrero, H., Guerrero, R., and Rauscher. (2019). </w:t>
      </w:r>
      <w:r>
        <w:rPr>
          <w:i/>
        </w:rPr>
        <w:t>Excel data analysis</w:t>
      </w:r>
      <w:r>
        <w:t>. Springer International Publishing.</w:t>
      </w:r>
    </w:p>
    <w:p w14:paraId="7C7CA02E" w14:textId="77777777" w:rsidR="00815887" w:rsidRDefault="00000000">
      <w:pPr>
        <w:spacing w:before="200" w:after="240"/>
      </w:pPr>
      <w:r>
        <w:t xml:space="preserve">Jelen, B. (2024). </w:t>
      </w:r>
      <w:r>
        <w:rPr>
          <w:i/>
        </w:rPr>
        <w:t xml:space="preserve">Power Excel with </w:t>
      </w:r>
      <w:proofErr w:type="spellStart"/>
      <w:r>
        <w:rPr>
          <w:i/>
        </w:rPr>
        <w:t>MrExcel</w:t>
      </w:r>
      <w:proofErr w:type="spellEnd"/>
      <w:r>
        <w:rPr>
          <w:i/>
        </w:rPr>
        <w:t>: Master Pivot Tables, Subtotals, VLOOKUP, Power Query, Dynamic Arrays and Data Analysis</w:t>
      </w:r>
      <w:r>
        <w:t xml:space="preserve">. </w:t>
      </w:r>
      <w:proofErr w:type="spellStart"/>
      <w:r>
        <w:t>Packt</w:t>
      </w:r>
      <w:proofErr w:type="spellEnd"/>
      <w:r>
        <w:t xml:space="preserve"> Publishing Ltd.</w:t>
      </w:r>
    </w:p>
    <w:p w14:paraId="541A128D" w14:textId="77777777" w:rsidR="00815887" w:rsidRDefault="00000000">
      <w:pPr>
        <w:spacing w:before="200" w:after="240"/>
      </w:pPr>
      <w:r>
        <w:t xml:space="preserve">Lindquist, J. M., and Sulewski, C. A. (2024). Microsoft Excel. </w:t>
      </w:r>
      <w:r>
        <w:rPr>
          <w:i/>
        </w:rPr>
        <w:t xml:space="preserve">Handbook of Military and </w:t>
      </w:r>
      <w:proofErr w:type="spellStart"/>
      <w:r>
        <w:rPr>
          <w:i/>
        </w:rPr>
        <w:t>Defense</w:t>
      </w:r>
      <w:proofErr w:type="spellEnd"/>
      <w:r>
        <w:rPr>
          <w:i/>
        </w:rPr>
        <w:t xml:space="preserve"> Operations Research</w:t>
      </w:r>
      <w:r>
        <w:t>, 21.</w:t>
      </w:r>
    </w:p>
    <w:p w14:paraId="07467F39" w14:textId="77777777" w:rsidR="00815887" w:rsidRDefault="00000000">
      <w:pPr>
        <w:spacing w:before="200" w:after="240"/>
      </w:pPr>
      <w:r>
        <w:t xml:space="preserve">Lvov, A., and </w:t>
      </w:r>
      <w:proofErr w:type="spellStart"/>
      <w:r>
        <w:t>Komppula</w:t>
      </w:r>
      <w:proofErr w:type="spellEnd"/>
      <w:r>
        <w:t xml:space="preserve">, R. (2024). The essence of the hotel room in the hotel business–the hotel managers’ perspective. </w:t>
      </w:r>
      <w:r>
        <w:rPr>
          <w:i/>
        </w:rPr>
        <w:t>European Journal of Tourism Research</w:t>
      </w:r>
      <w:r>
        <w:t>, 36, 3609–3609.</w:t>
      </w:r>
    </w:p>
    <w:p w14:paraId="368B5293" w14:textId="77777777" w:rsidR="00815887" w:rsidRDefault="00000000">
      <w:pPr>
        <w:spacing w:before="200" w:after="240"/>
      </w:pPr>
      <w:r>
        <w:lastRenderedPageBreak/>
        <w:t xml:space="preserve">Mariani, M., and Baggio, R. (2022). Big data and analytics in hospitality and tourism: A systematic literature review. </w:t>
      </w:r>
      <w:r>
        <w:rPr>
          <w:i/>
        </w:rPr>
        <w:t>International Journal of Contemporary Hospitality Management</w:t>
      </w:r>
      <w:r>
        <w:t>, 34(1), 231–278.</w:t>
      </w:r>
    </w:p>
    <w:p w14:paraId="19EB92F8" w14:textId="77777777" w:rsidR="00815887" w:rsidRDefault="00000000">
      <w:pPr>
        <w:spacing w:before="200" w:after="240"/>
      </w:pPr>
      <w:r>
        <w:t xml:space="preserve">McCormick, K., and Salcedo, J. (2017). </w:t>
      </w:r>
      <w:r>
        <w:rPr>
          <w:i/>
        </w:rPr>
        <w:t>SPSS statistics for data analysis and visualization</w:t>
      </w:r>
      <w:r>
        <w:t>. John Wiley and Sons.</w:t>
      </w:r>
    </w:p>
    <w:p w14:paraId="7D71E518" w14:textId="77777777" w:rsidR="00815887" w:rsidRDefault="00000000">
      <w:pPr>
        <w:spacing w:before="200" w:after="240"/>
      </w:pPr>
      <w:r>
        <w:t xml:space="preserve">Nelson, S. L., and Nelson, E. C. (2016). </w:t>
      </w:r>
      <w:r>
        <w:rPr>
          <w:i/>
        </w:rPr>
        <w:t>Excel data analysis for dummies</w:t>
      </w:r>
      <w:r>
        <w:t>. John Wiley and Sons.</w:t>
      </w:r>
    </w:p>
    <w:p w14:paraId="156EC1FB" w14:textId="77777777" w:rsidR="00815887" w:rsidRDefault="00000000">
      <w:pPr>
        <w:spacing w:before="200" w:after="240"/>
      </w:pPr>
      <w:r>
        <w:t xml:space="preserve">Nikolić, J. (2017). Business success analysis in the hotel industry. </w:t>
      </w:r>
      <w:r>
        <w:rPr>
          <w:i/>
        </w:rPr>
        <w:t>FINIZ 2017–Challenges in Modern Corporate Governance</w:t>
      </w:r>
      <w:r>
        <w:t>, 14–17.</w:t>
      </w:r>
    </w:p>
    <w:p w14:paraId="55148230" w14:textId="77777777" w:rsidR="00815887" w:rsidRDefault="00000000">
      <w:pPr>
        <w:spacing w:before="200" w:after="240"/>
      </w:pPr>
      <w:r>
        <w:t xml:space="preserve">Opie, C. (2019). Using Excel/SPSS in your research. In </w:t>
      </w:r>
      <w:r>
        <w:rPr>
          <w:i/>
        </w:rPr>
        <w:t>Getting Started in Your Educational Research: Design, Data Production and Analysis</w:t>
      </w:r>
      <w:r>
        <w:t xml:space="preserve"> (pp. 309–342). SAGE Publications Ltd.</w:t>
      </w:r>
    </w:p>
    <w:p w14:paraId="0ED35AA2" w14:textId="77777777" w:rsidR="00815887" w:rsidRDefault="00000000">
      <w:pPr>
        <w:spacing w:before="200" w:after="240"/>
      </w:pPr>
      <w:r>
        <w:t xml:space="preserve">Paura, L., and </w:t>
      </w:r>
      <w:proofErr w:type="spellStart"/>
      <w:r>
        <w:t>Arhipova</w:t>
      </w:r>
      <w:proofErr w:type="spellEnd"/>
      <w:r>
        <w:t xml:space="preserve">, I. (2012). Advantages and disadvantages of professional and free software for teaching statistics. </w:t>
      </w:r>
      <w:r>
        <w:rPr>
          <w:i/>
        </w:rPr>
        <w:t>Information Technology and Management Science</w:t>
      </w:r>
      <w:r>
        <w:t>, 15(1), 9–64.</w:t>
      </w:r>
    </w:p>
    <w:p w14:paraId="5D48C19B" w14:textId="77777777" w:rsidR="00815887" w:rsidRDefault="00000000">
      <w:pPr>
        <w:spacing w:before="200" w:after="240"/>
      </w:pPr>
      <w:r>
        <w:t xml:space="preserve">Raharjo, S., Yenni, Y., </w:t>
      </w:r>
      <w:proofErr w:type="spellStart"/>
      <w:r>
        <w:t>Pradja</w:t>
      </w:r>
      <w:proofErr w:type="spellEnd"/>
      <w:r>
        <w:t xml:space="preserve">, B. P., and </w:t>
      </w:r>
      <w:proofErr w:type="spellStart"/>
      <w:r>
        <w:t>Andriyani</w:t>
      </w:r>
      <w:proofErr w:type="spellEnd"/>
      <w:r>
        <w:t xml:space="preserve">, R. (2025). Effectiveness utilization MS Excel in numerical methods course. </w:t>
      </w:r>
      <w:r>
        <w:rPr>
          <w:i/>
        </w:rPr>
        <w:t xml:space="preserve">Prima: </w:t>
      </w:r>
      <w:proofErr w:type="spellStart"/>
      <w:r>
        <w:rPr>
          <w:i/>
        </w:rPr>
        <w:t>Jurnal</w:t>
      </w:r>
      <w:proofErr w:type="spellEnd"/>
      <w:r>
        <w:rPr>
          <w:i/>
        </w:rPr>
        <w:t xml:space="preserve"> Pendidikan </w:t>
      </w:r>
      <w:proofErr w:type="spellStart"/>
      <w:r>
        <w:rPr>
          <w:i/>
        </w:rPr>
        <w:t>Matematika</w:t>
      </w:r>
      <w:proofErr w:type="spellEnd"/>
      <w:r>
        <w:t>, 9(1), 229–238.</w:t>
      </w:r>
    </w:p>
    <w:p w14:paraId="4B383F75" w14:textId="77777777" w:rsidR="00815887" w:rsidRDefault="00000000">
      <w:pPr>
        <w:spacing w:before="200" w:after="240"/>
      </w:pPr>
      <w:r>
        <w:t xml:space="preserve">Remenyi, D., Onofrei, G., and English, J. (2022). </w:t>
      </w:r>
      <w:r>
        <w:rPr>
          <w:i/>
        </w:rPr>
        <w:t>An introduction to statistics using Microsoft Excel</w:t>
      </w:r>
      <w:r>
        <w:t>. UJ Press.</w:t>
      </w:r>
    </w:p>
    <w:p w14:paraId="47E757C6" w14:textId="77777777" w:rsidR="00815887" w:rsidRDefault="00000000">
      <w:pPr>
        <w:spacing w:before="200" w:after="240"/>
      </w:pPr>
      <w:r>
        <w:t xml:space="preserve">Şentürk, F. K. (2012). A study to determine the usage of strategic management tools in the hotel industry. </w:t>
      </w:r>
      <w:r>
        <w:rPr>
          <w:i/>
        </w:rPr>
        <w:t xml:space="preserve">Procedia–Social and </w:t>
      </w:r>
      <w:proofErr w:type="spellStart"/>
      <w:r>
        <w:rPr>
          <w:i/>
        </w:rPr>
        <w:t>Behavioral</w:t>
      </w:r>
      <w:proofErr w:type="spellEnd"/>
      <w:r>
        <w:rPr>
          <w:i/>
        </w:rPr>
        <w:t xml:space="preserve"> Sciences</w:t>
      </w:r>
      <w:r>
        <w:t>, 58, 11–18.</w:t>
      </w:r>
    </w:p>
    <w:p w14:paraId="111F32D4" w14:textId="77777777" w:rsidR="00815887" w:rsidRDefault="00000000">
      <w:pPr>
        <w:spacing w:before="200" w:after="240"/>
      </w:pPr>
      <w:r>
        <w:t xml:space="preserve">Sukanya, M., and Biruntha, S. (2012, August). Techniques on text mining. In </w:t>
      </w:r>
      <w:r>
        <w:rPr>
          <w:i/>
        </w:rPr>
        <w:t>2012 IEEE International Conference on Advanced Communication Control and Computing Technologies (ICACCT)</w:t>
      </w:r>
      <w:r>
        <w:t xml:space="preserve"> (pp. 269–271). IEEE.</w:t>
      </w:r>
    </w:p>
    <w:p w14:paraId="74EDB811" w14:textId="77777777" w:rsidR="00815887" w:rsidRDefault="00000000">
      <w:pPr>
        <w:spacing w:before="200" w:after="240"/>
      </w:pPr>
      <w:r>
        <w:t xml:space="preserve">Talib, R., Hanif, M. K., Ayesha, S., and Fatima, F. (2016). Text mining: Techniques, applications and issues. </w:t>
      </w:r>
      <w:r>
        <w:rPr>
          <w:i/>
        </w:rPr>
        <w:t>International Journal of Advanced Computer Science and Applications</w:t>
      </w:r>
      <w:r>
        <w:t>, 7(11), 414–418.</w:t>
      </w:r>
    </w:p>
    <w:p w14:paraId="5EBB6833" w14:textId="77777777" w:rsidR="00815887" w:rsidRDefault="00000000" w:rsidP="00F26174">
      <w:pPr>
        <w:spacing w:before="200" w:after="240"/>
      </w:pPr>
      <w:r>
        <w:t xml:space="preserve">Zong, C., Xia, R., and Zhang, J. (2021). </w:t>
      </w:r>
      <w:r>
        <w:rPr>
          <w:i/>
        </w:rPr>
        <w:t>Text data mining</w:t>
      </w:r>
      <w:r>
        <w:t xml:space="preserve"> (Vol. 711, p. 712). Springer.</w:t>
      </w:r>
    </w:p>
    <w:sectPr w:rsidR="00815887">
      <w:footerReference w:type="default" r:id="rId2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9574D6" w14:textId="77777777" w:rsidR="00775CA3" w:rsidRDefault="00775CA3">
      <w:pPr>
        <w:spacing w:line="240" w:lineRule="auto"/>
      </w:pPr>
      <w:r>
        <w:separator/>
      </w:r>
    </w:p>
  </w:endnote>
  <w:endnote w:type="continuationSeparator" w:id="0">
    <w:p w14:paraId="601F3226" w14:textId="77777777" w:rsidR="00775CA3" w:rsidRDefault="00775C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ungsuh">
    <w:charset w:val="81"/>
    <w:family w:val="roman"/>
    <w:pitch w:val="variable"/>
    <w:sig w:usb0="B00002AF" w:usb1="69D77CFB" w:usb2="00000030" w:usb3="00000000" w:csb0="0008009F" w:csb1="00000000"/>
  </w:font>
  <w:font w:name="__GeistSans_Fallback_3a0388">
    <w:altName w:val="Cambria"/>
    <w:panose1 w:val="00000000000000000000"/>
    <w:charset w:val="00"/>
    <w:family w:val="roman"/>
    <w:notTrueType/>
    <w:pitch w:val="default"/>
  </w:font>
  <w:font w:name="Cardo">
    <w:charset w:val="00"/>
    <w:family w:val="auto"/>
    <w:pitch w:val="default"/>
    <w:embedRegular r:id="rId1" w:fontKey="{78649870-E4FE-445A-86B8-B5A176AADB2F}"/>
  </w:font>
  <w:font w:name="Calibri">
    <w:panose1 w:val="020F0502020204030204"/>
    <w:charset w:val="00"/>
    <w:family w:val="swiss"/>
    <w:pitch w:val="variable"/>
    <w:sig w:usb0="E4002EFF" w:usb1="C000247B" w:usb2="00000009" w:usb3="00000000" w:csb0="000001FF" w:csb1="00000000"/>
    <w:embedRegular r:id="rId2" w:fontKey="{4C94049D-1E9D-40FA-AC2D-87338C54CA71}"/>
  </w:font>
  <w:font w:name="Cambria">
    <w:panose1 w:val="02040503050406030204"/>
    <w:charset w:val="00"/>
    <w:family w:val="roman"/>
    <w:pitch w:val="variable"/>
    <w:sig w:usb0="E00006FF" w:usb1="420024FF" w:usb2="02000000" w:usb3="00000000" w:csb0="0000019F" w:csb1="00000000"/>
    <w:embedRegular r:id="rId3" w:fontKey="{4300DCFA-AA03-4D83-B680-D40F1D44FC0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40F5DF" w14:textId="77777777" w:rsidR="00815887" w:rsidRDefault="00000000">
    <w:pPr>
      <w:jc w:val="right"/>
    </w:pPr>
    <w:r>
      <w:t xml:space="preserve">Page No. </w:t>
    </w:r>
    <w:r>
      <w:fldChar w:fldCharType="begin"/>
    </w:r>
    <w:r>
      <w:instrText>PAGE</w:instrText>
    </w:r>
    <w:r>
      <w:fldChar w:fldCharType="separate"/>
    </w:r>
    <w:r w:rsidR="004B3A5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6CCD75" w14:textId="77777777" w:rsidR="00775CA3" w:rsidRDefault="00775CA3">
      <w:pPr>
        <w:spacing w:line="240" w:lineRule="auto"/>
      </w:pPr>
      <w:r>
        <w:separator/>
      </w:r>
    </w:p>
  </w:footnote>
  <w:footnote w:type="continuationSeparator" w:id="0">
    <w:p w14:paraId="410EC356" w14:textId="77777777" w:rsidR="00775CA3" w:rsidRDefault="00775C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B973AB"/>
    <w:multiLevelType w:val="multilevel"/>
    <w:tmpl w:val="7612F7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A43836"/>
    <w:multiLevelType w:val="multilevel"/>
    <w:tmpl w:val="5B80A9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61C461B"/>
    <w:multiLevelType w:val="multilevel"/>
    <w:tmpl w:val="9C88AD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CC3799A"/>
    <w:multiLevelType w:val="multilevel"/>
    <w:tmpl w:val="A84289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B0832DD"/>
    <w:multiLevelType w:val="multilevel"/>
    <w:tmpl w:val="023890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46238589">
    <w:abstractNumId w:val="0"/>
  </w:num>
  <w:num w:numId="2" w16cid:durableId="77751607">
    <w:abstractNumId w:val="4"/>
  </w:num>
  <w:num w:numId="3" w16cid:durableId="816607461">
    <w:abstractNumId w:val="3"/>
  </w:num>
  <w:num w:numId="4" w16cid:durableId="709379350">
    <w:abstractNumId w:val="2"/>
  </w:num>
  <w:num w:numId="5" w16cid:durableId="13115989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5887"/>
    <w:rsid w:val="00027DE6"/>
    <w:rsid w:val="002238AC"/>
    <w:rsid w:val="002D6F99"/>
    <w:rsid w:val="003D7831"/>
    <w:rsid w:val="004B3A57"/>
    <w:rsid w:val="0066545B"/>
    <w:rsid w:val="006F719C"/>
    <w:rsid w:val="00775CA3"/>
    <w:rsid w:val="00813356"/>
    <w:rsid w:val="00815887"/>
    <w:rsid w:val="00C42068"/>
    <w:rsid w:val="00C75473"/>
    <w:rsid w:val="00C86EA9"/>
    <w:rsid w:val="00E44CA3"/>
    <w:rsid w:val="00F26174"/>
    <w:rsid w:val="00F33829"/>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5A9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color w:val="0000FF"/>
      <w:sz w:val="36"/>
      <w:szCs w:val="36"/>
    </w:rPr>
  </w:style>
  <w:style w:type="paragraph" w:styleId="Heading2">
    <w:name w:val="heading 2"/>
    <w:basedOn w:val="Normal"/>
    <w:next w:val="Normal"/>
    <w:uiPriority w:val="9"/>
    <w:unhideWhenUsed/>
    <w:qFormat/>
    <w:pPr>
      <w:keepNext/>
      <w:keepLines/>
      <w:spacing w:before="360" w:after="80"/>
      <w:outlineLvl w:val="1"/>
    </w:pPr>
    <w:rPr>
      <w:b/>
      <w:color w:val="0B5394"/>
      <w:sz w:val="30"/>
      <w:szCs w:val="30"/>
    </w:rPr>
  </w:style>
  <w:style w:type="paragraph" w:styleId="Heading3">
    <w:name w:val="heading 3"/>
    <w:basedOn w:val="Normal"/>
    <w:next w:val="Normal"/>
    <w:uiPriority w:val="9"/>
    <w:unhideWhenUsed/>
    <w:qFormat/>
    <w:pPr>
      <w:keepNext/>
      <w:keepLines/>
      <w:spacing w:before="240" w:after="240"/>
      <w:outlineLvl w:val="2"/>
    </w:pPr>
    <w:rPr>
      <w:b/>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33829"/>
    <w:pPr>
      <w:tabs>
        <w:tab w:val="center" w:pos="4680"/>
        <w:tab w:val="right" w:pos="9360"/>
      </w:tabs>
      <w:spacing w:line="240" w:lineRule="auto"/>
    </w:pPr>
  </w:style>
  <w:style w:type="character" w:customStyle="1" w:styleId="HeaderChar">
    <w:name w:val="Header Char"/>
    <w:basedOn w:val="DefaultParagraphFont"/>
    <w:link w:val="Header"/>
    <w:uiPriority w:val="99"/>
    <w:rsid w:val="00F33829"/>
  </w:style>
  <w:style w:type="paragraph" w:styleId="Footer">
    <w:name w:val="footer"/>
    <w:basedOn w:val="Normal"/>
    <w:link w:val="FooterChar"/>
    <w:uiPriority w:val="99"/>
    <w:unhideWhenUsed/>
    <w:rsid w:val="00F33829"/>
    <w:pPr>
      <w:tabs>
        <w:tab w:val="center" w:pos="4680"/>
        <w:tab w:val="right" w:pos="9360"/>
      </w:tabs>
      <w:spacing w:line="240" w:lineRule="auto"/>
    </w:pPr>
  </w:style>
  <w:style w:type="character" w:customStyle="1" w:styleId="FooterChar">
    <w:name w:val="Footer Char"/>
    <w:basedOn w:val="DefaultParagraphFont"/>
    <w:link w:val="Footer"/>
    <w:uiPriority w:val="99"/>
    <w:rsid w:val="00F338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821541">
      <w:bodyDiv w:val="1"/>
      <w:marLeft w:val="0"/>
      <w:marRight w:val="0"/>
      <w:marTop w:val="0"/>
      <w:marBottom w:val="0"/>
      <w:divBdr>
        <w:top w:val="none" w:sz="0" w:space="0" w:color="auto"/>
        <w:left w:val="none" w:sz="0" w:space="0" w:color="auto"/>
        <w:bottom w:val="none" w:sz="0" w:space="0" w:color="auto"/>
        <w:right w:val="none" w:sz="0" w:space="0" w:color="auto"/>
      </w:divBdr>
    </w:div>
    <w:div w:id="252904812">
      <w:bodyDiv w:val="1"/>
      <w:marLeft w:val="0"/>
      <w:marRight w:val="0"/>
      <w:marTop w:val="0"/>
      <w:marBottom w:val="0"/>
      <w:divBdr>
        <w:top w:val="none" w:sz="0" w:space="0" w:color="auto"/>
        <w:left w:val="none" w:sz="0" w:space="0" w:color="auto"/>
        <w:bottom w:val="none" w:sz="0" w:space="0" w:color="auto"/>
        <w:right w:val="none" w:sz="0" w:space="0" w:color="auto"/>
      </w:divBdr>
    </w:div>
    <w:div w:id="1027176461">
      <w:bodyDiv w:val="1"/>
      <w:marLeft w:val="0"/>
      <w:marRight w:val="0"/>
      <w:marTop w:val="0"/>
      <w:marBottom w:val="0"/>
      <w:divBdr>
        <w:top w:val="none" w:sz="0" w:space="0" w:color="auto"/>
        <w:left w:val="none" w:sz="0" w:space="0" w:color="auto"/>
        <w:bottom w:val="none" w:sz="0" w:space="0" w:color="auto"/>
        <w:right w:val="none" w:sz="0" w:space="0" w:color="auto"/>
      </w:divBdr>
    </w:div>
    <w:div w:id="17888888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30</Pages>
  <Words>3810</Words>
  <Characters>22602</Characters>
  <Application>Microsoft Office Word</Application>
  <DocSecurity>0</DocSecurity>
  <Lines>516</Lines>
  <Paragraphs>206</Paragraphs>
  <ScaleCrop>false</ScaleCrop>
  <Company/>
  <LinksUpToDate>false</LinksUpToDate>
  <CharactersWithSpaces>26190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2025-04-30T05:15:00Z</dcterms:created>
  <dcterms:modified xsi:type="dcterms:W3CDTF">2025-04-30T05:15:00Z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ddd7e92f-5738-4468-bc93-5242eea45029</vt:lpwstr>
  </property>
</Properties>
</file>