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11C9D" w:rsidR="0090766A" w:rsidP="3155FE89" w:rsidRDefault="0031464D" w14:paraId="6D78D1E6" w14:noSpellErr="1" w14:textId="1D4F21A0">
      <w:pPr>
        <w:pStyle w:val="Normal"/>
        <w:spacing w:line="360" w:lineRule="auto"/>
        <w:jc w:val="center"/>
        <w:rPr>
          <w:rFonts w:ascii="Arial" w:hAnsi="Arial" w:cs="Arial"/>
          <w:b w:val="1"/>
          <w:bCs w:val="1"/>
        </w:rPr>
      </w:pPr>
    </w:p>
    <w:p w:rsidR="0070444C" w:rsidP="00511C9D" w:rsidRDefault="0070444C" w14:paraId="4F194FB4" w14:textId="77777777">
      <w:pPr>
        <w:spacing w:after="0" w:line="360" w:lineRule="auto"/>
        <w:jc w:val="center"/>
        <w:rPr>
          <w:rFonts w:ascii="Arial" w:hAnsi="Arial" w:cs="Arial"/>
        </w:rPr>
      </w:pPr>
    </w:p>
    <w:p w:rsidR="0070444C" w:rsidP="00511C9D" w:rsidRDefault="0070444C" w14:paraId="19137C7E" w14:textId="77777777">
      <w:pPr>
        <w:spacing w:after="0" w:line="360" w:lineRule="auto"/>
        <w:jc w:val="center"/>
        <w:rPr>
          <w:rFonts w:ascii="Arial" w:hAnsi="Arial" w:cs="Arial"/>
        </w:rPr>
      </w:pPr>
    </w:p>
    <w:p w:rsidRPr="00511C9D" w:rsidR="004965C0" w:rsidP="00511C9D" w:rsidRDefault="6FD81C5F" w14:paraId="1B9BA7EC" w14:textId="68E8545C">
      <w:pPr>
        <w:spacing w:after="0" w:line="360" w:lineRule="auto"/>
        <w:jc w:val="center"/>
        <w:rPr>
          <w:rFonts w:ascii="Arial" w:hAnsi="Arial" w:cs="Arial"/>
        </w:rPr>
      </w:pPr>
      <w:r w:rsidRPr="68E04DC3">
        <w:rPr>
          <w:rFonts w:ascii="Arial" w:hAnsi="Arial" w:cs="Arial"/>
        </w:rPr>
        <w:t>Student Name: Olivia Sarpong</w:t>
      </w:r>
    </w:p>
    <w:p w:rsidR="68E04DC3" w:rsidP="68E04DC3" w:rsidRDefault="68E04DC3" w14:paraId="00B76BEF" w14:textId="752D07AA">
      <w:pPr>
        <w:spacing w:after="0" w:line="360" w:lineRule="auto"/>
        <w:jc w:val="center"/>
        <w:rPr>
          <w:rFonts w:ascii="Arial" w:hAnsi="Arial" w:cs="Arial"/>
        </w:rPr>
      </w:pPr>
    </w:p>
    <w:p w:rsidRPr="00511C9D" w:rsidR="004965C0" w:rsidP="00511C9D" w:rsidRDefault="004965C0" w14:paraId="4E4D3864" w14:textId="65110F8B">
      <w:pPr>
        <w:spacing w:after="0" w:line="360" w:lineRule="auto"/>
        <w:jc w:val="center"/>
        <w:rPr>
          <w:rFonts w:ascii="Arial" w:hAnsi="Arial" w:cs="Arial"/>
        </w:rPr>
      </w:pPr>
      <w:r w:rsidRPr="68E04DC3">
        <w:rPr>
          <w:rFonts w:ascii="Arial" w:hAnsi="Arial" w:cs="Arial"/>
        </w:rPr>
        <w:t>Student</w:t>
      </w:r>
      <w:r w:rsidRPr="68E04DC3" w:rsidR="156A10FF">
        <w:rPr>
          <w:rFonts w:ascii="Arial" w:hAnsi="Arial" w:cs="Arial"/>
        </w:rPr>
        <w:t xml:space="preserve"> ID</w:t>
      </w:r>
      <w:r w:rsidRPr="68E04DC3">
        <w:rPr>
          <w:rFonts w:ascii="Arial" w:hAnsi="Arial" w:cs="Arial"/>
        </w:rPr>
        <w:t xml:space="preserve"> Number</w:t>
      </w:r>
      <w:r w:rsidRPr="68E04DC3" w:rsidR="7EFA406C">
        <w:rPr>
          <w:rFonts w:ascii="Arial" w:hAnsi="Arial" w:cs="Arial"/>
        </w:rPr>
        <w:t>: 22084</w:t>
      </w:r>
      <w:r w:rsidRPr="68E04DC3" w:rsidR="4CAFA74E">
        <w:rPr>
          <w:rFonts w:ascii="Arial" w:hAnsi="Arial" w:cs="Arial"/>
        </w:rPr>
        <w:t>52</w:t>
      </w:r>
    </w:p>
    <w:p w:rsidR="68E04DC3" w:rsidP="68E04DC3" w:rsidRDefault="68E04DC3" w14:paraId="5FB2FFCA" w14:textId="57CB43ED">
      <w:pPr>
        <w:spacing w:after="0" w:line="360" w:lineRule="auto"/>
        <w:jc w:val="center"/>
        <w:rPr>
          <w:rFonts w:ascii="Arial" w:hAnsi="Arial" w:cs="Arial"/>
        </w:rPr>
      </w:pPr>
    </w:p>
    <w:p w:rsidRPr="00511C9D" w:rsidR="004965C0" w:rsidP="00511C9D" w:rsidRDefault="4CAFA74E" w14:paraId="037943E6" w14:textId="5B7CE287">
      <w:pPr>
        <w:spacing w:after="0" w:line="360" w:lineRule="auto"/>
        <w:jc w:val="center"/>
        <w:rPr>
          <w:rFonts w:ascii="Arial" w:hAnsi="Arial" w:cs="Arial"/>
        </w:rPr>
      </w:pPr>
      <w:r w:rsidRPr="68E04DC3">
        <w:rPr>
          <w:rFonts w:ascii="Arial" w:hAnsi="Arial" w:cs="Arial"/>
        </w:rPr>
        <w:t>Programme: C</w:t>
      </w:r>
      <w:r w:rsidR="004965C0">
        <w:tab/>
      </w:r>
      <w:r w:rsidRPr="68E04DC3">
        <w:rPr>
          <w:rFonts w:ascii="Arial" w:hAnsi="Arial" w:cs="Arial"/>
        </w:rPr>
        <w:t>ertificate of Higher Educa</w:t>
      </w:r>
      <w:r w:rsidRPr="68E04DC3" w:rsidR="28B4678A">
        <w:rPr>
          <w:rFonts w:ascii="Arial" w:hAnsi="Arial" w:cs="Arial"/>
        </w:rPr>
        <w:t>tion Skills for the Work</w:t>
      </w:r>
      <w:r w:rsidRPr="68E04DC3" w:rsidR="5636A82E">
        <w:rPr>
          <w:rFonts w:ascii="Arial" w:hAnsi="Arial" w:cs="Arial"/>
        </w:rPr>
        <w:t>place (Health and Social Care)</w:t>
      </w:r>
    </w:p>
    <w:p w:rsidR="00F55212" w:rsidP="00F549F5" w:rsidRDefault="00F55212" w14:paraId="5E2E93C9" w14:textId="77777777">
      <w:pPr>
        <w:spacing w:line="360" w:lineRule="auto"/>
        <w:jc w:val="center"/>
        <w:rPr>
          <w:rFonts w:ascii="Arial" w:hAnsi="Arial" w:cs="Arial"/>
          <w:b/>
        </w:rPr>
      </w:pPr>
    </w:p>
    <w:p w:rsidR="00F55212" w:rsidP="68E04DC3" w:rsidRDefault="5C4EAE96" w14:paraId="766EA900" w14:textId="73DB494B">
      <w:pPr>
        <w:spacing w:line="360" w:lineRule="auto"/>
        <w:jc w:val="center"/>
        <w:rPr>
          <w:rFonts w:ascii="Arial" w:hAnsi="Arial" w:cs="Arial"/>
          <w:b/>
          <w:bCs/>
        </w:rPr>
      </w:pPr>
      <w:r w:rsidRPr="68E04DC3">
        <w:rPr>
          <w:rFonts w:ascii="Arial" w:hAnsi="Arial" w:cs="Arial"/>
          <w:b/>
          <w:bCs/>
        </w:rPr>
        <w:t>Module: Introduction t</w:t>
      </w:r>
      <w:r w:rsidRPr="68E04DC3" w:rsidR="09D0EF3B">
        <w:rPr>
          <w:rFonts w:ascii="Arial" w:hAnsi="Arial" w:cs="Arial"/>
          <w:b/>
          <w:bCs/>
        </w:rPr>
        <w:t>o Public Health</w:t>
      </w:r>
    </w:p>
    <w:p w:rsidR="00F55212" w:rsidP="68E04DC3" w:rsidRDefault="00F55212" w14:paraId="3229CE65" w14:textId="54AC76F6">
      <w:pPr>
        <w:spacing w:line="360" w:lineRule="auto"/>
        <w:jc w:val="center"/>
        <w:rPr>
          <w:rFonts w:ascii="Arial" w:hAnsi="Arial" w:cs="Arial"/>
          <w:b/>
          <w:bCs/>
        </w:rPr>
      </w:pPr>
    </w:p>
    <w:p w:rsidR="00F55212" w:rsidP="68E04DC3" w:rsidRDefault="09D0EF3B" w14:paraId="3BE87FEE" w14:textId="5EA2769F">
      <w:pPr>
        <w:spacing w:line="360" w:lineRule="auto"/>
        <w:jc w:val="center"/>
        <w:rPr>
          <w:rFonts w:ascii="Arial" w:hAnsi="Arial" w:cs="Arial"/>
          <w:b/>
          <w:bCs/>
        </w:rPr>
      </w:pPr>
      <w:r w:rsidRPr="68E04DC3">
        <w:rPr>
          <w:rFonts w:ascii="Arial" w:hAnsi="Arial" w:cs="Arial"/>
          <w:b/>
          <w:bCs/>
        </w:rPr>
        <w:t>Module Code: LCHS4004</w:t>
      </w:r>
      <w:r w:rsidRPr="68E04DC3" w:rsidR="5C4EAE96">
        <w:rPr>
          <w:rFonts w:ascii="Arial" w:hAnsi="Arial" w:cs="Arial"/>
          <w:b/>
          <w:bCs/>
        </w:rPr>
        <w:t xml:space="preserve"> </w:t>
      </w:r>
    </w:p>
    <w:p w:rsidR="00F55212" w:rsidP="00F549F5" w:rsidRDefault="00F55212" w14:paraId="6180953E" w14:textId="77777777">
      <w:pPr>
        <w:spacing w:line="360" w:lineRule="auto"/>
        <w:jc w:val="center"/>
        <w:rPr>
          <w:rFonts w:ascii="Arial" w:hAnsi="Arial" w:cs="Arial"/>
          <w:b/>
        </w:rPr>
      </w:pPr>
    </w:p>
    <w:p w:rsidR="00F55212" w:rsidP="68E04DC3" w:rsidRDefault="1C3B9598" w14:paraId="1CEA45D1" w14:textId="3D0878AA">
      <w:pPr>
        <w:spacing w:line="360" w:lineRule="auto"/>
        <w:jc w:val="center"/>
        <w:rPr>
          <w:rFonts w:ascii="Arial" w:hAnsi="Arial" w:cs="Arial"/>
          <w:b/>
          <w:bCs/>
        </w:rPr>
      </w:pPr>
      <w:r w:rsidRPr="68E04DC3">
        <w:rPr>
          <w:rFonts w:ascii="Arial" w:hAnsi="Arial" w:cs="Arial"/>
          <w:b/>
          <w:bCs/>
        </w:rPr>
        <w:t>Lecture: Dr</w:t>
      </w:r>
      <w:r w:rsidRPr="68E04DC3" w:rsidR="5B3F271C">
        <w:rPr>
          <w:rFonts w:ascii="Arial" w:hAnsi="Arial" w:cs="Arial"/>
          <w:b/>
          <w:bCs/>
        </w:rPr>
        <w:t>.</w:t>
      </w:r>
      <w:r w:rsidRPr="68E04DC3">
        <w:rPr>
          <w:rFonts w:ascii="Arial" w:hAnsi="Arial" w:cs="Arial"/>
          <w:b/>
          <w:bCs/>
        </w:rPr>
        <w:t xml:space="preserve"> Aishat </w:t>
      </w:r>
      <w:r w:rsidRPr="68E04DC3" w:rsidR="37803C23">
        <w:rPr>
          <w:rFonts w:ascii="Arial" w:hAnsi="Arial" w:cs="Arial"/>
          <w:b/>
          <w:bCs/>
        </w:rPr>
        <w:t>Baker</w:t>
      </w:r>
    </w:p>
    <w:p w:rsidR="68E04DC3" w:rsidP="68E04DC3" w:rsidRDefault="68E04DC3" w14:paraId="19EAC965" w14:textId="259EFD52">
      <w:pPr>
        <w:spacing w:line="360" w:lineRule="auto"/>
        <w:jc w:val="center"/>
        <w:rPr>
          <w:rFonts w:ascii="Arial" w:hAnsi="Arial" w:cs="Arial"/>
          <w:b/>
          <w:bCs/>
        </w:rPr>
      </w:pPr>
    </w:p>
    <w:p w:rsidR="00F55212" w:rsidP="68E04DC3" w:rsidRDefault="0792182A" w14:paraId="628511AE" w14:textId="1466EB7E">
      <w:pPr>
        <w:spacing w:line="360" w:lineRule="auto"/>
        <w:jc w:val="center"/>
        <w:rPr>
          <w:rFonts w:ascii="Arial" w:hAnsi="Arial" w:cs="Arial"/>
          <w:b w:val="1"/>
          <w:bCs w:val="1"/>
        </w:rPr>
      </w:pPr>
      <w:r w:rsidRPr="3155FE89" w:rsidR="33A1C9DE">
        <w:rPr>
          <w:rFonts w:ascii="Arial" w:hAnsi="Arial" w:cs="Arial"/>
          <w:b w:val="1"/>
          <w:bCs w:val="1"/>
        </w:rPr>
        <w:t xml:space="preserve">Assignment Title: </w:t>
      </w:r>
      <w:r w:rsidRPr="3155FE89" w:rsidR="33A1C9DE">
        <w:rPr>
          <w:rFonts w:ascii="Arial" w:hAnsi="Arial" w:cs="Arial"/>
          <w:b w:val="1"/>
          <w:bCs w:val="1"/>
        </w:rPr>
        <w:t>Assess</w:t>
      </w:r>
      <w:r w:rsidRPr="3155FE89" w:rsidR="74B63431">
        <w:rPr>
          <w:rFonts w:ascii="Arial" w:hAnsi="Arial" w:cs="Arial"/>
          <w:b w:val="1"/>
          <w:bCs w:val="1"/>
        </w:rPr>
        <w:t xml:space="preserve">ment Component 1- Incidence of </w:t>
      </w:r>
      <w:r w:rsidRPr="3155FE89" w:rsidR="5DA780E0">
        <w:rPr>
          <w:rFonts w:ascii="Arial" w:hAnsi="Arial" w:cs="Arial"/>
          <w:b w:val="1"/>
          <w:bCs w:val="1"/>
        </w:rPr>
        <w:t>disease in communities</w:t>
      </w:r>
    </w:p>
    <w:p w:rsidR="00F55212" w:rsidP="00F549F5" w:rsidRDefault="00F55212" w14:paraId="2604273D" w14:textId="77777777">
      <w:pPr>
        <w:spacing w:line="360" w:lineRule="auto"/>
        <w:jc w:val="center"/>
        <w:rPr>
          <w:rFonts w:ascii="Arial" w:hAnsi="Arial" w:cs="Arial"/>
          <w:b/>
        </w:rPr>
      </w:pPr>
    </w:p>
    <w:p w:rsidR="00F55212" w:rsidP="00F549F5" w:rsidRDefault="00F55212" w14:paraId="08621FA3" w14:textId="77777777">
      <w:pPr>
        <w:spacing w:line="360" w:lineRule="auto"/>
        <w:jc w:val="center"/>
        <w:rPr>
          <w:rFonts w:ascii="Arial" w:hAnsi="Arial" w:cs="Arial"/>
          <w:b/>
        </w:rPr>
      </w:pPr>
    </w:p>
    <w:p w:rsidR="00F55212" w:rsidP="00F549F5" w:rsidRDefault="00F55212" w14:paraId="376466D7" w14:textId="77777777">
      <w:pPr>
        <w:spacing w:line="360" w:lineRule="auto"/>
        <w:jc w:val="center"/>
        <w:rPr>
          <w:rFonts w:ascii="Arial" w:hAnsi="Arial" w:cs="Arial"/>
          <w:b/>
        </w:rPr>
      </w:pPr>
    </w:p>
    <w:p w:rsidR="00F55212" w:rsidP="00F549F5" w:rsidRDefault="00F55212" w14:paraId="21CA098B" w14:textId="77777777">
      <w:pPr>
        <w:spacing w:line="360" w:lineRule="auto"/>
        <w:jc w:val="center"/>
        <w:rPr>
          <w:rFonts w:ascii="Arial" w:hAnsi="Arial" w:cs="Arial"/>
          <w:b/>
        </w:rPr>
      </w:pPr>
    </w:p>
    <w:p w:rsidR="00F55212" w:rsidP="00F549F5" w:rsidRDefault="00F55212" w14:paraId="5EDCDF41" w14:textId="77777777">
      <w:pPr>
        <w:spacing w:line="360" w:lineRule="auto"/>
        <w:jc w:val="center"/>
        <w:rPr>
          <w:rFonts w:ascii="Arial" w:hAnsi="Arial" w:cs="Arial"/>
          <w:b/>
        </w:rPr>
      </w:pPr>
    </w:p>
    <w:p w:rsidR="00F55212" w:rsidP="00F549F5" w:rsidRDefault="00F55212" w14:paraId="5A6D9E92" w14:textId="77777777">
      <w:pPr>
        <w:spacing w:line="360" w:lineRule="auto"/>
        <w:jc w:val="center"/>
        <w:rPr>
          <w:rFonts w:ascii="Arial" w:hAnsi="Arial" w:cs="Arial"/>
          <w:b/>
        </w:rPr>
      </w:pPr>
    </w:p>
    <w:p w:rsidR="00F55212" w:rsidP="00F549F5" w:rsidRDefault="00F55212" w14:paraId="3A693EB3" w14:textId="77777777">
      <w:pPr>
        <w:spacing w:line="360" w:lineRule="auto"/>
        <w:jc w:val="center"/>
        <w:rPr>
          <w:rFonts w:ascii="Arial" w:hAnsi="Arial" w:cs="Arial"/>
          <w:b/>
        </w:rPr>
      </w:pPr>
    </w:p>
    <w:p w:rsidR="00F55212" w:rsidP="00F549F5" w:rsidRDefault="00F55212" w14:paraId="729735F0" w14:textId="77777777">
      <w:pPr>
        <w:spacing w:line="360" w:lineRule="auto"/>
        <w:jc w:val="center"/>
        <w:rPr>
          <w:rFonts w:ascii="Arial" w:hAnsi="Arial" w:cs="Arial"/>
          <w:b/>
        </w:rPr>
      </w:pPr>
    </w:p>
    <w:p w:rsidR="00F55212" w:rsidP="00F549F5" w:rsidRDefault="00F55212" w14:paraId="2DFD1B05" w14:textId="77777777">
      <w:pPr>
        <w:spacing w:line="360" w:lineRule="auto"/>
        <w:jc w:val="center"/>
        <w:rPr>
          <w:rFonts w:ascii="Arial" w:hAnsi="Arial" w:cs="Arial"/>
          <w:b/>
        </w:rPr>
      </w:pPr>
    </w:p>
    <w:p w:rsidR="00F55212" w:rsidP="00F549F5" w:rsidRDefault="00F55212" w14:paraId="620258C5" w14:textId="77777777">
      <w:pPr>
        <w:spacing w:line="360" w:lineRule="auto"/>
        <w:jc w:val="center"/>
        <w:rPr>
          <w:rFonts w:ascii="Arial" w:hAnsi="Arial" w:cs="Arial"/>
          <w:b/>
        </w:rPr>
      </w:pPr>
    </w:p>
    <w:p w:rsidR="00F55212" w:rsidP="00F549F5" w:rsidRDefault="00F55212" w14:paraId="0F146220" w14:textId="77777777">
      <w:pPr>
        <w:spacing w:line="360" w:lineRule="auto"/>
        <w:jc w:val="center"/>
        <w:rPr>
          <w:rFonts w:ascii="Arial" w:hAnsi="Arial" w:cs="Arial"/>
          <w:b/>
        </w:rPr>
      </w:pPr>
    </w:p>
    <w:p w:rsidRPr="00511C9D" w:rsidR="004965C0" w:rsidP="00F549F5" w:rsidRDefault="00A97B55" w14:paraId="1C050FF6" w14:textId="77777777">
      <w:pPr>
        <w:spacing w:line="360" w:lineRule="auto"/>
        <w:jc w:val="center"/>
        <w:rPr>
          <w:rFonts w:ascii="Arial" w:hAnsi="Arial" w:cs="Arial"/>
          <w:b/>
        </w:rPr>
      </w:pPr>
      <w:r w:rsidRPr="00511C9D">
        <w:rPr>
          <w:rFonts w:ascii="Arial" w:hAnsi="Arial" w:cs="Arial"/>
          <w:b/>
        </w:rPr>
        <w:t>Assessment Component 1 – Incidence of Disease in Communities</w:t>
      </w:r>
    </w:p>
    <w:p w:rsidR="004965C0" w:rsidP="00511C9D" w:rsidRDefault="00901153" w14:paraId="09421BE6" w14:textId="77777777">
      <w:pPr>
        <w:spacing w:line="360" w:lineRule="auto"/>
        <w:rPr>
          <w:rFonts w:ascii="Arial" w:hAnsi="Arial" w:cs="Arial"/>
          <w:b/>
        </w:rPr>
      </w:pPr>
      <w:r>
        <w:rPr>
          <w:rFonts w:ascii="Arial" w:hAnsi="Arial" w:cs="Arial"/>
          <w:b/>
        </w:rPr>
        <w:t>Introduction</w:t>
      </w:r>
    </w:p>
    <w:p w:rsidRPr="005654B5" w:rsidR="00DC6C11" w:rsidP="00901153" w:rsidRDefault="006878A8" w14:paraId="4834FDA0" w14:textId="77777777">
      <w:pPr>
        <w:spacing w:line="360" w:lineRule="auto"/>
        <w:ind w:firstLine="720"/>
        <w:rPr>
          <w:rFonts w:ascii="Arial" w:hAnsi="Arial" w:cs="Arial"/>
        </w:rPr>
      </w:pPr>
      <w:r w:rsidRPr="006878A8">
        <w:rPr>
          <w:rFonts w:ascii="Arial" w:hAnsi="Arial" w:cs="Arial"/>
        </w:rPr>
        <w:t xml:space="preserve">Poliovirus is the causative agent of </w:t>
      </w:r>
      <w:r>
        <w:rPr>
          <w:rFonts w:ascii="Arial" w:hAnsi="Arial" w:cs="Arial"/>
        </w:rPr>
        <w:t xml:space="preserve">polio, </w:t>
      </w:r>
      <w:r w:rsidRPr="006878A8">
        <w:rPr>
          <w:rFonts w:ascii="Arial" w:hAnsi="Arial" w:cs="Arial"/>
        </w:rPr>
        <w:t>an extremely contagious and potential</w:t>
      </w:r>
      <w:r>
        <w:rPr>
          <w:rFonts w:ascii="Arial" w:hAnsi="Arial" w:cs="Arial"/>
        </w:rPr>
        <w:t>ly fatal illness</w:t>
      </w:r>
      <w:r w:rsidRPr="005654B5" w:rsidR="00DC6C11">
        <w:rPr>
          <w:rFonts w:ascii="Arial" w:hAnsi="Arial" w:cs="Arial"/>
        </w:rPr>
        <w:t>. While the disease is rare in developed countries like the UK due to the success of vaccination programs, it remains a significant public health threat in many parts of the world. The UK has implemented a range of approaches and strategies to measure, monitor, and control the incidence of polio, including vaccination campaigns, environmental surveillance, outbreak response, and internation</w:t>
      </w:r>
      <w:r w:rsidRPr="005654B5" w:rsidR="00901153">
        <w:rPr>
          <w:rFonts w:ascii="Arial" w:hAnsi="Arial" w:cs="Arial"/>
        </w:rPr>
        <w:t>al collaboration. This essay</w:t>
      </w:r>
      <w:r w:rsidRPr="005654B5" w:rsidR="00DC6C11">
        <w:rPr>
          <w:rFonts w:ascii="Arial" w:hAnsi="Arial" w:cs="Arial"/>
        </w:rPr>
        <w:t xml:space="preserve"> critically evaluate</w:t>
      </w:r>
      <w:r w:rsidRPr="005654B5" w:rsidR="00901153">
        <w:rPr>
          <w:rFonts w:ascii="Arial" w:hAnsi="Arial" w:cs="Arial"/>
        </w:rPr>
        <w:t>s the</w:t>
      </w:r>
      <w:r w:rsidRPr="005654B5" w:rsidR="00DC6C11">
        <w:rPr>
          <w:rFonts w:ascii="Arial" w:hAnsi="Arial" w:cs="Arial"/>
        </w:rPr>
        <w:t xml:space="preserve"> approaches and strategies, highlighting their successes, limitations, and challenges, and explore</w:t>
      </w:r>
      <w:r w:rsidRPr="005654B5" w:rsidR="00901153">
        <w:rPr>
          <w:rFonts w:ascii="Arial" w:hAnsi="Arial" w:cs="Arial"/>
        </w:rPr>
        <w:t>s</w:t>
      </w:r>
      <w:r w:rsidRPr="005654B5" w:rsidR="00DC6C11">
        <w:rPr>
          <w:rFonts w:ascii="Arial" w:hAnsi="Arial" w:cs="Arial"/>
        </w:rPr>
        <w:t xml:space="preserve"> the implications for the long-term control and eradication of polio in the UK.</w:t>
      </w:r>
    </w:p>
    <w:p w:rsidR="000B2566" w:rsidP="00F324AD" w:rsidRDefault="001F2C2E" w14:paraId="33F2D05F" w14:textId="77777777">
      <w:pPr>
        <w:spacing w:line="360" w:lineRule="auto"/>
        <w:rPr>
          <w:rFonts w:ascii="Arial" w:hAnsi="Arial" w:cs="Arial"/>
          <w:b/>
        </w:rPr>
      </w:pPr>
      <w:r>
        <w:rPr>
          <w:rFonts w:ascii="Arial" w:hAnsi="Arial" w:cs="Arial"/>
          <w:b/>
        </w:rPr>
        <w:t xml:space="preserve">Critical Evaluation </w:t>
      </w:r>
      <w:r w:rsidR="00F324AD">
        <w:rPr>
          <w:rFonts w:ascii="Arial" w:hAnsi="Arial" w:cs="Arial"/>
          <w:b/>
        </w:rPr>
        <w:t xml:space="preserve">of </w:t>
      </w:r>
      <w:r w:rsidRPr="00511C9D" w:rsidR="004965C0">
        <w:rPr>
          <w:rFonts w:ascii="Arial" w:hAnsi="Arial" w:cs="Arial"/>
          <w:b/>
        </w:rPr>
        <w:t xml:space="preserve">Strategies used in the UK to measure the incidence of Polio </w:t>
      </w:r>
    </w:p>
    <w:p w:rsidRPr="00571513" w:rsidR="000B2566" w:rsidP="000B2566" w:rsidRDefault="000B2566" w14:paraId="05309FE9" w14:textId="77777777">
      <w:pPr>
        <w:spacing w:line="360" w:lineRule="auto"/>
        <w:ind w:firstLine="720"/>
        <w:rPr>
          <w:rFonts w:ascii="Arial" w:hAnsi="Arial" w:cs="Arial"/>
        </w:rPr>
      </w:pPr>
      <w:r w:rsidRPr="007B0091">
        <w:rPr>
          <w:rFonts w:ascii="Arial" w:hAnsi="Arial" w:cs="Arial"/>
        </w:rPr>
        <w:t>Surveillance is the first approach</w:t>
      </w:r>
      <w:r w:rsidRPr="007B0091">
        <w:rPr>
          <w:rFonts w:ascii="Arial" w:hAnsi="Arial" w:cs="Arial"/>
          <w:b/>
        </w:rPr>
        <w:t xml:space="preserve"> </w:t>
      </w:r>
      <w:r w:rsidRPr="007B0091">
        <w:rPr>
          <w:rFonts w:ascii="Arial" w:hAnsi="Arial" w:cs="Arial"/>
        </w:rPr>
        <w:t xml:space="preserve">used to measure the incidence of polio in the UK. </w:t>
      </w:r>
      <w:r w:rsidRPr="007B0091">
        <w:rPr>
          <w:rFonts w:ascii="Arial" w:hAnsi="Arial" w:cs="Arial"/>
          <w:b/>
        </w:rPr>
        <w:t xml:space="preserve"> </w:t>
      </w:r>
      <w:r w:rsidRPr="007B0091">
        <w:rPr>
          <w:rFonts w:ascii="Arial" w:hAnsi="Arial" w:cs="Arial"/>
        </w:rPr>
        <w:t>The nation</w:t>
      </w:r>
      <w:r w:rsidRPr="007B0091" w:rsidR="002D4217">
        <w:rPr>
          <w:rFonts w:ascii="Arial" w:hAnsi="Arial" w:cs="Arial"/>
        </w:rPr>
        <w:t xml:space="preserve"> has a well-established AFP surveillance system that is coordinated by the National Institute for Health Protection (NIHP). The system involves active monitoring and reporting of cases of AFP in children under the age of 15 years old</w:t>
      </w:r>
      <w:r w:rsidRPr="007B0091" w:rsidR="00BF4049">
        <w:rPr>
          <w:rFonts w:ascii="Arial" w:hAnsi="Arial" w:cs="Arial"/>
        </w:rPr>
        <w:t xml:space="preserve"> (O'Reilly et al., 2020)</w:t>
      </w:r>
      <w:r w:rsidRPr="007B0091" w:rsidR="002D4217">
        <w:rPr>
          <w:rFonts w:ascii="Arial" w:hAnsi="Arial" w:cs="Arial"/>
        </w:rPr>
        <w:t>. When a case of AFP is reported, it is investigated by a team of public health experts who collect information on the patient's symptoms, medical history, and recent travel or exposure history. If polio is suspected, stool samples are collected from the patient and sent to a specialist laboratory for testing</w:t>
      </w:r>
      <w:r w:rsidRPr="007B0091" w:rsidR="00BF4049">
        <w:rPr>
          <w:rFonts w:ascii="Arial" w:hAnsi="Arial" w:cs="Arial"/>
        </w:rPr>
        <w:t xml:space="preserve"> (O'Reilly et al., 2020)</w:t>
      </w:r>
      <w:r w:rsidRPr="007B0091" w:rsidR="002D4217">
        <w:rPr>
          <w:rFonts w:ascii="Arial" w:hAnsi="Arial" w:cs="Arial"/>
        </w:rPr>
        <w:t xml:space="preserve">. One of the key challenges with AFP surveillance is ensuring that all cases of AFP are reported and investigated. </w:t>
      </w:r>
      <w:r w:rsidRPr="007B0091">
        <w:rPr>
          <w:rFonts w:ascii="Arial" w:hAnsi="Arial" w:cs="Arial"/>
        </w:rPr>
        <w:t>T</w:t>
      </w:r>
      <w:r w:rsidRPr="007B0091" w:rsidR="002D4217">
        <w:rPr>
          <w:rFonts w:ascii="Arial" w:hAnsi="Arial" w:cs="Arial"/>
        </w:rPr>
        <w:t xml:space="preserve">o address this, the NIHP works closely with healthcare providers to raise awareness of the importance of reporting cases of AFP and to </w:t>
      </w:r>
      <w:r w:rsidRPr="00571513" w:rsidR="002D4217">
        <w:rPr>
          <w:rFonts w:ascii="Arial" w:hAnsi="Arial" w:cs="Arial"/>
        </w:rPr>
        <w:t xml:space="preserve">provide guidance on how to diagnose and investigate suspected cases. </w:t>
      </w:r>
    </w:p>
    <w:p w:rsidRPr="00571513" w:rsidR="00486952" w:rsidP="00486952" w:rsidRDefault="000B2566" w14:paraId="3573677D" w14:textId="77777777">
      <w:pPr>
        <w:spacing w:line="360" w:lineRule="auto"/>
        <w:ind w:firstLine="720"/>
        <w:rPr>
          <w:rFonts w:ascii="Arial" w:hAnsi="Arial" w:cs="Arial"/>
        </w:rPr>
      </w:pPr>
      <w:r w:rsidRPr="00571513">
        <w:rPr>
          <w:rFonts w:ascii="Arial" w:hAnsi="Arial" w:cs="Arial"/>
        </w:rPr>
        <w:t xml:space="preserve">Laboratory testing is the second main strategy of measuring the incidence of polio in the UK. </w:t>
      </w:r>
      <w:r w:rsidRPr="00571513" w:rsidR="002D4217">
        <w:rPr>
          <w:rFonts w:ascii="Arial" w:hAnsi="Arial" w:cs="Arial"/>
        </w:rPr>
        <w:t>The UK has a network of specialist laboratories that are responsible for testing samples for the presence of the polio virus. The laboratory network is coordinated by the National Infection Service (NIS), which is part of the NIHP</w:t>
      </w:r>
      <w:r w:rsidRPr="00571513" w:rsidR="00571513">
        <w:rPr>
          <w:rFonts w:ascii="Arial" w:hAnsi="Arial" w:cs="Arial"/>
        </w:rPr>
        <w:t xml:space="preserve"> (Bigouette et al., 2021)</w:t>
      </w:r>
      <w:r w:rsidRPr="00571513" w:rsidR="002D4217">
        <w:rPr>
          <w:rFonts w:ascii="Arial" w:hAnsi="Arial" w:cs="Arial"/>
        </w:rPr>
        <w:t>. The laboratories use a range of diagnostic techniques, including virus isolation, serology, and molecular methods such as polymerase chain reaction (PCR)</w:t>
      </w:r>
      <w:r w:rsidRPr="00571513" w:rsidR="00571513">
        <w:rPr>
          <w:rFonts w:ascii="Arial" w:hAnsi="Arial" w:cs="Arial"/>
        </w:rPr>
        <w:t xml:space="preserve"> (Bigouette et al., 2021)</w:t>
      </w:r>
      <w:r w:rsidRPr="00571513" w:rsidR="002D4217">
        <w:rPr>
          <w:rFonts w:ascii="Arial" w:hAnsi="Arial" w:cs="Arial"/>
        </w:rPr>
        <w:t xml:space="preserve">. To ensure the accuracy of laboratory testing, the NIS provides ongoing training and support to laboratory staff, as well as regular quality assurance testing. The NIS also maintains a national inventory of polio virus strains, which is used to compare and confirm the identity of new strains. In addition to testing clinical samples from patients with suspected polio, the laboratory network also tests environmental samples, such as sewage, which can provide early warning of the presence of the virus in the community. </w:t>
      </w:r>
    </w:p>
    <w:p w:rsidR="00486952" w:rsidP="00486952" w:rsidRDefault="00784D8C" w14:paraId="275608F1" w14:textId="77777777">
      <w:pPr>
        <w:spacing w:line="360" w:lineRule="auto"/>
        <w:rPr>
          <w:rFonts w:ascii="Arial" w:hAnsi="Arial" w:cs="Arial"/>
          <w:b/>
        </w:rPr>
      </w:pPr>
      <w:r>
        <w:rPr>
          <w:rFonts w:ascii="Arial" w:hAnsi="Arial" w:cs="Arial"/>
          <w:b/>
        </w:rPr>
        <w:t xml:space="preserve">Critical Evaluation of </w:t>
      </w:r>
      <w:r w:rsidRPr="00511C9D" w:rsidR="004965C0">
        <w:rPr>
          <w:rFonts w:ascii="Arial" w:hAnsi="Arial" w:cs="Arial"/>
          <w:b/>
        </w:rPr>
        <w:t>Strategies used in the UK to</w:t>
      </w:r>
      <w:r w:rsidR="00486952">
        <w:rPr>
          <w:rFonts w:ascii="Arial" w:hAnsi="Arial" w:cs="Arial"/>
          <w:b/>
        </w:rPr>
        <w:t xml:space="preserve"> monitor the incidence of Polio</w:t>
      </w:r>
    </w:p>
    <w:p w:rsidRPr="007B0091" w:rsidR="00486952" w:rsidP="00486952" w:rsidRDefault="00310E10" w14:paraId="2AA1D9EC" w14:textId="77777777">
      <w:pPr>
        <w:spacing w:line="360" w:lineRule="auto"/>
        <w:ind w:firstLine="720"/>
        <w:rPr>
          <w:rFonts w:ascii="Arial" w:hAnsi="Arial" w:cs="Arial"/>
        </w:rPr>
      </w:pPr>
      <w:r w:rsidRPr="007B0091">
        <w:rPr>
          <w:rFonts w:ascii="Arial" w:hAnsi="Arial" w:cs="Arial"/>
        </w:rPr>
        <w:t>Seroprevalence studies</w:t>
      </w:r>
      <w:r w:rsidRPr="007B0091" w:rsidR="00486952">
        <w:rPr>
          <w:rFonts w:ascii="Arial" w:hAnsi="Arial" w:cs="Arial"/>
        </w:rPr>
        <w:t xml:space="preserve"> is the first strategy and</w:t>
      </w:r>
      <w:r w:rsidRPr="007B0091">
        <w:rPr>
          <w:rFonts w:ascii="Arial" w:hAnsi="Arial" w:cs="Arial"/>
        </w:rPr>
        <w:t xml:space="preserve"> involve testing blood samples from a representative sample of the population to determine the proportion of individuals with antibodies against the polio virus. These studies are used to monitor the level of immunity in the population and to identify areas where vaccination coverage may be low</w:t>
      </w:r>
      <w:r w:rsidRPr="007B0091" w:rsidR="007B0091">
        <w:rPr>
          <w:rFonts w:ascii="Arial" w:hAnsi="Arial" w:cs="Arial"/>
        </w:rPr>
        <w:t xml:space="preserve"> (Li et al., 2021)</w:t>
      </w:r>
      <w:r w:rsidRPr="007B0091">
        <w:rPr>
          <w:rFonts w:ascii="Arial" w:hAnsi="Arial" w:cs="Arial"/>
        </w:rPr>
        <w:t>. Seroprevalence studies can be conducted using different sampling methods, such as random sampling or targeted sampling of specific groups, such as unvaccinated individuals or those with known exposure to the virus</w:t>
      </w:r>
      <w:r w:rsidRPr="007B0091" w:rsidR="007B0091">
        <w:rPr>
          <w:rFonts w:ascii="Arial" w:hAnsi="Arial" w:cs="Arial"/>
        </w:rPr>
        <w:t xml:space="preserve"> (Li et al., 2021)</w:t>
      </w:r>
      <w:r w:rsidRPr="007B0091">
        <w:rPr>
          <w:rFonts w:ascii="Arial" w:hAnsi="Arial" w:cs="Arial"/>
        </w:rPr>
        <w:t xml:space="preserve">. </w:t>
      </w:r>
      <w:r w:rsidRPr="007B0091" w:rsidR="00486952">
        <w:rPr>
          <w:rFonts w:ascii="Arial" w:hAnsi="Arial" w:cs="Arial"/>
        </w:rPr>
        <w:t xml:space="preserve">However, with seroprevalence studies, </w:t>
      </w:r>
      <w:r w:rsidRPr="007B0091">
        <w:rPr>
          <w:rFonts w:ascii="Arial" w:hAnsi="Arial" w:cs="Arial"/>
        </w:rPr>
        <w:t xml:space="preserve">the presence of antibodies does not necessarily guarantee protection against the virus. Individuals with low levels of antibodies may still be susceptible to infection, particularly if they are exposed to a new strain of the virus. </w:t>
      </w:r>
      <w:r w:rsidRPr="007B0091" w:rsidR="00486952">
        <w:rPr>
          <w:rFonts w:ascii="Arial" w:hAnsi="Arial" w:cs="Arial"/>
        </w:rPr>
        <w:t>Consequently,</w:t>
      </w:r>
      <w:r w:rsidRPr="007B0091">
        <w:rPr>
          <w:rFonts w:ascii="Arial" w:hAnsi="Arial" w:cs="Arial"/>
        </w:rPr>
        <w:t xml:space="preserve"> seroprevalence studies need to be carefully designed and conducted using validated and standardized methods.</w:t>
      </w:r>
    </w:p>
    <w:p w:rsidRPr="007B0091" w:rsidR="00E47189" w:rsidP="008A207A" w:rsidRDefault="00486952" w14:paraId="1E31FA71" w14:textId="77777777">
      <w:pPr>
        <w:spacing w:line="360" w:lineRule="auto"/>
        <w:ind w:firstLine="720"/>
        <w:rPr>
          <w:rFonts w:ascii="Arial" w:hAnsi="Arial" w:cs="Arial"/>
        </w:rPr>
      </w:pPr>
      <w:r w:rsidRPr="007B0091">
        <w:rPr>
          <w:rFonts w:ascii="Arial" w:hAnsi="Arial" w:cs="Arial"/>
        </w:rPr>
        <w:t xml:space="preserve">Vaccine coverage monitoring is also an effective </w:t>
      </w:r>
      <w:r w:rsidRPr="007B0091" w:rsidR="002C674D">
        <w:rPr>
          <w:rFonts w:ascii="Arial" w:hAnsi="Arial" w:cs="Arial"/>
        </w:rPr>
        <w:t xml:space="preserve">approach to monitor the incidence of polio. </w:t>
      </w:r>
      <w:r w:rsidRPr="007B0091" w:rsidR="00310E10">
        <w:rPr>
          <w:rFonts w:ascii="Arial" w:hAnsi="Arial" w:cs="Arial"/>
        </w:rPr>
        <w:t>Monitoring vaccine coverage is an important way to track the level of protection against polio in the population. The UK uses a range of methods to monitor vaccine coverage, including routine immunization data, surveys of healthcare providers, and household surveys</w:t>
      </w:r>
      <w:r w:rsidRPr="007B0091" w:rsidR="00427816">
        <w:rPr>
          <w:rFonts w:ascii="Arial" w:hAnsi="Arial" w:cs="Arial"/>
        </w:rPr>
        <w:t xml:space="preserve"> (Hahné et al., 2021)</w:t>
      </w:r>
      <w:r w:rsidRPr="007B0091" w:rsidR="00310E10">
        <w:rPr>
          <w:rFonts w:ascii="Arial" w:hAnsi="Arial" w:cs="Arial"/>
        </w:rPr>
        <w:t>. Routine immunization data is collected by healthcare providers and reported to the National Immunization and Vaccination Coverage Programme (NIVCP), which monitors the uptake of vaccines across different age groups and regions. Surveys of healthcare providers and households are used to identify gaps in vaccine coverage and to understand the reasons for non-vaccination</w:t>
      </w:r>
      <w:r w:rsidRPr="007B0091" w:rsidR="00427816">
        <w:rPr>
          <w:rFonts w:ascii="Arial" w:hAnsi="Arial" w:cs="Arial"/>
        </w:rPr>
        <w:t xml:space="preserve"> (Hahné et al., 2021)</w:t>
      </w:r>
      <w:r w:rsidRPr="007B0091" w:rsidR="00310E10">
        <w:rPr>
          <w:rFonts w:ascii="Arial" w:hAnsi="Arial" w:cs="Arial"/>
        </w:rPr>
        <w:t xml:space="preserve">. </w:t>
      </w:r>
      <w:r w:rsidRPr="007B0091" w:rsidR="002C674D">
        <w:rPr>
          <w:rFonts w:ascii="Arial" w:hAnsi="Arial" w:cs="Arial"/>
        </w:rPr>
        <w:t>Although</w:t>
      </w:r>
      <w:r w:rsidRPr="007B0091" w:rsidR="00310E10">
        <w:rPr>
          <w:rFonts w:ascii="Arial" w:hAnsi="Arial" w:cs="Arial"/>
        </w:rPr>
        <w:t xml:space="preserve"> </w:t>
      </w:r>
      <w:r w:rsidRPr="007B0091" w:rsidR="002C674D">
        <w:rPr>
          <w:rFonts w:ascii="Arial" w:hAnsi="Arial" w:cs="Arial"/>
        </w:rPr>
        <w:t xml:space="preserve">with </w:t>
      </w:r>
      <w:r w:rsidRPr="007B0091" w:rsidR="00310E10">
        <w:rPr>
          <w:rFonts w:ascii="Arial" w:hAnsi="Arial" w:cs="Arial"/>
        </w:rPr>
        <w:t>vaccine coverage monitoring</w:t>
      </w:r>
      <w:r w:rsidRPr="007B0091" w:rsidR="002C674D">
        <w:rPr>
          <w:rFonts w:ascii="Arial" w:hAnsi="Arial" w:cs="Arial"/>
        </w:rPr>
        <w:t>,</w:t>
      </w:r>
      <w:r w:rsidRPr="007B0091" w:rsidR="00310E10">
        <w:rPr>
          <w:rFonts w:ascii="Arial" w:hAnsi="Arial" w:cs="Arial"/>
        </w:rPr>
        <w:t xml:space="preserve"> the data may not be accurate or up-to-date, particularly in hard-to-reach </w:t>
      </w:r>
      <w:r w:rsidRPr="007B0091" w:rsidR="002C674D">
        <w:rPr>
          <w:rFonts w:ascii="Arial" w:hAnsi="Arial" w:cs="Arial"/>
        </w:rPr>
        <w:t xml:space="preserve">or marginalized populations, </w:t>
      </w:r>
      <w:r w:rsidRPr="007B0091" w:rsidR="00310E10">
        <w:rPr>
          <w:rFonts w:ascii="Arial" w:hAnsi="Arial" w:cs="Arial"/>
        </w:rPr>
        <w:t xml:space="preserve">the UK uses a range of strategies to improve vaccine coverage, including targeted outreach to underserved populations, vaccine reminders and recall systems, and community engagement to address vaccine hesitancy. </w:t>
      </w:r>
    </w:p>
    <w:p w:rsidR="004965C0" w:rsidP="00511C9D" w:rsidRDefault="00784D8C" w14:paraId="7E61945E" w14:textId="77777777">
      <w:pPr>
        <w:spacing w:line="360" w:lineRule="auto"/>
        <w:rPr>
          <w:rFonts w:ascii="Arial" w:hAnsi="Arial" w:cs="Arial"/>
          <w:b/>
        </w:rPr>
      </w:pPr>
      <w:r>
        <w:rPr>
          <w:rFonts w:ascii="Arial" w:hAnsi="Arial" w:cs="Arial"/>
          <w:b/>
        </w:rPr>
        <w:t xml:space="preserve">Critical Evaluation of </w:t>
      </w:r>
      <w:r w:rsidRPr="00511C9D" w:rsidR="004965C0">
        <w:rPr>
          <w:rFonts w:ascii="Arial" w:hAnsi="Arial" w:cs="Arial"/>
          <w:b/>
        </w:rPr>
        <w:t xml:space="preserve">Strategies used in the UK to control the incidence of Polio </w:t>
      </w:r>
    </w:p>
    <w:p w:rsidRPr="005654B5" w:rsidR="000048E2" w:rsidP="000048E2" w:rsidRDefault="00F3112A" w14:paraId="0085D9C1" w14:textId="77777777">
      <w:pPr>
        <w:spacing w:line="360" w:lineRule="auto"/>
        <w:ind w:firstLine="720"/>
        <w:rPr>
          <w:rFonts w:ascii="Arial" w:hAnsi="Arial" w:cs="Arial"/>
        </w:rPr>
      </w:pPr>
      <w:r w:rsidRPr="005654B5">
        <w:rPr>
          <w:rFonts w:ascii="Arial" w:hAnsi="Arial" w:cs="Arial"/>
        </w:rPr>
        <w:t>Vaccination campaigns are the cornerstone of polio control efforts, and the UK has a robust vaccination program in place to ensure high levels of vaccine coverage. The UK uses inactivated polio vaccine (IPV), which is given as part of routine immunizations to infants and young children, as well as in response to outbreaks or other high-risk situations</w:t>
      </w:r>
      <w:r w:rsidRPr="005654B5" w:rsidR="005654B5">
        <w:rPr>
          <w:rFonts w:ascii="Arial" w:hAnsi="Arial" w:cs="Arial"/>
        </w:rPr>
        <w:t xml:space="preserve"> (Hill et al., 2022)</w:t>
      </w:r>
      <w:r w:rsidRPr="005654B5">
        <w:rPr>
          <w:rFonts w:ascii="Arial" w:hAnsi="Arial" w:cs="Arial"/>
        </w:rPr>
        <w:t>. The UK also uses oral polio vaccine (OPV) in some situations, such as during outbreak responses in low-income countries where there is a high risk of polio transmission</w:t>
      </w:r>
      <w:r w:rsidRPr="005654B5" w:rsidR="005654B5">
        <w:rPr>
          <w:rFonts w:ascii="Arial" w:hAnsi="Arial" w:cs="Arial"/>
        </w:rPr>
        <w:t xml:space="preserve"> (Hill et al., 2022)</w:t>
      </w:r>
      <w:r w:rsidRPr="005654B5">
        <w:rPr>
          <w:rFonts w:ascii="Arial" w:hAnsi="Arial" w:cs="Arial"/>
        </w:rPr>
        <w:t>.</w:t>
      </w:r>
      <w:r w:rsidRPr="005654B5" w:rsidR="00DC6C11">
        <w:rPr>
          <w:rFonts w:ascii="Arial" w:hAnsi="Arial" w:cs="Arial"/>
        </w:rPr>
        <w:t xml:space="preserve"> </w:t>
      </w:r>
      <w:r w:rsidRPr="005654B5">
        <w:rPr>
          <w:rFonts w:ascii="Arial" w:hAnsi="Arial" w:cs="Arial"/>
        </w:rPr>
        <w:t>One of the challenges with vaccination campaigns is that vaccine hesitancy and refusal can lead to gaps in vaccine coverage, which can allow the virus to circulate. To address this</w:t>
      </w:r>
      <w:r w:rsidRPr="005654B5" w:rsidR="007A24AA">
        <w:rPr>
          <w:rFonts w:ascii="Arial" w:hAnsi="Arial" w:cs="Arial"/>
        </w:rPr>
        <w:t xml:space="preserve"> challenge</w:t>
      </w:r>
      <w:r w:rsidRPr="005654B5">
        <w:rPr>
          <w:rFonts w:ascii="Arial" w:hAnsi="Arial" w:cs="Arial"/>
        </w:rPr>
        <w:t>, the UK engages in public education campaigns to increase awareness about the importance of vaccination and to address concerns about vaccine safety. The UK also has a system for reporting adverse events following vaccination and for monitoring vaccine safety.</w:t>
      </w:r>
    </w:p>
    <w:p w:rsidRPr="005654B5" w:rsidR="00E47189" w:rsidP="000048E2" w:rsidRDefault="000048E2" w14:paraId="29FF817A" w14:textId="77777777">
      <w:pPr>
        <w:spacing w:line="360" w:lineRule="auto"/>
        <w:ind w:firstLine="720"/>
        <w:rPr>
          <w:rFonts w:ascii="Arial" w:hAnsi="Arial" w:cs="Arial"/>
        </w:rPr>
      </w:pPr>
      <w:r w:rsidRPr="005654B5">
        <w:rPr>
          <w:rFonts w:ascii="Arial" w:hAnsi="Arial" w:cs="Arial"/>
        </w:rPr>
        <w:t xml:space="preserve">Environmental surveillance also helps in controlling the incidence of polio. </w:t>
      </w:r>
      <w:r w:rsidR="006878A8">
        <w:rPr>
          <w:rFonts w:ascii="Arial" w:hAnsi="Arial" w:cs="Arial"/>
        </w:rPr>
        <w:t>E</w:t>
      </w:r>
      <w:r w:rsidRPr="006878A8" w:rsidR="006878A8">
        <w:rPr>
          <w:rFonts w:ascii="Arial" w:hAnsi="Arial" w:cs="Arial"/>
        </w:rPr>
        <w:t>nvironme</w:t>
      </w:r>
      <w:r w:rsidR="006878A8">
        <w:rPr>
          <w:rFonts w:ascii="Arial" w:hAnsi="Arial" w:cs="Arial"/>
        </w:rPr>
        <w:t>ntal surveillance entails</w:t>
      </w:r>
      <w:r w:rsidRPr="006878A8" w:rsidR="006878A8">
        <w:rPr>
          <w:rFonts w:ascii="Arial" w:hAnsi="Arial" w:cs="Arial"/>
        </w:rPr>
        <w:t xml:space="preserve"> analyzing sewage samples to detect </w:t>
      </w:r>
      <w:r w:rsidR="006878A8">
        <w:rPr>
          <w:rFonts w:ascii="Arial" w:hAnsi="Arial" w:cs="Arial"/>
        </w:rPr>
        <w:t xml:space="preserve">the existence of the poliovirus </w:t>
      </w:r>
      <w:r w:rsidRPr="005654B5" w:rsidR="005654B5">
        <w:rPr>
          <w:rFonts w:ascii="Arial" w:hAnsi="Arial" w:cs="Arial"/>
        </w:rPr>
        <w:t>(</w:t>
      </w:r>
      <w:r w:rsidR="005654B5">
        <w:rPr>
          <w:rFonts w:ascii="Arial" w:hAnsi="Arial" w:cs="Arial"/>
        </w:rPr>
        <w:t>Årdal et al.,</w:t>
      </w:r>
      <w:r w:rsidRPr="005654B5" w:rsidR="005654B5">
        <w:rPr>
          <w:rFonts w:ascii="Arial" w:hAnsi="Arial" w:cs="Arial"/>
        </w:rPr>
        <w:t xml:space="preserve"> </w:t>
      </w:r>
      <w:r w:rsidR="005654B5">
        <w:rPr>
          <w:rFonts w:ascii="Arial" w:hAnsi="Arial" w:cs="Arial"/>
        </w:rPr>
        <w:t>2021</w:t>
      </w:r>
      <w:r w:rsidRPr="005654B5" w:rsidR="005654B5">
        <w:rPr>
          <w:rFonts w:ascii="Arial" w:hAnsi="Arial" w:cs="Arial"/>
        </w:rPr>
        <w:t>)</w:t>
      </w:r>
      <w:r w:rsidRPr="005654B5">
        <w:rPr>
          <w:rFonts w:ascii="Arial" w:hAnsi="Arial" w:cs="Arial"/>
        </w:rPr>
        <w:t>. This</w:t>
      </w:r>
      <w:r w:rsidRPr="005654B5" w:rsidR="00F3112A">
        <w:rPr>
          <w:rFonts w:ascii="Arial" w:hAnsi="Arial" w:cs="Arial"/>
        </w:rPr>
        <w:t xml:space="preserve"> help</w:t>
      </w:r>
      <w:r w:rsidRPr="005654B5">
        <w:rPr>
          <w:rFonts w:ascii="Arial" w:hAnsi="Arial" w:cs="Arial"/>
        </w:rPr>
        <w:t>s</w:t>
      </w:r>
      <w:r w:rsidRPr="005654B5" w:rsidR="00F3112A">
        <w:rPr>
          <w:rFonts w:ascii="Arial" w:hAnsi="Arial" w:cs="Arial"/>
        </w:rPr>
        <w:t xml:space="preserve"> detect the virus in populations that may not have been tested through oth</w:t>
      </w:r>
      <w:r w:rsidRPr="005654B5">
        <w:rPr>
          <w:rFonts w:ascii="Arial" w:hAnsi="Arial" w:cs="Arial"/>
        </w:rPr>
        <w:t xml:space="preserve">er surveillance methods and </w:t>
      </w:r>
      <w:r w:rsidRPr="005654B5" w:rsidR="00F3112A">
        <w:rPr>
          <w:rFonts w:ascii="Arial" w:hAnsi="Arial" w:cs="Arial"/>
        </w:rPr>
        <w:t>provide</w:t>
      </w:r>
      <w:r w:rsidRPr="005654B5">
        <w:rPr>
          <w:rFonts w:ascii="Arial" w:hAnsi="Arial" w:cs="Arial"/>
        </w:rPr>
        <w:t>s</w:t>
      </w:r>
      <w:r w:rsidRPr="005654B5" w:rsidR="00F3112A">
        <w:rPr>
          <w:rFonts w:ascii="Arial" w:hAnsi="Arial" w:cs="Arial"/>
        </w:rPr>
        <w:t xml:space="preserve"> early warning of an outbreak. The UK has a national environmental surveillance program in place, which tests sewage samples from a range of locations across the country.</w:t>
      </w:r>
      <w:r w:rsidRPr="005654B5" w:rsidR="00DC6C11">
        <w:rPr>
          <w:rFonts w:ascii="Arial" w:hAnsi="Arial" w:cs="Arial"/>
        </w:rPr>
        <w:t xml:space="preserve"> </w:t>
      </w:r>
      <w:r w:rsidRPr="005654B5">
        <w:rPr>
          <w:rFonts w:ascii="Arial" w:hAnsi="Arial" w:cs="Arial"/>
        </w:rPr>
        <w:t>Environmental</w:t>
      </w:r>
      <w:r w:rsidRPr="005654B5" w:rsidR="00F3112A">
        <w:rPr>
          <w:rFonts w:ascii="Arial" w:hAnsi="Arial" w:cs="Arial"/>
        </w:rPr>
        <w:t xml:space="preserve"> surveillance</w:t>
      </w:r>
      <w:r w:rsidRPr="005654B5">
        <w:rPr>
          <w:rFonts w:ascii="Arial" w:hAnsi="Arial" w:cs="Arial"/>
        </w:rPr>
        <w:t xml:space="preserve"> efforts are challenged by the fact that</w:t>
      </w:r>
      <w:r w:rsidRPr="005654B5" w:rsidR="00F3112A">
        <w:rPr>
          <w:rFonts w:ascii="Arial" w:hAnsi="Arial" w:cs="Arial"/>
        </w:rPr>
        <w:t xml:space="preserve"> </w:t>
      </w:r>
      <w:r w:rsidRPr="005654B5">
        <w:rPr>
          <w:rFonts w:ascii="Arial" w:hAnsi="Arial" w:cs="Arial"/>
        </w:rPr>
        <w:t>it is</w:t>
      </w:r>
      <w:r w:rsidRPr="005654B5" w:rsidR="00F3112A">
        <w:rPr>
          <w:rFonts w:ascii="Arial" w:hAnsi="Arial" w:cs="Arial"/>
        </w:rPr>
        <w:t xml:space="preserve"> expensive and time-consuming to collect and test samples, and the sensitivity of the tests can vary depending on the quality of the samples collected</w:t>
      </w:r>
      <w:r w:rsidRPr="005654B5" w:rsidR="005654B5">
        <w:rPr>
          <w:rFonts w:ascii="Arial" w:hAnsi="Arial" w:cs="Arial"/>
        </w:rPr>
        <w:t xml:space="preserve"> (</w:t>
      </w:r>
      <w:r w:rsidR="005654B5">
        <w:rPr>
          <w:rFonts w:ascii="Arial" w:hAnsi="Arial" w:cs="Arial"/>
        </w:rPr>
        <w:t>Årdal et al.,</w:t>
      </w:r>
      <w:r w:rsidRPr="005654B5" w:rsidR="005654B5">
        <w:rPr>
          <w:rFonts w:ascii="Arial" w:hAnsi="Arial" w:cs="Arial"/>
        </w:rPr>
        <w:t xml:space="preserve"> </w:t>
      </w:r>
      <w:r w:rsidR="005654B5">
        <w:rPr>
          <w:rFonts w:ascii="Arial" w:hAnsi="Arial" w:cs="Arial"/>
        </w:rPr>
        <w:t>2021</w:t>
      </w:r>
      <w:r w:rsidRPr="005654B5" w:rsidR="005654B5">
        <w:rPr>
          <w:rFonts w:ascii="Arial" w:hAnsi="Arial" w:cs="Arial"/>
        </w:rPr>
        <w:t>)</w:t>
      </w:r>
      <w:r w:rsidRPr="005654B5" w:rsidR="00F3112A">
        <w:rPr>
          <w:rFonts w:ascii="Arial" w:hAnsi="Arial" w:cs="Arial"/>
        </w:rPr>
        <w:t xml:space="preserve">. </w:t>
      </w:r>
      <w:r w:rsidRPr="005654B5">
        <w:rPr>
          <w:rFonts w:ascii="Arial" w:hAnsi="Arial" w:cs="Arial"/>
        </w:rPr>
        <w:t>However</w:t>
      </w:r>
      <w:r w:rsidRPr="005654B5" w:rsidR="00F3112A">
        <w:rPr>
          <w:rFonts w:ascii="Arial" w:hAnsi="Arial" w:cs="Arial"/>
        </w:rPr>
        <w:t>, the UK uses a range of strategies to improve the efficiency and accuracy of environmental surveillance, such as using automated sampling and testing methods, and coordinating with other countries and international organizations to share resources and expertise.</w:t>
      </w:r>
    </w:p>
    <w:p w:rsidR="004965C0" w:rsidP="00511C9D" w:rsidRDefault="00784D8C" w14:paraId="4A170049" w14:textId="77777777">
      <w:pPr>
        <w:spacing w:line="360" w:lineRule="auto"/>
        <w:rPr>
          <w:rFonts w:ascii="Arial" w:hAnsi="Arial" w:cs="Arial"/>
          <w:b/>
        </w:rPr>
      </w:pPr>
      <w:r>
        <w:rPr>
          <w:rFonts w:ascii="Arial" w:hAnsi="Arial" w:cs="Arial"/>
          <w:b/>
        </w:rPr>
        <w:t>Conclusion</w:t>
      </w:r>
    </w:p>
    <w:p w:rsidRPr="005654B5" w:rsidR="00BB2775" w:rsidP="002C06A9" w:rsidRDefault="002C06A9" w14:paraId="6F72C320" w14:textId="77777777">
      <w:pPr>
        <w:spacing w:line="360" w:lineRule="auto"/>
        <w:ind w:firstLine="720"/>
        <w:rPr>
          <w:rFonts w:ascii="Arial" w:hAnsi="Arial" w:cs="Arial"/>
        </w:rPr>
      </w:pPr>
      <w:r w:rsidRPr="005654B5">
        <w:rPr>
          <w:rFonts w:ascii="Arial" w:hAnsi="Arial" w:cs="Arial"/>
        </w:rPr>
        <w:t>Overall</w:t>
      </w:r>
      <w:r w:rsidRPr="005654B5" w:rsidR="00BB2775">
        <w:rPr>
          <w:rFonts w:ascii="Arial" w:hAnsi="Arial" w:cs="Arial"/>
        </w:rPr>
        <w:t>, the UK has implemented a range of approaches and strategies to measure, monitor, and control the incidence of polio. These efforts have been highly effective in reducing the number of cases to zero and ensuring that polio remains under control. However, there are still some challenges and limitations, such as vaccine hesitancy and surveillance accuracy, which need to be addressed to ensure that polio remains eradicated in the long term. Continued collaboration and innovation will be critical to maintain the progress made in polio control and to protect future generations from this debilitating disease.</w:t>
      </w:r>
    </w:p>
    <w:p w:rsidR="00C56610" w:rsidP="00507FF2" w:rsidRDefault="00C56610" w14:paraId="20B4999D" w14:textId="77777777">
      <w:pPr>
        <w:spacing w:line="360" w:lineRule="auto"/>
        <w:rPr>
          <w:rFonts w:ascii="Arial" w:hAnsi="Arial" w:cs="Arial"/>
          <w:b/>
        </w:rPr>
      </w:pPr>
    </w:p>
    <w:p w:rsidR="00CA2918" w:rsidP="00C56610" w:rsidRDefault="00CA2918" w14:paraId="4B75E098" w14:textId="77777777">
      <w:pPr>
        <w:spacing w:line="360" w:lineRule="auto"/>
        <w:jc w:val="center"/>
        <w:rPr>
          <w:rFonts w:ascii="Arial" w:hAnsi="Arial" w:cs="Arial"/>
          <w:b/>
        </w:rPr>
      </w:pPr>
    </w:p>
    <w:p w:rsidR="00CA2918" w:rsidP="00C56610" w:rsidRDefault="00CA2918" w14:paraId="043608C8" w14:textId="77777777">
      <w:pPr>
        <w:spacing w:line="360" w:lineRule="auto"/>
        <w:jc w:val="center"/>
        <w:rPr>
          <w:rFonts w:ascii="Arial" w:hAnsi="Arial" w:cs="Arial"/>
          <w:b/>
        </w:rPr>
      </w:pPr>
    </w:p>
    <w:p w:rsidR="00CA2918" w:rsidP="00C56610" w:rsidRDefault="00CA2918" w14:paraId="27FB80CD" w14:textId="77777777">
      <w:pPr>
        <w:spacing w:line="360" w:lineRule="auto"/>
        <w:jc w:val="center"/>
        <w:rPr>
          <w:rFonts w:ascii="Arial" w:hAnsi="Arial" w:cs="Arial"/>
          <w:b/>
        </w:rPr>
      </w:pPr>
    </w:p>
    <w:p w:rsidR="00CA2918" w:rsidP="00C56610" w:rsidRDefault="00CA2918" w14:paraId="76890F63" w14:textId="77777777">
      <w:pPr>
        <w:spacing w:line="360" w:lineRule="auto"/>
        <w:jc w:val="center"/>
        <w:rPr>
          <w:rFonts w:ascii="Arial" w:hAnsi="Arial" w:cs="Arial"/>
          <w:b/>
        </w:rPr>
      </w:pPr>
    </w:p>
    <w:p w:rsidRPr="00C56610" w:rsidR="00C56610" w:rsidP="00C56610" w:rsidRDefault="00C56610" w14:paraId="03203DC8" w14:textId="77777777">
      <w:pPr>
        <w:spacing w:line="360" w:lineRule="auto"/>
        <w:jc w:val="center"/>
        <w:rPr>
          <w:rFonts w:ascii="Arial" w:hAnsi="Arial" w:cs="Arial"/>
          <w:b/>
        </w:rPr>
      </w:pPr>
      <w:r w:rsidRPr="00C56610">
        <w:rPr>
          <w:rFonts w:ascii="Arial" w:hAnsi="Arial" w:cs="Arial"/>
          <w:b/>
        </w:rPr>
        <w:t>References</w:t>
      </w:r>
    </w:p>
    <w:p w:rsidR="00571513" w:rsidP="00BF4049" w:rsidRDefault="00571513" w14:paraId="06EEDC07" w14:textId="77777777">
      <w:pPr>
        <w:spacing w:line="360" w:lineRule="auto"/>
        <w:ind w:left="720" w:hanging="720"/>
        <w:rPr>
          <w:rFonts w:ascii="Arial" w:hAnsi="Arial" w:cs="Arial"/>
        </w:rPr>
      </w:pPr>
      <w:r w:rsidRPr="005654B5">
        <w:rPr>
          <w:rFonts w:ascii="Arial" w:hAnsi="Arial" w:cs="Arial"/>
        </w:rPr>
        <w:t>Årdal, C., McAdams, D., Wester, A. L., &amp; Møgedal, S. (2021). Adapting environmental surveillance for polio to the need to track antimicrobial resistance. </w:t>
      </w:r>
      <w:r w:rsidRPr="005654B5">
        <w:rPr>
          <w:rFonts w:ascii="Arial" w:hAnsi="Arial" w:cs="Arial"/>
          <w:i/>
          <w:iCs/>
        </w:rPr>
        <w:t>Bulletin of the World Health Organization</w:t>
      </w:r>
      <w:r w:rsidRPr="005654B5">
        <w:rPr>
          <w:rFonts w:ascii="Arial" w:hAnsi="Arial" w:cs="Arial"/>
        </w:rPr>
        <w:t>, </w:t>
      </w:r>
      <w:r w:rsidRPr="005654B5">
        <w:rPr>
          <w:rFonts w:ascii="Arial" w:hAnsi="Arial" w:cs="Arial"/>
          <w:i/>
          <w:iCs/>
        </w:rPr>
        <w:t>99</w:t>
      </w:r>
      <w:r w:rsidRPr="005654B5">
        <w:rPr>
          <w:rFonts w:ascii="Arial" w:hAnsi="Arial" w:cs="Arial"/>
        </w:rPr>
        <w:t>(3), 239.</w:t>
      </w:r>
    </w:p>
    <w:p w:rsidRPr="00BB2775" w:rsidR="00571513" w:rsidP="00BF4049" w:rsidRDefault="00571513" w14:paraId="147BBF21" w14:textId="77777777">
      <w:pPr>
        <w:spacing w:line="360" w:lineRule="auto"/>
        <w:ind w:left="720" w:hanging="720"/>
        <w:rPr>
          <w:rFonts w:ascii="Arial" w:hAnsi="Arial" w:cs="Arial"/>
        </w:rPr>
      </w:pPr>
      <w:r w:rsidRPr="00571513">
        <w:rPr>
          <w:rFonts w:ascii="Arial" w:hAnsi="Arial" w:cs="Arial"/>
        </w:rPr>
        <w:t>Bigouette, J. P., Wilkinson, A. L., Tallis, G., Burns, C. C., Wassilak, S. G., &amp; Vertefeuille, J. F. (2021). Progress toward polio eradication—worldwide, January 2019–June 2021. </w:t>
      </w:r>
      <w:r w:rsidRPr="00571513">
        <w:rPr>
          <w:rFonts w:ascii="Arial" w:hAnsi="Arial" w:cs="Arial"/>
          <w:i/>
          <w:iCs/>
        </w:rPr>
        <w:t>Morbidity and Mortality Weekly Report</w:t>
      </w:r>
      <w:r w:rsidRPr="00571513">
        <w:rPr>
          <w:rFonts w:ascii="Arial" w:hAnsi="Arial" w:cs="Arial"/>
        </w:rPr>
        <w:t>, </w:t>
      </w:r>
      <w:r w:rsidRPr="00571513">
        <w:rPr>
          <w:rFonts w:ascii="Arial" w:hAnsi="Arial" w:cs="Arial"/>
          <w:i/>
          <w:iCs/>
        </w:rPr>
        <w:t>70</w:t>
      </w:r>
      <w:r w:rsidRPr="00571513">
        <w:rPr>
          <w:rFonts w:ascii="Arial" w:hAnsi="Arial" w:cs="Arial"/>
        </w:rPr>
        <w:t>(34), 1129.</w:t>
      </w:r>
    </w:p>
    <w:p w:rsidR="00571513" w:rsidP="00BF4049" w:rsidRDefault="00571513" w14:paraId="6A602380" w14:textId="77777777">
      <w:pPr>
        <w:spacing w:line="360" w:lineRule="auto"/>
        <w:ind w:left="720" w:hanging="720"/>
        <w:rPr>
          <w:rFonts w:ascii="Arial" w:hAnsi="Arial" w:cs="Arial"/>
        </w:rPr>
      </w:pPr>
      <w:r w:rsidRPr="00427816">
        <w:rPr>
          <w:rFonts w:ascii="Arial" w:hAnsi="Arial" w:cs="Arial"/>
        </w:rPr>
        <w:t>Hahné, S., Bollaerts, K., &amp; Farrington, P. (2021). </w:t>
      </w:r>
      <w:r w:rsidRPr="00427816">
        <w:rPr>
          <w:rFonts w:ascii="Arial" w:hAnsi="Arial" w:cs="Arial"/>
          <w:i/>
          <w:iCs/>
        </w:rPr>
        <w:t>Vaccination Programmes: Epidemiology, Monitoring, Evaluation</w:t>
      </w:r>
      <w:r w:rsidRPr="00427816">
        <w:rPr>
          <w:rFonts w:ascii="Arial" w:hAnsi="Arial" w:cs="Arial"/>
        </w:rPr>
        <w:t>. Routledge.</w:t>
      </w:r>
    </w:p>
    <w:p w:rsidR="00571513" w:rsidP="00BF4049" w:rsidRDefault="00571513" w14:paraId="053EE43F" w14:textId="77777777">
      <w:pPr>
        <w:spacing w:line="360" w:lineRule="auto"/>
        <w:ind w:left="720" w:hanging="720"/>
        <w:rPr>
          <w:rFonts w:ascii="Arial" w:hAnsi="Arial" w:cs="Arial"/>
        </w:rPr>
      </w:pPr>
      <w:r w:rsidRPr="005654B5">
        <w:rPr>
          <w:rFonts w:ascii="Arial" w:hAnsi="Arial" w:cs="Arial"/>
        </w:rPr>
        <w:t>Hill, M., Bandyopadhyay, A. S., &amp; Pollard, A. J. (2022). Emergence of vaccine-derived poliovirus in high-income settings in the absence of oral polio vaccine use. </w:t>
      </w:r>
      <w:r w:rsidRPr="005654B5">
        <w:rPr>
          <w:rFonts w:ascii="Arial" w:hAnsi="Arial" w:cs="Arial"/>
          <w:i/>
          <w:iCs/>
        </w:rPr>
        <w:t>The Lancet</w:t>
      </w:r>
      <w:r w:rsidRPr="005654B5">
        <w:rPr>
          <w:rFonts w:ascii="Arial" w:hAnsi="Arial" w:cs="Arial"/>
        </w:rPr>
        <w:t>, </w:t>
      </w:r>
      <w:r w:rsidRPr="005654B5">
        <w:rPr>
          <w:rFonts w:ascii="Arial" w:hAnsi="Arial" w:cs="Arial"/>
          <w:i/>
          <w:iCs/>
        </w:rPr>
        <w:t>400</w:t>
      </w:r>
      <w:r w:rsidRPr="005654B5">
        <w:rPr>
          <w:rFonts w:ascii="Arial" w:hAnsi="Arial" w:cs="Arial"/>
        </w:rPr>
        <w:t>(10354), 713-715.</w:t>
      </w:r>
    </w:p>
    <w:p w:rsidR="00571513" w:rsidP="00BF4049" w:rsidRDefault="00571513" w14:paraId="58C6EE9F" w14:textId="77777777">
      <w:pPr>
        <w:spacing w:line="360" w:lineRule="auto"/>
        <w:ind w:left="720" w:hanging="720"/>
        <w:rPr>
          <w:rFonts w:ascii="Arial" w:hAnsi="Arial" w:cs="Arial"/>
        </w:rPr>
      </w:pPr>
      <w:r w:rsidRPr="007B0091">
        <w:rPr>
          <w:rFonts w:ascii="Arial" w:hAnsi="Arial" w:cs="Arial"/>
        </w:rPr>
        <w:t>Li, J., Zhang, Z., Zhang, H., Li, M., Li, X., Lu, L., ... &amp; Wu, J. (2021). Seroprevalence of poliovirus antibodies before and after polio vaccine switch in 2012 and 2017 in Beijing. </w:t>
      </w:r>
      <w:r w:rsidRPr="007B0091">
        <w:rPr>
          <w:rFonts w:ascii="Arial" w:hAnsi="Arial" w:cs="Arial"/>
          <w:i/>
          <w:iCs/>
        </w:rPr>
        <w:t>Human Vaccines &amp; Immunotherapeutics</w:t>
      </w:r>
      <w:r w:rsidRPr="007B0091">
        <w:rPr>
          <w:rFonts w:ascii="Arial" w:hAnsi="Arial" w:cs="Arial"/>
        </w:rPr>
        <w:t>, </w:t>
      </w:r>
      <w:r w:rsidRPr="007B0091">
        <w:rPr>
          <w:rFonts w:ascii="Arial" w:hAnsi="Arial" w:cs="Arial"/>
          <w:i/>
          <w:iCs/>
        </w:rPr>
        <w:t>17</w:t>
      </w:r>
      <w:r w:rsidRPr="007B0091">
        <w:rPr>
          <w:rFonts w:ascii="Arial" w:hAnsi="Arial" w:cs="Arial"/>
        </w:rPr>
        <w:t>(2), 389-396.</w:t>
      </w:r>
    </w:p>
    <w:p w:rsidR="00571513" w:rsidP="00BF4049" w:rsidRDefault="00571513" w14:paraId="62BD2A44" w14:textId="77777777">
      <w:pPr>
        <w:spacing w:line="360" w:lineRule="auto"/>
        <w:ind w:left="720" w:hanging="720"/>
        <w:rPr>
          <w:rFonts w:ascii="Arial" w:hAnsi="Arial" w:cs="Arial"/>
        </w:rPr>
      </w:pPr>
      <w:r w:rsidRPr="00BF4049">
        <w:rPr>
          <w:rFonts w:ascii="Arial" w:hAnsi="Arial" w:cs="Arial"/>
        </w:rPr>
        <w:t>O'Reilly, K. M., Grassly, N. C., Allen, D. J., Bannister-Tyrrell, M., Cameron, A., Martin, A. C., ... &amp; Zambon, M. (2020). Surveillance optimisation to detect poliovirus in the pre-eradication era: a modelling study of England and Wales. </w:t>
      </w:r>
      <w:r w:rsidRPr="00BF4049">
        <w:rPr>
          <w:rFonts w:ascii="Arial" w:hAnsi="Arial" w:cs="Arial"/>
          <w:i/>
          <w:iCs/>
        </w:rPr>
        <w:t>Epidemiology &amp; Infection</w:t>
      </w:r>
      <w:r w:rsidRPr="00BF4049">
        <w:rPr>
          <w:rFonts w:ascii="Arial" w:hAnsi="Arial" w:cs="Arial"/>
        </w:rPr>
        <w:t>, </w:t>
      </w:r>
      <w:r w:rsidRPr="00BF4049">
        <w:rPr>
          <w:rFonts w:ascii="Arial" w:hAnsi="Arial" w:cs="Arial"/>
          <w:i/>
          <w:iCs/>
        </w:rPr>
        <w:t>148</w:t>
      </w:r>
      <w:r w:rsidRPr="00BF4049">
        <w:rPr>
          <w:rFonts w:ascii="Arial" w:hAnsi="Arial" w:cs="Arial"/>
        </w:rPr>
        <w:t>.</w:t>
      </w:r>
    </w:p>
    <w:sectPr w:rsidR="00571513">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3E0B" w:rsidP="0070444C" w:rsidRDefault="00863E0B" w14:paraId="24D44540" w14:textId="77777777">
      <w:pPr>
        <w:spacing w:after="0" w:line="240" w:lineRule="auto"/>
      </w:pPr>
      <w:r>
        <w:separator/>
      </w:r>
    </w:p>
  </w:endnote>
  <w:endnote w:type="continuationSeparator" w:id="0">
    <w:p w:rsidR="00863E0B" w:rsidP="0070444C" w:rsidRDefault="00863E0B" w14:paraId="60E3BD31" w14:textId="77777777">
      <w:pPr>
        <w:spacing w:after="0" w:line="240" w:lineRule="auto"/>
      </w:pPr>
      <w:r>
        <w:continuationSeparator/>
      </w:r>
    </w:p>
  </w:endnote>
  <w:endnote w:type="continuationNotice" w:id="1">
    <w:p w:rsidR="003C557F" w:rsidRDefault="003C557F" w14:paraId="647F2BD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3E0B" w:rsidP="0070444C" w:rsidRDefault="00863E0B" w14:paraId="0E0B711C" w14:textId="77777777">
      <w:pPr>
        <w:spacing w:after="0" w:line="240" w:lineRule="auto"/>
      </w:pPr>
      <w:r>
        <w:separator/>
      </w:r>
    </w:p>
  </w:footnote>
  <w:footnote w:type="continuationSeparator" w:id="0">
    <w:p w:rsidR="00863E0B" w:rsidP="0070444C" w:rsidRDefault="00863E0B" w14:paraId="3D251FA8" w14:textId="77777777">
      <w:pPr>
        <w:spacing w:after="0" w:line="240" w:lineRule="auto"/>
      </w:pPr>
      <w:r>
        <w:continuationSeparator/>
      </w:r>
    </w:p>
  </w:footnote>
  <w:footnote w:type="continuationNotice" w:id="1">
    <w:p w:rsidR="003C557F" w:rsidRDefault="003C557F" w14:paraId="2EA37EA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455230"/>
      <w:docPartObj>
        <w:docPartGallery w:val="Page Numbers (Top of Page)"/>
        <w:docPartUnique/>
      </w:docPartObj>
    </w:sdtPr>
    <w:sdtEndPr>
      <w:rPr>
        <w:rFonts w:ascii="Arial" w:hAnsi="Arial" w:cs="Arial"/>
        <w:noProof/>
      </w:rPr>
    </w:sdtEndPr>
    <w:sdtContent>
      <w:p w:rsidRPr="0070444C" w:rsidR="0070444C" w:rsidP="0070444C" w:rsidRDefault="0070444C" w14:paraId="2E271D0E" w14:textId="77777777">
        <w:pPr>
          <w:pStyle w:val="Header"/>
          <w:spacing w:line="360" w:lineRule="auto"/>
          <w:jc w:val="right"/>
          <w:rPr>
            <w:rFonts w:ascii="Arial" w:hAnsi="Arial" w:cs="Arial"/>
          </w:rPr>
        </w:pPr>
        <w:r w:rsidRPr="0070444C">
          <w:rPr>
            <w:rFonts w:ascii="Arial" w:hAnsi="Arial" w:cs="Arial"/>
          </w:rPr>
          <w:fldChar w:fldCharType="begin"/>
        </w:r>
        <w:r w:rsidRPr="0070444C">
          <w:rPr>
            <w:rFonts w:ascii="Arial" w:hAnsi="Arial" w:cs="Arial"/>
          </w:rPr>
          <w:instrText xml:space="preserve"> PAGE   \* MERGEFORMAT </w:instrText>
        </w:r>
        <w:r w:rsidRPr="0070444C">
          <w:rPr>
            <w:rFonts w:ascii="Arial" w:hAnsi="Arial" w:cs="Arial"/>
          </w:rPr>
          <w:fldChar w:fldCharType="separate"/>
        </w:r>
        <w:r w:rsidR="006878A8">
          <w:rPr>
            <w:rFonts w:ascii="Arial" w:hAnsi="Arial" w:cs="Arial"/>
            <w:noProof/>
          </w:rPr>
          <w:t>4</w:t>
        </w:r>
        <w:r w:rsidRPr="0070444C">
          <w:rPr>
            <w:rFonts w:ascii="Arial" w:hAnsi="Arial" w:cs="Arial"/>
            <w:noProof/>
          </w:rPr>
          <w:fldChar w:fldCharType="end"/>
        </w:r>
      </w:p>
    </w:sdtContent>
  </w:sdt>
  <w:p w:rsidR="0070444C" w:rsidRDefault="0070444C" w14:paraId="2D926E7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C7B2B"/>
    <w:multiLevelType w:val="multilevel"/>
    <w:tmpl w:val="D908B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8713B3"/>
    <w:multiLevelType w:val="multilevel"/>
    <w:tmpl w:val="C96A6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677D5F"/>
    <w:multiLevelType w:val="hybridMultilevel"/>
    <w:tmpl w:val="B1BAC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E9200D"/>
    <w:multiLevelType w:val="multilevel"/>
    <w:tmpl w:val="9252E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9C7926"/>
    <w:multiLevelType w:val="multilevel"/>
    <w:tmpl w:val="07FCC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4900FD"/>
    <w:multiLevelType w:val="multilevel"/>
    <w:tmpl w:val="4F76FC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490267"/>
    <w:multiLevelType w:val="multilevel"/>
    <w:tmpl w:val="9AC288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6368379">
    <w:abstractNumId w:val="0"/>
  </w:num>
  <w:num w:numId="2" w16cid:durableId="424811846">
    <w:abstractNumId w:val="6"/>
  </w:num>
  <w:num w:numId="3" w16cid:durableId="318506241">
    <w:abstractNumId w:val="1"/>
  </w:num>
  <w:num w:numId="4" w16cid:durableId="1277367164">
    <w:abstractNumId w:val="4"/>
  </w:num>
  <w:num w:numId="5" w16cid:durableId="1269653841">
    <w:abstractNumId w:val="3"/>
  </w:num>
  <w:num w:numId="6" w16cid:durableId="1167281378">
    <w:abstractNumId w:val="5"/>
  </w:num>
  <w:num w:numId="7" w16cid:durableId="20316840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64D"/>
    <w:rsid w:val="000048E2"/>
    <w:rsid w:val="000B2566"/>
    <w:rsid w:val="001154F2"/>
    <w:rsid w:val="001A0CC0"/>
    <w:rsid w:val="001A7363"/>
    <w:rsid w:val="001F2C2E"/>
    <w:rsid w:val="001F6638"/>
    <w:rsid w:val="002C06A9"/>
    <w:rsid w:val="002C674D"/>
    <w:rsid w:val="002D4217"/>
    <w:rsid w:val="002F7547"/>
    <w:rsid w:val="00310E10"/>
    <w:rsid w:val="0031464D"/>
    <w:rsid w:val="00329FA1"/>
    <w:rsid w:val="00345B8D"/>
    <w:rsid w:val="003C557F"/>
    <w:rsid w:val="00427816"/>
    <w:rsid w:val="00486952"/>
    <w:rsid w:val="0049647C"/>
    <w:rsid w:val="004965C0"/>
    <w:rsid w:val="00507FF2"/>
    <w:rsid w:val="00511C9D"/>
    <w:rsid w:val="005654B5"/>
    <w:rsid w:val="00571513"/>
    <w:rsid w:val="005D0B72"/>
    <w:rsid w:val="00610054"/>
    <w:rsid w:val="0066724D"/>
    <w:rsid w:val="006878A8"/>
    <w:rsid w:val="0070444C"/>
    <w:rsid w:val="00784D8C"/>
    <w:rsid w:val="007A24AA"/>
    <w:rsid w:val="007B0091"/>
    <w:rsid w:val="0082116C"/>
    <w:rsid w:val="008527C4"/>
    <w:rsid w:val="00863E0B"/>
    <w:rsid w:val="008A207A"/>
    <w:rsid w:val="00901153"/>
    <w:rsid w:val="0090766A"/>
    <w:rsid w:val="009E6B3D"/>
    <w:rsid w:val="00A97B55"/>
    <w:rsid w:val="00AB1982"/>
    <w:rsid w:val="00AB2831"/>
    <w:rsid w:val="00BB2775"/>
    <w:rsid w:val="00BF4049"/>
    <w:rsid w:val="00C0128F"/>
    <w:rsid w:val="00C56610"/>
    <w:rsid w:val="00CA2918"/>
    <w:rsid w:val="00CA5EEB"/>
    <w:rsid w:val="00D7340A"/>
    <w:rsid w:val="00D74944"/>
    <w:rsid w:val="00DC6C11"/>
    <w:rsid w:val="00DE1E8E"/>
    <w:rsid w:val="00E47189"/>
    <w:rsid w:val="00F0543D"/>
    <w:rsid w:val="00F06B8F"/>
    <w:rsid w:val="00F3112A"/>
    <w:rsid w:val="00F324AD"/>
    <w:rsid w:val="00F36F38"/>
    <w:rsid w:val="00F549F5"/>
    <w:rsid w:val="00F55212"/>
    <w:rsid w:val="0105E429"/>
    <w:rsid w:val="01F44A47"/>
    <w:rsid w:val="049A549C"/>
    <w:rsid w:val="05135A24"/>
    <w:rsid w:val="052B8662"/>
    <w:rsid w:val="0792182A"/>
    <w:rsid w:val="0869E4BF"/>
    <w:rsid w:val="087F1BA5"/>
    <w:rsid w:val="08DC0C01"/>
    <w:rsid w:val="09D0EF3B"/>
    <w:rsid w:val="09DF4363"/>
    <w:rsid w:val="0A0DC1BF"/>
    <w:rsid w:val="0B8C1CC5"/>
    <w:rsid w:val="0BCDEB8B"/>
    <w:rsid w:val="0CA48B0D"/>
    <w:rsid w:val="0EAB2CA2"/>
    <w:rsid w:val="0EC030B7"/>
    <w:rsid w:val="1054DDDB"/>
    <w:rsid w:val="1170744C"/>
    <w:rsid w:val="138C19F6"/>
    <w:rsid w:val="14F3C998"/>
    <w:rsid w:val="154DC49C"/>
    <w:rsid w:val="156A10FF"/>
    <w:rsid w:val="1624314D"/>
    <w:rsid w:val="16FA9DFE"/>
    <w:rsid w:val="1BDB8B52"/>
    <w:rsid w:val="1BF384BF"/>
    <w:rsid w:val="1C3B9598"/>
    <w:rsid w:val="1E73A2A9"/>
    <w:rsid w:val="1EFDC358"/>
    <w:rsid w:val="1FBC369C"/>
    <w:rsid w:val="223C21B5"/>
    <w:rsid w:val="2354C2CE"/>
    <w:rsid w:val="236C896A"/>
    <w:rsid w:val="2676C803"/>
    <w:rsid w:val="2865702B"/>
    <w:rsid w:val="28B4678A"/>
    <w:rsid w:val="293C0FAD"/>
    <w:rsid w:val="2BBBFAC6"/>
    <w:rsid w:val="2D195FFD"/>
    <w:rsid w:val="2D31596A"/>
    <w:rsid w:val="2E1CCA30"/>
    <w:rsid w:val="2E1E5DC7"/>
    <w:rsid w:val="2F203463"/>
    <w:rsid w:val="300E9A81"/>
    <w:rsid w:val="309D1AEB"/>
    <w:rsid w:val="30B4E187"/>
    <w:rsid w:val="313F0236"/>
    <w:rsid w:val="3155FE89"/>
    <w:rsid w:val="31E5493C"/>
    <w:rsid w:val="31FD42A9"/>
    <w:rsid w:val="337A5C02"/>
    <w:rsid w:val="33A1C9DE"/>
    <w:rsid w:val="33D7198D"/>
    <w:rsid w:val="347D6093"/>
    <w:rsid w:val="34AA90E6"/>
    <w:rsid w:val="35C5F486"/>
    <w:rsid w:val="36B1327B"/>
    <w:rsid w:val="36DE2FFD"/>
    <w:rsid w:val="37803C23"/>
    <w:rsid w:val="37B49CAE"/>
    <w:rsid w:val="3845DF9F"/>
    <w:rsid w:val="388B095F"/>
    <w:rsid w:val="39764754"/>
    <w:rsid w:val="3A4CB405"/>
    <w:rsid w:val="3A8EB59C"/>
    <w:rsid w:val="3C8085ED"/>
    <w:rsid w:val="3E875A53"/>
    <w:rsid w:val="3F459AC6"/>
    <w:rsid w:val="3FEF09F5"/>
    <w:rsid w:val="4019121F"/>
    <w:rsid w:val="41C5B8B0"/>
    <w:rsid w:val="44CD01F1"/>
    <w:rsid w:val="44FCF4CB"/>
    <w:rsid w:val="4529F24D"/>
    <w:rsid w:val="48070093"/>
    <w:rsid w:val="48F27159"/>
    <w:rsid w:val="4ACC483D"/>
    <w:rsid w:val="4B8A88B0"/>
    <w:rsid w:val="4B9F8CC5"/>
    <w:rsid w:val="4BB78632"/>
    <w:rsid w:val="4CAFA74E"/>
    <w:rsid w:val="4CBAF065"/>
    <w:rsid w:val="4D2CB205"/>
    <w:rsid w:val="4DBE5A98"/>
    <w:rsid w:val="4E4F9D89"/>
    <w:rsid w:val="4F0E10CD"/>
    <w:rsid w:val="4F80053E"/>
    <w:rsid w:val="505671EF"/>
    <w:rsid w:val="50836F71"/>
    <w:rsid w:val="53EF30F2"/>
    <w:rsid w:val="55375F43"/>
    <w:rsid w:val="554F58B0"/>
    <w:rsid w:val="5636A82E"/>
    <w:rsid w:val="563AC976"/>
    <w:rsid w:val="56CC7209"/>
    <w:rsid w:val="57CF769A"/>
    <w:rsid w:val="57FCA6ED"/>
    <w:rsid w:val="5829719E"/>
    <w:rsid w:val="59180A8D"/>
    <w:rsid w:val="592CDBD1"/>
    <w:rsid w:val="5A304604"/>
    <w:rsid w:val="5B3F271C"/>
    <w:rsid w:val="5B97F5A6"/>
    <w:rsid w:val="5C4EAE96"/>
    <w:rsid w:val="5C5668EA"/>
    <w:rsid w:val="5CC85D5B"/>
    <w:rsid w:val="5DA780E0"/>
    <w:rsid w:val="5DE0CBA3"/>
    <w:rsid w:val="61C1441C"/>
    <w:rsid w:val="61D9705A"/>
    <w:rsid w:val="639B1B00"/>
    <w:rsid w:val="6517CEB7"/>
    <w:rsid w:val="66602FD9"/>
    <w:rsid w:val="666062AA"/>
    <w:rsid w:val="667533EE"/>
    <w:rsid w:val="668D2D5B"/>
    <w:rsid w:val="676D1953"/>
    <w:rsid w:val="684F0AD2"/>
    <w:rsid w:val="6867043F"/>
    <w:rsid w:val="68E04DC3"/>
    <w:rsid w:val="69F8EEDC"/>
    <w:rsid w:val="6B59169A"/>
    <w:rsid w:val="6B6E1AAF"/>
    <w:rsid w:val="6BBD8EDA"/>
    <w:rsid w:val="6C448760"/>
    <w:rsid w:val="6D8CE882"/>
    <w:rsid w:val="6F099C39"/>
    <w:rsid w:val="6FD81C5F"/>
    <w:rsid w:val="700D066C"/>
    <w:rsid w:val="71A1B390"/>
    <w:rsid w:val="71FBAE94"/>
    <w:rsid w:val="726026D4"/>
    <w:rsid w:val="73A887F6"/>
    <w:rsid w:val="73D58578"/>
    <w:rsid w:val="74B63431"/>
    <w:rsid w:val="78A16EB7"/>
    <w:rsid w:val="7B218CA1"/>
    <w:rsid w:val="7B7B87A5"/>
    <w:rsid w:val="7C6A2094"/>
    <w:rsid w:val="7D109A6B"/>
    <w:rsid w:val="7D825C0B"/>
    <w:rsid w:val="7EEA0BAD"/>
    <w:rsid w:val="7EFA40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067C4"/>
  <w15:chartTrackingRefBased/>
  <w15:docId w15:val="{DD5DEDDC-67A8-4111-85A5-70916482E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0444C"/>
    <w:pPr>
      <w:tabs>
        <w:tab w:val="center" w:pos="4680"/>
        <w:tab w:val="right" w:pos="9360"/>
      </w:tabs>
      <w:spacing w:after="0" w:line="240" w:lineRule="auto"/>
    </w:pPr>
  </w:style>
  <w:style w:type="character" w:styleId="HeaderChar" w:customStyle="1">
    <w:name w:val="Header Char"/>
    <w:basedOn w:val="DefaultParagraphFont"/>
    <w:link w:val="Header"/>
    <w:uiPriority w:val="99"/>
    <w:rsid w:val="0070444C"/>
  </w:style>
  <w:style w:type="paragraph" w:styleId="Footer">
    <w:name w:val="footer"/>
    <w:basedOn w:val="Normal"/>
    <w:link w:val="FooterChar"/>
    <w:uiPriority w:val="99"/>
    <w:unhideWhenUsed/>
    <w:rsid w:val="0070444C"/>
    <w:pPr>
      <w:tabs>
        <w:tab w:val="center" w:pos="4680"/>
        <w:tab w:val="right" w:pos="9360"/>
      </w:tabs>
      <w:spacing w:after="0" w:line="240" w:lineRule="auto"/>
    </w:pPr>
  </w:style>
  <w:style w:type="character" w:styleId="FooterChar" w:customStyle="1">
    <w:name w:val="Footer Char"/>
    <w:basedOn w:val="DefaultParagraphFont"/>
    <w:link w:val="Footer"/>
    <w:uiPriority w:val="99"/>
    <w:rsid w:val="0070444C"/>
  </w:style>
  <w:style w:type="paragraph" w:styleId="ListParagraph">
    <w:name w:val="List Paragraph"/>
    <w:basedOn w:val="Normal"/>
    <w:uiPriority w:val="34"/>
    <w:qFormat/>
    <w:rsid w:val="00C56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5909">
      <w:bodyDiv w:val="1"/>
      <w:marLeft w:val="0"/>
      <w:marRight w:val="0"/>
      <w:marTop w:val="0"/>
      <w:marBottom w:val="0"/>
      <w:divBdr>
        <w:top w:val="none" w:sz="0" w:space="0" w:color="auto"/>
        <w:left w:val="none" w:sz="0" w:space="0" w:color="auto"/>
        <w:bottom w:val="none" w:sz="0" w:space="0" w:color="auto"/>
        <w:right w:val="none" w:sz="0" w:space="0" w:color="auto"/>
      </w:divBdr>
    </w:div>
    <w:div w:id="588006505">
      <w:bodyDiv w:val="1"/>
      <w:marLeft w:val="0"/>
      <w:marRight w:val="0"/>
      <w:marTop w:val="0"/>
      <w:marBottom w:val="0"/>
      <w:divBdr>
        <w:top w:val="none" w:sz="0" w:space="0" w:color="auto"/>
        <w:left w:val="none" w:sz="0" w:space="0" w:color="auto"/>
        <w:bottom w:val="none" w:sz="0" w:space="0" w:color="auto"/>
        <w:right w:val="none" w:sz="0" w:space="0" w:color="auto"/>
      </w:divBdr>
    </w:div>
    <w:div w:id="625088787">
      <w:bodyDiv w:val="1"/>
      <w:marLeft w:val="0"/>
      <w:marRight w:val="0"/>
      <w:marTop w:val="0"/>
      <w:marBottom w:val="0"/>
      <w:divBdr>
        <w:top w:val="none" w:sz="0" w:space="0" w:color="auto"/>
        <w:left w:val="none" w:sz="0" w:space="0" w:color="auto"/>
        <w:bottom w:val="none" w:sz="0" w:space="0" w:color="auto"/>
        <w:right w:val="none" w:sz="0" w:space="0" w:color="auto"/>
      </w:divBdr>
    </w:div>
    <w:div w:id="1348168118">
      <w:bodyDiv w:val="1"/>
      <w:marLeft w:val="0"/>
      <w:marRight w:val="0"/>
      <w:marTop w:val="0"/>
      <w:marBottom w:val="0"/>
      <w:divBdr>
        <w:top w:val="none" w:sz="0" w:space="0" w:color="auto"/>
        <w:left w:val="none" w:sz="0" w:space="0" w:color="auto"/>
        <w:bottom w:val="none" w:sz="0" w:space="0" w:color="auto"/>
        <w:right w:val="none" w:sz="0" w:space="0" w:color="auto"/>
      </w:divBdr>
    </w:div>
    <w:div w:id="1636138074">
      <w:bodyDiv w:val="1"/>
      <w:marLeft w:val="0"/>
      <w:marRight w:val="0"/>
      <w:marTop w:val="0"/>
      <w:marBottom w:val="0"/>
      <w:divBdr>
        <w:top w:val="none" w:sz="0" w:space="0" w:color="auto"/>
        <w:left w:val="none" w:sz="0" w:space="0" w:color="auto"/>
        <w:bottom w:val="none" w:sz="0" w:space="0" w:color="auto"/>
        <w:right w:val="none" w:sz="0" w:space="0" w:color="auto"/>
      </w:divBdr>
    </w:div>
    <w:div w:id="207804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b83e698c55af408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7049ea3-494a-4925-ba81-f95fe53b644d}"/>
      </w:docPartPr>
      <w:docPartBody>
        <w:p w14:paraId="3155FE8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Olivia Sarpong (2208452)</lastModifiedBy>
  <revision>6</revision>
  <dcterms:created xsi:type="dcterms:W3CDTF">2023-03-03T22:30:00.0000000Z</dcterms:created>
  <dcterms:modified xsi:type="dcterms:W3CDTF">2023-03-03T22:47:26.0375716Z</dcterms:modified>
</coreProperties>
</file>