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168A59" w14:textId="77777777" w:rsidR="001E5E85" w:rsidRPr="001029EC" w:rsidRDefault="001E5E85" w:rsidP="001E5E85">
      <w:pPr>
        <w:rPr>
          <w:rFonts w:asciiTheme="majorHAnsi" w:hAnsiTheme="majorHAnsi" w:cstheme="majorHAnsi"/>
          <w:b/>
          <w:bCs/>
          <w:sz w:val="24"/>
          <w:szCs w:val="24"/>
        </w:rPr>
      </w:pPr>
      <w:r w:rsidRPr="001029EC">
        <w:rPr>
          <w:rFonts w:asciiTheme="majorHAnsi" w:hAnsiTheme="majorHAnsi" w:cstheme="majorHAnsi"/>
          <w:b/>
          <w:bCs/>
          <w:sz w:val="24"/>
          <w:szCs w:val="24"/>
        </w:rPr>
        <w:t xml:space="preserve">Student Name: </w:t>
      </w:r>
      <w:r w:rsidRPr="001029EC">
        <w:rPr>
          <w:rFonts w:asciiTheme="majorHAnsi" w:hAnsiTheme="majorHAnsi" w:cstheme="majorHAnsi"/>
          <w:sz w:val="24"/>
          <w:szCs w:val="24"/>
        </w:rPr>
        <w:t>Samuel Rhys Jones</w:t>
      </w:r>
      <w:r w:rsidRPr="001029EC">
        <w:rPr>
          <w:rFonts w:asciiTheme="majorHAnsi" w:hAnsiTheme="majorHAnsi" w:cstheme="majorHAnsi"/>
          <w:sz w:val="24"/>
          <w:szCs w:val="24"/>
        </w:rPr>
        <w:tab/>
      </w:r>
      <w:r w:rsidRPr="001029EC">
        <w:rPr>
          <w:rFonts w:asciiTheme="majorHAnsi" w:hAnsiTheme="majorHAnsi" w:cstheme="majorHAnsi"/>
          <w:b/>
          <w:bCs/>
          <w:sz w:val="24"/>
          <w:szCs w:val="24"/>
        </w:rPr>
        <w:t xml:space="preserve">Student Number: </w:t>
      </w:r>
      <w:hyperlink r:id="rId4" w:history="1">
        <w:r w:rsidRPr="001029EC">
          <w:rPr>
            <w:rStyle w:val="Hyperlink"/>
            <w:rFonts w:asciiTheme="majorHAnsi" w:hAnsiTheme="majorHAnsi" w:cstheme="majorHAnsi"/>
            <w:color w:val="100E25"/>
            <w:sz w:val="24"/>
            <w:szCs w:val="24"/>
            <w:u w:val="none"/>
            <w:shd w:val="clear" w:color="auto" w:fill="FFFFFF"/>
          </w:rPr>
          <w:t>2134528</w:t>
        </w:r>
      </w:hyperlink>
    </w:p>
    <w:p w14:paraId="34C62717" w14:textId="77777777" w:rsidR="001E5E85" w:rsidRPr="001029EC" w:rsidRDefault="001E5E85" w:rsidP="001E5E85">
      <w:pPr>
        <w:rPr>
          <w:rFonts w:asciiTheme="majorHAnsi" w:hAnsiTheme="majorHAnsi" w:cstheme="majorHAnsi"/>
          <w:b/>
          <w:bCs/>
          <w:sz w:val="24"/>
          <w:szCs w:val="24"/>
        </w:rPr>
      </w:pPr>
    </w:p>
    <w:p w14:paraId="30D65E05" w14:textId="77777777" w:rsidR="001E5E85" w:rsidRPr="001029EC" w:rsidRDefault="001E5E85" w:rsidP="001E5E85">
      <w:pPr>
        <w:jc w:val="center"/>
        <w:rPr>
          <w:rFonts w:asciiTheme="majorHAnsi" w:hAnsiTheme="majorHAnsi" w:cstheme="majorHAnsi"/>
          <w:b/>
          <w:bCs/>
          <w:sz w:val="24"/>
          <w:szCs w:val="24"/>
          <w:u w:val="single"/>
        </w:rPr>
      </w:pPr>
      <w:r w:rsidRPr="001029EC">
        <w:rPr>
          <w:rFonts w:asciiTheme="majorHAnsi" w:hAnsiTheme="majorHAnsi" w:cstheme="majorHAnsi"/>
          <w:b/>
          <w:bCs/>
          <w:sz w:val="24"/>
          <w:szCs w:val="24"/>
          <w:u w:val="single"/>
        </w:rPr>
        <w:t>Assignment Two</w:t>
      </w:r>
    </w:p>
    <w:p w14:paraId="2AE1B64A" w14:textId="77777777" w:rsidR="001E5E85" w:rsidRPr="001029EC" w:rsidRDefault="001E5E85" w:rsidP="001E5E85">
      <w:pPr>
        <w:jc w:val="center"/>
        <w:rPr>
          <w:rFonts w:asciiTheme="majorHAnsi" w:hAnsiTheme="majorHAnsi" w:cstheme="majorHAnsi"/>
          <w:b/>
          <w:bCs/>
          <w:sz w:val="24"/>
          <w:szCs w:val="24"/>
          <w:u w:val="single"/>
        </w:rPr>
      </w:pPr>
    </w:p>
    <w:p w14:paraId="301B11DF" w14:textId="77777777" w:rsidR="001E5E85" w:rsidRPr="001029EC" w:rsidRDefault="001E5E85" w:rsidP="001E5E85">
      <w:pPr>
        <w:rPr>
          <w:rFonts w:asciiTheme="majorHAnsi" w:hAnsiTheme="majorHAnsi" w:cstheme="majorHAnsi"/>
          <w:b/>
          <w:bCs/>
          <w:sz w:val="24"/>
          <w:szCs w:val="24"/>
        </w:rPr>
      </w:pPr>
      <w:r w:rsidRPr="001029EC">
        <w:rPr>
          <w:rFonts w:asciiTheme="majorHAnsi" w:hAnsiTheme="majorHAnsi" w:cstheme="majorHAnsi"/>
          <w:b/>
          <w:bCs/>
          <w:sz w:val="24"/>
          <w:szCs w:val="24"/>
        </w:rPr>
        <w:t xml:space="preserve">1. Why might terrorist organisations be involved in other types of criminality, and how might intelligence gained in the investigation of such criminality inform counter-terrorism policing? Your answer must be based on academic research, but you may make reference to relevant case studies. </w:t>
      </w:r>
    </w:p>
    <w:p w14:paraId="2C963899" w14:textId="77777777" w:rsidR="00D47C24" w:rsidRPr="001029EC" w:rsidRDefault="00D47C24">
      <w:pPr>
        <w:rPr>
          <w:rFonts w:asciiTheme="majorHAnsi" w:hAnsiTheme="majorHAnsi" w:cstheme="majorHAnsi"/>
          <w:sz w:val="24"/>
          <w:szCs w:val="24"/>
        </w:rPr>
      </w:pPr>
    </w:p>
    <w:p w14:paraId="7BD4E90C" w14:textId="10DD7A8C" w:rsidR="00F273C4" w:rsidRPr="001029EC" w:rsidRDefault="002D6D2F">
      <w:pPr>
        <w:rPr>
          <w:rFonts w:asciiTheme="majorHAnsi" w:hAnsiTheme="majorHAnsi" w:cstheme="majorHAnsi"/>
          <w:sz w:val="24"/>
          <w:szCs w:val="24"/>
        </w:rPr>
      </w:pPr>
      <w:r w:rsidRPr="001029EC">
        <w:rPr>
          <w:rFonts w:asciiTheme="majorHAnsi" w:eastAsia="Times New Roman" w:hAnsiTheme="majorHAnsi" w:cstheme="majorHAnsi"/>
          <w:sz w:val="24"/>
          <w:szCs w:val="24"/>
        </w:rPr>
        <w:t>Some scholars</w:t>
      </w:r>
      <w:r w:rsidR="00081C24" w:rsidRPr="001029EC">
        <w:rPr>
          <w:rFonts w:asciiTheme="majorHAnsi" w:eastAsia="Times New Roman" w:hAnsiTheme="majorHAnsi" w:cstheme="majorHAnsi"/>
          <w:sz w:val="24"/>
          <w:szCs w:val="24"/>
        </w:rPr>
        <w:t xml:space="preserve"> have attempted to</w:t>
      </w:r>
      <w:r w:rsidRPr="001029EC">
        <w:rPr>
          <w:rFonts w:asciiTheme="majorHAnsi" w:eastAsia="Times New Roman" w:hAnsiTheme="majorHAnsi" w:cstheme="majorHAnsi"/>
          <w:sz w:val="24"/>
          <w:szCs w:val="24"/>
        </w:rPr>
        <w:t xml:space="preserve"> delve into the connections between organized crime and terrorism, seeking to understand how and to what extent these groups interact. Below are several theoretical models crafted by academics in this </w:t>
      </w:r>
      <w:r w:rsidR="00767FA8">
        <w:rPr>
          <w:rFonts w:asciiTheme="majorHAnsi" w:eastAsia="Times New Roman" w:hAnsiTheme="majorHAnsi" w:cstheme="majorHAnsi"/>
          <w:sz w:val="24"/>
          <w:szCs w:val="24"/>
        </w:rPr>
        <w:t>field</w:t>
      </w:r>
      <w:r w:rsidRPr="001029EC">
        <w:rPr>
          <w:rFonts w:asciiTheme="majorHAnsi" w:eastAsia="Times New Roman" w:hAnsiTheme="majorHAnsi" w:cstheme="majorHAnsi"/>
          <w:sz w:val="24"/>
          <w:szCs w:val="24"/>
        </w:rPr>
        <w:t>, shedding light on the linkages between organized crime and terrorism. It's important to acknowledge that these models represent just a portion of the theoretical frameworks proposed by scholars.</w:t>
      </w:r>
      <w:r w:rsidR="002C2C88" w:rsidRPr="001029EC">
        <w:rPr>
          <w:rFonts w:asciiTheme="majorHAnsi" w:eastAsia="Times New Roman" w:hAnsiTheme="majorHAnsi" w:cstheme="majorHAnsi"/>
          <w:sz w:val="24"/>
          <w:szCs w:val="24"/>
        </w:rPr>
        <w:t xml:space="preserve"> </w:t>
      </w:r>
      <w:r w:rsidR="002C2C88" w:rsidRPr="001029EC">
        <w:rPr>
          <w:rFonts w:asciiTheme="majorHAnsi" w:hAnsiTheme="majorHAnsi" w:cstheme="majorHAnsi"/>
          <w:sz w:val="24"/>
          <w:szCs w:val="24"/>
        </w:rPr>
        <w:t>In this essay I will examine</w:t>
      </w:r>
      <w:r w:rsidR="00081C24" w:rsidRPr="001029EC">
        <w:rPr>
          <w:rFonts w:asciiTheme="majorHAnsi" w:hAnsiTheme="majorHAnsi" w:cstheme="majorHAnsi"/>
          <w:sz w:val="24"/>
          <w:szCs w:val="24"/>
        </w:rPr>
        <w:t xml:space="preserve"> these </w:t>
      </w:r>
      <w:r w:rsidR="00F1204B" w:rsidRPr="001029EC">
        <w:rPr>
          <w:rFonts w:asciiTheme="majorHAnsi" w:hAnsiTheme="majorHAnsi" w:cstheme="majorHAnsi"/>
          <w:sz w:val="24"/>
          <w:szCs w:val="24"/>
        </w:rPr>
        <w:t>models as to</w:t>
      </w:r>
      <w:r w:rsidR="00457F53" w:rsidRPr="001029EC">
        <w:rPr>
          <w:rFonts w:asciiTheme="majorHAnsi" w:hAnsiTheme="majorHAnsi" w:cstheme="majorHAnsi"/>
          <w:sz w:val="24"/>
          <w:szCs w:val="24"/>
        </w:rPr>
        <w:t xml:space="preserve"> how and</w:t>
      </w:r>
      <w:r w:rsidR="002C2C88" w:rsidRPr="001029EC">
        <w:rPr>
          <w:rFonts w:asciiTheme="majorHAnsi" w:hAnsiTheme="majorHAnsi" w:cstheme="majorHAnsi"/>
          <w:sz w:val="24"/>
          <w:szCs w:val="24"/>
        </w:rPr>
        <w:t xml:space="preserve"> why terrorist organisations may become involved in other types of criminality, and how intelligence gained in the investigation of this criminality may inform counter-terrorism policing.</w:t>
      </w:r>
      <w:r w:rsidR="00457F53" w:rsidRPr="001029EC">
        <w:rPr>
          <w:rFonts w:asciiTheme="majorHAnsi" w:hAnsiTheme="majorHAnsi" w:cstheme="majorHAnsi"/>
          <w:sz w:val="24"/>
          <w:szCs w:val="24"/>
        </w:rPr>
        <w:t xml:space="preserve"> </w:t>
      </w:r>
    </w:p>
    <w:p w14:paraId="72F1C9C0" w14:textId="77777777" w:rsidR="00CA7F28" w:rsidRPr="001029EC" w:rsidRDefault="00CA7F28" w:rsidP="00CA7F28">
      <w:pPr>
        <w:tabs>
          <w:tab w:val="left" w:pos="1007"/>
        </w:tabs>
        <w:rPr>
          <w:rFonts w:asciiTheme="majorHAnsi" w:hAnsiTheme="majorHAnsi" w:cstheme="majorHAnsi"/>
          <w:sz w:val="24"/>
          <w:szCs w:val="24"/>
        </w:rPr>
      </w:pPr>
    </w:p>
    <w:p w14:paraId="050FE3F2" w14:textId="3C940590" w:rsidR="00CA7F28" w:rsidRPr="001029EC" w:rsidRDefault="00CA7F28" w:rsidP="00CA7F28">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Williams, in 1998, pioneered an exploration into the crime-terror nexus theory</w:t>
      </w:r>
      <w:r w:rsidR="009516AD" w:rsidRPr="001029EC">
        <w:rPr>
          <w:rFonts w:asciiTheme="majorHAnsi" w:eastAsia="Times New Roman" w:hAnsiTheme="majorHAnsi" w:cstheme="majorHAnsi"/>
          <w:sz w:val="24"/>
          <w:szCs w:val="24"/>
        </w:rPr>
        <w:t xml:space="preserve"> </w:t>
      </w:r>
      <w:r w:rsidR="009516AD" w:rsidRPr="001029EC">
        <w:rPr>
          <w:rFonts w:asciiTheme="majorHAnsi" w:hAnsiTheme="majorHAnsi" w:cstheme="majorHAnsi"/>
          <w:sz w:val="24"/>
          <w:szCs w:val="24"/>
        </w:rPr>
        <w:t>Fromiti (2019).</w:t>
      </w:r>
      <w:r w:rsidRPr="001029EC">
        <w:rPr>
          <w:rFonts w:asciiTheme="majorHAnsi" w:eastAsia="Times New Roman" w:hAnsiTheme="majorHAnsi" w:cstheme="majorHAnsi"/>
          <w:sz w:val="24"/>
          <w:szCs w:val="24"/>
        </w:rPr>
        <w:t xml:space="preserve">, delineating three hypothetical models that elucidate the interplay between organized crime and terrorism. The initial model, termed the "convergence" thesis, postulates the amalgamation of these entities into a unified phenomenon. This concept manifests in scenarios where terrorist organizations resort to criminal acts such as bank robberies to fund their </w:t>
      </w:r>
      <w:r w:rsidR="009516AD" w:rsidRPr="001029EC">
        <w:rPr>
          <w:rFonts w:asciiTheme="majorHAnsi" w:eastAsia="Times New Roman" w:hAnsiTheme="majorHAnsi" w:cstheme="majorHAnsi"/>
          <w:sz w:val="24"/>
          <w:szCs w:val="24"/>
        </w:rPr>
        <w:t>operations or</w:t>
      </w:r>
      <w:r w:rsidRPr="001029EC">
        <w:rPr>
          <w:rFonts w:asciiTheme="majorHAnsi" w:eastAsia="Times New Roman" w:hAnsiTheme="majorHAnsi" w:cstheme="majorHAnsi"/>
          <w:sz w:val="24"/>
          <w:szCs w:val="24"/>
        </w:rPr>
        <w:t xml:space="preserve"> establish direct involvement in illicit activities like drug trafficking, thus blurring the lines between terrorism and organized crime.</w:t>
      </w:r>
      <w:r w:rsidR="009516AD" w:rsidRPr="001029EC">
        <w:rPr>
          <w:rFonts w:asciiTheme="majorHAnsi" w:hAnsiTheme="majorHAnsi" w:cstheme="majorHAnsi"/>
          <w:sz w:val="24"/>
          <w:szCs w:val="24"/>
        </w:rPr>
        <w:t xml:space="preserve"> </w:t>
      </w:r>
      <w:r w:rsidR="009516AD" w:rsidRPr="001029EC">
        <w:rPr>
          <w:rFonts w:asciiTheme="majorHAnsi" w:hAnsiTheme="majorHAnsi" w:cstheme="majorHAnsi"/>
          <w:color w:val="333333"/>
          <w:sz w:val="24"/>
          <w:szCs w:val="24"/>
          <w:shd w:val="clear" w:color="auto" w:fill="FFFFFF"/>
        </w:rPr>
        <w:t xml:space="preserve">The second model is the "organized crime-terrorism nexus" thesis </w:t>
      </w:r>
      <w:r w:rsidR="002C2C88" w:rsidRPr="001029EC">
        <w:rPr>
          <w:rFonts w:asciiTheme="majorHAnsi" w:eastAsia="Times New Roman" w:hAnsiTheme="majorHAnsi" w:cstheme="majorHAnsi"/>
          <w:sz w:val="24"/>
          <w:szCs w:val="24"/>
        </w:rPr>
        <w:t>(</w:t>
      </w:r>
      <w:r w:rsidR="002C2C88" w:rsidRPr="001029EC">
        <w:rPr>
          <w:rFonts w:asciiTheme="majorHAnsi" w:hAnsiTheme="majorHAnsi" w:cstheme="majorHAnsi"/>
          <w:sz w:val="24"/>
          <w:szCs w:val="24"/>
        </w:rPr>
        <w:t>Fromiti, 2019)</w:t>
      </w:r>
      <w:r w:rsidR="005A4970" w:rsidRPr="001029EC">
        <w:rPr>
          <w:rFonts w:asciiTheme="majorHAnsi" w:hAnsiTheme="majorHAnsi" w:cstheme="majorHAnsi"/>
          <w:sz w:val="24"/>
          <w:szCs w:val="24"/>
        </w:rPr>
        <w:t xml:space="preserve"> which</w:t>
      </w:r>
      <w:r w:rsidR="002C2C88" w:rsidRPr="001029EC">
        <w:rPr>
          <w:rFonts w:asciiTheme="majorHAnsi" w:hAnsiTheme="majorHAnsi" w:cstheme="majorHAnsi"/>
          <w:sz w:val="24"/>
          <w:szCs w:val="24"/>
        </w:rPr>
        <w:t xml:space="preserve"> delves into the intricate relationship between criminal enterprises and terrorist organisations, highlighting the convergence of their objectives and strategies. At the core of this theory is the notion that these entities engage in a symbiotic relationship, where collaboration or shared interests yield mutual benefits. Financial interdependence is a key facet, with criminal activities such as drug trafficking and money laundering providing substantial funding for terrorist, who, in turn, may offer protection or support to criminals. Operational collaboration is also evident, as terrorist groups seek logistical support and expertise form criminal networks in exchange for financial gains. The exploitation of common resources, such as smuggling routes and areas with weak governance, further solidifies the nexus. The cooperation between criminals and terrorists can enhance the capabilities of both groups, with mutual reinforcement occurring through shared tactics and resources. This collaboration often blurs the distinction between terrorism and organised crime, presenting challenges for police and other law enforcement agencies. Effectively countering the crime-terror nexus necessitates a comprehensive approach that considers both security and law enforcement strategies to address the overlapping interests and activities of these interconnected entities.</w:t>
      </w:r>
      <w:r w:rsidR="002C2C88" w:rsidRPr="001029EC">
        <w:rPr>
          <w:rFonts w:asciiTheme="majorHAnsi" w:eastAsia="Times New Roman" w:hAnsiTheme="majorHAnsi" w:cstheme="majorHAnsi"/>
          <w:sz w:val="24"/>
          <w:szCs w:val="24"/>
        </w:rPr>
        <w:t xml:space="preserve"> The intricate relationship between terrorism and various criminal activities has been extensively documented (Hamm, 2005). One notable nexus is between terrorism and drug trafficking, where terrorist organizations exploit the lucrative nature of the illicit drug trade to finance their operations. For instance, data from French authorities reveal that a significant portion of individuals convicted of jihadist-related terrorism had prior records of drug trafficking (Basra, 2019). Additionally, terrorism often intersects with extortion and kidnapping, as </w:t>
      </w:r>
      <w:r w:rsidR="002C2C88" w:rsidRPr="001029EC">
        <w:rPr>
          <w:rFonts w:asciiTheme="majorHAnsi" w:eastAsia="Times New Roman" w:hAnsiTheme="majorHAnsi" w:cstheme="majorHAnsi"/>
          <w:sz w:val="24"/>
          <w:szCs w:val="24"/>
        </w:rPr>
        <w:lastRenderedPageBreak/>
        <w:t>certain groups resort to these crimes to fund their activities and advance their ideological agendas. Kidnappings for ransom serve as a profitable revenue source, enabling groups to procure weapons and sustain their operations while instilling fear. Moreover, money laundering plays a crucial role in enabling terrorists to legitimize illicit funds and obscure financial trails, thereby empowering them to plan and execute attacks. The link between terrorism and counterfeiting further illustrates the adaptability of terrorist organizations in seeking diverse funding sources, while cybercrime offers clandestine avenues for fundraising and communication. Illegal trade and trafficking, robberies, heists, and fraudulent activities all contribute to the operational capabilities of terrorist groups, highlighting the multifaceted nature of their criminal endeavours in financing terrorism. By investigating these criminal activities that may be linked to terrorism can yield crucial intelligence for understanding terrorist networks and facilitates predictive analysis to enhance security measures. By tracking financial transactions associated with illegal trade, cybercrime, fraud, and other criminal enterprises, intelligence agencies can identify funding sources, key operatives, and logistical support networks for terrorist organisations. This financial intelligence helps in mapping the intricate web of connections within these networks. Moreover, analysing patterns of criminal behaviour provides insight into potential future activities, aiding in predictive analysis to anticipate threats. Information obtained from investigations contribute to developing targeted strategies, disrupting funding streams, and implementing preventive measures ultimately bolstering efforts to counter and mitigate the impact of terrorism.</w:t>
      </w:r>
      <w:r w:rsidR="009516AD" w:rsidRPr="001029EC">
        <w:rPr>
          <w:rFonts w:asciiTheme="majorHAnsi" w:eastAsia="Times New Roman" w:hAnsiTheme="majorHAnsi" w:cstheme="majorHAnsi"/>
          <w:sz w:val="24"/>
          <w:szCs w:val="24"/>
        </w:rPr>
        <w:t xml:space="preserve"> </w:t>
      </w:r>
      <w:r w:rsidRPr="001029EC">
        <w:rPr>
          <w:rFonts w:asciiTheme="majorHAnsi" w:eastAsia="Times New Roman" w:hAnsiTheme="majorHAnsi" w:cstheme="majorHAnsi"/>
          <w:sz w:val="24"/>
          <w:szCs w:val="24"/>
        </w:rPr>
        <w:t xml:space="preserve">Williams' third category of interaction, termed "transformation," delves into the mutation or migration of criminal </w:t>
      </w:r>
      <w:r w:rsidR="009516AD" w:rsidRPr="001029EC">
        <w:rPr>
          <w:rFonts w:asciiTheme="majorHAnsi" w:eastAsia="Times New Roman" w:hAnsiTheme="majorHAnsi" w:cstheme="majorHAnsi"/>
          <w:sz w:val="24"/>
          <w:szCs w:val="24"/>
        </w:rPr>
        <w:t>behaviours</w:t>
      </w:r>
      <w:r w:rsidRPr="001029EC">
        <w:rPr>
          <w:rFonts w:asciiTheme="majorHAnsi" w:eastAsia="Times New Roman" w:hAnsiTheme="majorHAnsi" w:cstheme="majorHAnsi"/>
          <w:sz w:val="24"/>
          <w:szCs w:val="24"/>
        </w:rPr>
        <w:t xml:space="preserve"> towards political terrorism, or conversely, the shift of terrorist activities towards criminal </w:t>
      </w:r>
      <w:r w:rsidR="009516AD" w:rsidRPr="001029EC">
        <w:rPr>
          <w:rFonts w:asciiTheme="majorHAnsi" w:eastAsia="Times New Roman" w:hAnsiTheme="majorHAnsi" w:cstheme="majorHAnsi"/>
          <w:sz w:val="24"/>
          <w:szCs w:val="24"/>
        </w:rPr>
        <w:t xml:space="preserve">endeavours </w:t>
      </w:r>
      <w:r w:rsidR="009516AD" w:rsidRPr="001029EC">
        <w:rPr>
          <w:rFonts w:asciiTheme="majorHAnsi" w:hAnsiTheme="majorHAnsi" w:cstheme="majorHAnsi"/>
          <w:sz w:val="24"/>
          <w:szCs w:val="24"/>
        </w:rPr>
        <w:t>Fromiti (2019)</w:t>
      </w:r>
      <w:r w:rsidRPr="001029EC">
        <w:rPr>
          <w:rFonts w:asciiTheme="majorHAnsi" w:eastAsia="Times New Roman" w:hAnsiTheme="majorHAnsi" w:cstheme="majorHAnsi"/>
          <w:sz w:val="24"/>
          <w:szCs w:val="24"/>
        </w:rPr>
        <w:t>. This dynamic encapsulates scenarios where a terrorist group diminishes its terrorist activities while intensifying criminal operations, or where a criminal organization undergoes significant politicization, radically reshaping its activities. An illustrative example of the latter scenario is evident in the actions of certain organized criminal factions, which deliberately target and eliminate political figures, including candidates and government officials at various levels.</w:t>
      </w:r>
    </w:p>
    <w:p w14:paraId="67D2E081" w14:textId="77777777" w:rsidR="00CA7F28" w:rsidRPr="001029EC" w:rsidRDefault="00CA7F28" w:rsidP="002C2C88">
      <w:pPr>
        <w:rPr>
          <w:rFonts w:asciiTheme="majorHAnsi" w:eastAsia="Times New Roman" w:hAnsiTheme="majorHAnsi" w:cstheme="majorHAnsi"/>
          <w:sz w:val="24"/>
          <w:szCs w:val="24"/>
        </w:rPr>
      </w:pPr>
    </w:p>
    <w:p w14:paraId="4FFCF7F1" w14:textId="199FEA23" w:rsidR="00CA7F28" w:rsidRPr="001029EC" w:rsidRDefault="00CA7F28" w:rsidP="00CA7F28">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Makarenko's framework, outlined in 2004, outlines four distinct relationship types along </w:t>
      </w:r>
      <w:r w:rsidRPr="001029EC">
        <w:rPr>
          <w:rFonts w:asciiTheme="majorHAnsi" w:eastAsia="Times New Roman" w:hAnsiTheme="majorHAnsi" w:cstheme="majorHAnsi"/>
          <w:color w:val="000000" w:themeColor="text1"/>
          <w:sz w:val="24"/>
          <w:szCs w:val="24"/>
        </w:rPr>
        <w:t>a "crime-terror continuum"</w:t>
      </w:r>
      <w:r w:rsidR="000F2BF9" w:rsidRPr="001029EC">
        <w:rPr>
          <w:rFonts w:asciiTheme="majorHAnsi" w:eastAsia="Times New Roman" w:hAnsiTheme="majorHAnsi" w:cstheme="majorHAnsi"/>
          <w:color w:val="000000" w:themeColor="text1"/>
          <w:sz w:val="24"/>
          <w:szCs w:val="24"/>
        </w:rPr>
        <w:t xml:space="preserve"> (</w:t>
      </w:r>
      <w:r w:rsidR="000F2BF9" w:rsidRPr="001029EC">
        <w:rPr>
          <w:rFonts w:asciiTheme="majorHAnsi" w:hAnsiTheme="majorHAnsi" w:cstheme="majorHAnsi"/>
          <w:sz w:val="24"/>
          <w:szCs w:val="24"/>
        </w:rPr>
        <w:t xml:space="preserve">Makarenko, 2004. pp. 129–145). </w:t>
      </w:r>
      <w:r w:rsidRPr="001029EC">
        <w:rPr>
          <w:rFonts w:asciiTheme="majorHAnsi" w:eastAsia="Times New Roman" w:hAnsiTheme="majorHAnsi" w:cstheme="majorHAnsi"/>
          <w:color w:val="000000" w:themeColor="text1"/>
          <w:sz w:val="24"/>
          <w:szCs w:val="24"/>
        </w:rPr>
        <w:t xml:space="preserve"> </w:t>
      </w:r>
      <w:r w:rsidRPr="001029EC">
        <w:rPr>
          <w:rFonts w:asciiTheme="majorHAnsi" w:eastAsia="Times New Roman" w:hAnsiTheme="majorHAnsi" w:cstheme="majorHAnsi"/>
          <w:sz w:val="24"/>
          <w:szCs w:val="24"/>
        </w:rPr>
        <w:t>This continuum, as described by Makarenko, reflects the fluidity of group affiliations, indicating how a single entity can shift between conventional organized crime and terrorism depending on its operational context. The initial relationship type, termed alliance, materializes when criminal factions forge partnerships with terrorist organizations, or conversely, when terrorist groups seek collaboration with criminal entities. These alliances may be transient or enduring, contingent upon various factors such as the exchange of specialized expertise (e.g., money laundering, bomb-making) or logistical support (e.g., access to smuggling routes, facilitation of illicit goods/people trafficking).</w:t>
      </w:r>
      <w:r w:rsidR="000F2BF9" w:rsidRPr="001029EC">
        <w:rPr>
          <w:rFonts w:asciiTheme="majorHAnsi" w:eastAsia="Times New Roman" w:hAnsiTheme="majorHAnsi" w:cstheme="majorHAnsi"/>
          <w:sz w:val="24"/>
          <w:szCs w:val="24"/>
        </w:rPr>
        <w:t xml:space="preserve"> </w:t>
      </w:r>
      <w:r w:rsidRPr="001029EC">
        <w:rPr>
          <w:rFonts w:asciiTheme="majorHAnsi" w:eastAsia="Times New Roman" w:hAnsiTheme="majorHAnsi" w:cstheme="majorHAnsi"/>
          <w:sz w:val="24"/>
          <w:szCs w:val="24"/>
        </w:rPr>
        <w:t xml:space="preserve">Makarenko's analysis further delineates the second relationship as operational motivations, which denote the concerted efforts of both criminal and terrorist factions to internalize each other's methodologies to bolster their security and operational efficacy. Makarenko contends that while the utilization of terrorist tactics by criminal syndicates has historical precedence, the adoption of criminal activities by terrorist groups represents a more recent phenomenon. This trend is exemplified by the increasing political engagement of criminal organizations to manipulate operational landscapes, particularly in fragile states, alongside the parallel escalation of terrorist groups' involvement in criminal enterprises to offset dwindling state sponsorship. The third relationship, convergence, </w:t>
      </w:r>
      <w:r w:rsidRPr="001029EC">
        <w:rPr>
          <w:rFonts w:asciiTheme="majorHAnsi" w:eastAsia="Times New Roman" w:hAnsiTheme="majorHAnsi" w:cstheme="majorHAnsi"/>
          <w:sz w:val="24"/>
          <w:szCs w:val="24"/>
        </w:rPr>
        <w:lastRenderedPageBreak/>
        <w:t>signifies the profound transformation and amalgamation of tactics and motivations to the extent that criminal and terrorist entities may coalesce into a unified entity exhibiting characteristics of both groups simultaneously. This convergence has the potential to evolve into an entity positioned diametrically opposite from its initial position on the continuum, indicating the dynamic nature of the crime-terror nexus</w:t>
      </w:r>
      <w:r w:rsidR="000F2BF9" w:rsidRPr="001029EC">
        <w:rPr>
          <w:rFonts w:asciiTheme="majorHAnsi" w:eastAsia="Times New Roman" w:hAnsiTheme="majorHAnsi" w:cstheme="majorHAnsi"/>
          <w:sz w:val="24"/>
          <w:szCs w:val="24"/>
        </w:rPr>
        <w:t xml:space="preserve"> </w:t>
      </w:r>
      <w:r w:rsidR="000F2BF9" w:rsidRPr="001029EC">
        <w:rPr>
          <w:rFonts w:asciiTheme="majorHAnsi" w:eastAsia="Times New Roman" w:hAnsiTheme="majorHAnsi" w:cstheme="majorHAnsi"/>
          <w:color w:val="000000" w:themeColor="text1"/>
          <w:sz w:val="24"/>
          <w:szCs w:val="24"/>
        </w:rPr>
        <w:t>(</w:t>
      </w:r>
      <w:r w:rsidR="000F2BF9" w:rsidRPr="001029EC">
        <w:rPr>
          <w:rFonts w:asciiTheme="majorHAnsi" w:hAnsiTheme="majorHAnsi" w:cstheme="majorHAnsi"/>
          <w:sz w:val="24"/>
          <w:szCs w:val="24"/>
        </w:rPr>
        <w:t>Makarenko, 2004. pp. 129–145)</w:t>
      </w:r>
      <w:r w:rsidRPr="001029EC">
        <w:rPr>
          <w:rFonts w:asciiTheme="majorHAnsi" w:eastAsia="Times New Roman" w:hAnsiTheme="majorHAnsi" w:cstheme="majorHAnsi"/>
          <w:sz w:val="24"/>
          <w:szCs w:val="24"/>
        </w:rPr>
        <w:t>.</w:t>
      </w:r>
      <w:r w:rsidR="000F2BF9" w:rsidRPr="001029EC">
        <w:rPr>
          <w:rFonts w:asciiTheme="majorHAnsi" w:eastAsia="Times New Roman" w:hAnsiTheme="majorHAnsi" w:cstheme="majorHAnsi"/>
          <w:sz w:val="24"/>
          <w:szCs w:val="24"/>
        </w:rPr>
        <w:t xml:space="preserve"> </w:t>
      </w:r>
      <w:r w:rsidRPr="001029EC">
        <w:rPr>
          <w:rFonts w:asciiTheme="majorHAnsi" w:eastAsia="Times New Roman" w:hAnsiTheme="majorHAnsi" w:cstheme="majorHAnsi"/>
          <w:sz w:val="24"/>
          <w:szCs w:val="24"/>
        </w:rPr>
        <w:t>Lastly, Makarenko introduces the fourth relationship type along the crime-terror continuum as the "black hole," representing scenarios where weak or failed states facilitate the convergence of transnational organized crime and terrorism, thereby providing a haven for the sustained operations of convergent groups. This extreme manifestation occurs when groups embroiled in civil conflict transition their motivations from political to purely criminal, or when a state succumbs to control by a hybrid entity—characterized by intertwined political and criminal activities—resulting in its designation as a "black hole" state.</w:t>
      </w:r>
    </w:p>
    <w:p w14:paraId="034E98E0" w14:textId="77777777" w:rsidR="00CA7F28" w:rsidRPr="001029EC" w:rsidRDefault="00CA7F28" w:rsidP="00CA7F28">
      <w:pPr>
        <w:rPr>
          <w:rFonts w:asciiTheme="majorHAnsi" w:eastAsia="Times New Roman" w:hAnsiTheme="majorHAnsi" w:cstheme="majorHAnsi"/>
          <w:sz w:val="24"/>
          <w:szCs w:val="24"/>
        </w:rPr>
      </w:pPr>
    </w:p>
    <w:p w14:paraId="02AACC6D" w14:textId="351EA1C2" w:rsidR="00BE3984" w:rsidRPr="001029EC" w:rsidRDefault="00CA7F28" w:rsidP="007E4127">
      <w:pPr>
        <w:pStyle w:val="NormalWeb"/>
        <w:rPr>
          <w:rFonts w:asciiTheme="majorHAnsi" w:hAnsiTheme="majorHAnsi" w:cstheme="majorHAnsi"/>
        </w:rPr>
      </w:pPr>
      <w:r w:rsidRPr="001029EC">
        <w:rPr>
          <w:rFonts w:asciiTheme="majorHAnsi" w:hAnsiTheme="majorHAnsi" w:cstheme="majorHAnsi"/>
          <w:color w:val="000000" w:themeColor="text1"/>
        </w:rPr>
        <w:t>Shelley et al. present an alternative framework for understanding the intricate dynamics between crime and terrorism, introducing the terror-crime interaction spectrum, which outlines five distinct types of interactions: activity appropriation, nexus, symbiotic relationship, hybrid, and transformation</w:t>
      </w:r>
      <w:r w:rsidR="000F2BF9" w:rsidRPr="001029EC">
        <w:rPr>
          <w:rFonts w:asciiTheme="majorHAnsi" w:hAnsiTheme="majorHAnsi" w:cstheme="majorHAnsi"/>
          <w:color w:val="000000" w:themeColor="text1"/>
        </w:rPr>
        <w:t xml:space="preserve"> (</w:t>
      </w:r>
      <w:r w:rsidR="000F2BF9" w:rsidRPr="001029EC">
        <w:rPr>
          <w:rFonts w:asciiTheme="majorHAnsi" w:hAnsiTheme="majorHAnsi" w:cstheme="majorHAnsi"/>
          <w:color w:val="222222"/>
          <w:shd w:val="clear" w:color="auto" w:fill="FFFFFF"/>
        </w:rPr>
        <w:t>Shelley, 2005. Pp 52-67)</w:t>
      </w:r>
      <w:r w:rsidRPr="001029EC">
        <w:rPr>
          <w:rFonts w:asciiTheme="majorHAnsi" w:hAnsiTheme="majorHAnsi" w:cstheme="majorHAnsi"/>
          <w:color w:val="000000" w:themeColor="text1"/>
        </w:rPr>
        <w:t xml:space="preserve">. Much like Makarenko, Shelley et al. assert the fluidity of movement across this spectrum, wherein groups can transition forwards, backwards, skip stages, or maintain a consistent mode of interaction. Activity appropriation emerges when terrorist and criminal organizations adopt each other's methods without formal collaboration, showcasing the interchangeable nature of tactics across these groups. Nexus interactions entail regular contact between terrorist and criminal entities to </w:t>
      </w:r>
      <w:r w:rsidR="000F2BF9" w:rsidRPr="001029EC">
        <w:rPr>
          <w:rFonts w:asciiTheme="majorHAnsi" w:hAnsiTheme="majorHAnsi" w:cstheme="majorHAnsi"/>
          <w:color w:val="000000" w:themeColor="text1"/>
        </w:rPr>
        <w:t>fulfil</w:t>
      </w:r>
      <w:r w:rsidRPr="001029EC">
        <w:rPr>
          <w:rFonts w:asciiTheme="majorHAnsi" w:hAnsiTheme="majorHAnsi" w:cstheme="majorHAnsi"/>
          <w:color w:val="000000" w:themeColor="text1"/>
        </w:rPr>
        <w:t xml:space="preserve"> specific needs, such as obtaining forged documents or laundering money. However, if a terrorist group fails to find willing criminal partners or perceives no benefit in collaborating externally, it may undergo transformation, fully embracing criminal activities as financial gains overshadow their original ideological objectives. The nexus stage serves as a precursor to the development of a symbiotic relationship, characterized by mutual benefit or dependence between organized crime and terrorism. Notably, once groups enter a hybrid interaction phase, where members of criminal organizations adopt terrorist ideologies, a merger occurs, resulting in an entity engaged in both criminal activities and pursuing political agendas. Shelley et al. caution against assuming that transformation inevitably follows hybridization and stress that activity appropriation does not necessarily lead to future cooperation. In light of this dynamic landscape, their study emphasizes the identification and examination of political, economic, and social factors to pinpoint potential crime-terrorism interactions, aiming to establish "watch points" for detecting and understanding these evolving relationships.</w:t>
      </w:r>
    </w:p>
    <w:p w14:paraId="6D713003" w14:textId="77777777" w:rsidR="00BE3984" w:rsidRPr="001029EC" w:rsidRDefault="00BE3984" w:rsidP="00BE3984">
      <w:pPr>
        <w:rPr>
          <w:rFonts w:asciiTheme="majorHAnsi" w:eastAsia="Times New Roman" w:hAnsiTheme="majorHAnsi" w:cstheme="majorHAnsi"/>
          <w:sz w:val="24"/>
          <w:szCs w:val="24"/>
        </w:rPr>
      </w:pPr>
    </w:p>
    <w:p w14:paraId="2A4BC8B2" w14:textId="77777777" w:rsidR="00BE3984" w:rsidRPr="001029EC" w:rsidRDefault="00BE3984" w:rsidP="00BE3984">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Investigating criminal activities linked to terrorism plays a vital role in informing counter-terrorism policing. The intelligence from these investigations provides police and other agencies with valuable insights into the strategies, tactics, and financing methods employed by terrorist networks. This information helps shape targeted and proactive approaches in counter-terrorism efforts. Understanding the criminality associated with terrorism enables police to identify key players, dismantle sort structures, and disrupt funding sources. Additionally, insights gained from investigations contribute to the development of more effective and adaptive counter-terrorism strategies, enhancing the ability to prevent, respond </w:t>
      </w:r>
      <w:r w:rsidRPr="001029EC">
        <w:rPr>
          <w:rFonts w:asciiTheme="majorHAnsi" w:eastAsia="Times New Roman" w:hAnsiTheme="majorHAnsi" w:cstheme="majorHAnsi"/>
          <w:sz w:val="24"/>
          <w:szCs w:val="24"/>
        </w:rPr>
        <w:lastRenderedPageBreak/>
        <w:t xml:space="preserve">to, and mitigate potential threats. Regular updates and analysis of criminal intelligence ensure that counter-terrorism policing stays informed about evolving threats and can respond swiftly and strategically to safeguards nations and global security. </w:t>
      </w:r>
    </w:p>
    <w:p w14:paraId="385F2AE8" w14:textId="77777777" w:rsidR="00BE3984" w:rsidRPr="001029EC" w:rsidRDefault="00BE3984" w:rsidP="00BE3984">
      <w:pPr>
        <w:rPr>
          <w:rFonts w:asciiTheme="majorHAnsi" w:eastAsia="Times New Roman" w:hAnsiTheme="majorHAnsi" w:cstheme="majorHAnsi"/>
          <w:sz w:val="24"/>
          <w:szCs w:val="24"/>
        </w:rPr>
      </w:pPr>
    </w:p>
    <w:p w14:paraId="35FDE2BE" w14:textId="77777777" w:rsidR="00BE3984" w:rsidRPr="001029EC" w:rsidRDefault="00BE3984" w:rsidP="00BE3984">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Investigating terrorism and its links to organised crime poses several challenges and ethical considerations. One challenge is the complexity of these networks, which often span multiple jurisdictions and involve diverse criminal activities. Coordinating international efforts and information-sharing can be challenging due to legal, cultural, and political differences among nations. Moreover, the use of advanced technologies by both terrorists and criminals adds complexity to investigations. Ethical considerations arise when balancing the need for effective counter-terrorism measures with individual rights and privacy. Ensuring that investigations adhere to legal framework, respect human rights, and avoid unwarranted surveillance is crucial. Additionally, there’s a risk of unintended consequences, such as targeting specific communities or individuals based on stereotypes rather than evidence. The potential for intelligence leaks and compromise is another challenge, as sensitive information may fall into the wrong hands, jeopardising ongoing investigations and the safety of individuals involved. Striking the right balance between security imperatives and ethical principles is essential to maintain public trust and uphold democratic values in the fight against terrorism and organised crime. Finally, a key challenge that I had not considered until conducting research for this essay, is the quantity and quality of data available when conducting an evidence-based approach to extremism and terrorism as there is a clear lack of access to sufficiently detailed data, nor a sufficient number of cases to allow a thorough analysis due to the small population of cases to study, especially when examining particular types of terrorism, such as Lone Wolf type attacks (Knight, 2019). </w:t>
      </w:r>
    </w:p>
    <w:p w14:paraId="4CED899B" w14:textId="77777777" w:rsidR="00A86990" w:rsidRPr="001029EC" w:rsidRDefault="00A86990">
      <w:pPr>
        <w:rPr>
          <w:rFonts w:asciiTheme="majorHAnsi" w:hAnsiTheme="majorHAnsi" w:cstheme="majorHAnsi"/>
          <w:sz w:val="24"/>
          <w:szCs w:val="24"/>
        </w:rPr>
      </w:pPr>
    </w:p>
    <w:p w14:paraId="4D8EFB31" w14:textId="3BBDB50E" w:rsidR="00A86990" w:rsidRPr="001029EC" w:rsidRDefault="00CA7F28">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FARC, the Revolutionary Armed Forces of Colombia (Fuerzas Armadas Revolucionarias de Colombia), has long sustained its operations through various illicit means, contributing to the protracted conflict in Colombia. Central to its financial strategy are activities such as drug production and trafficking, kidnapping for ransom, and the exploitation of minerals, particularly gold mining. These revenue streams not only fuel the organization's Marxist and anti-imperialist agenda but also sustain its military capabilities, enabling FARC to maintain its status as a significant actor in Colombia's turbulent landscape for over five decades </w:t>
      </w:r>
      <w:r w:rsidR="00A86990" w:rsidRPr="001029EC">
        <w:rPr>
          <w:rFonts w:asciiTheme="majorHAnsi" w:eastAsia="Times New Roman" w:hAnsiTheme="majorHAnsi" w:cstheme="majorHAnsi"/>
          <w:sz w:val="24"/>
          <w:szCs w:val="24"/>
        </w:rPr>
        <w:t>Case Study (Cook, 2011).</w:t>
      </w:r>
    </w:p>
    <w:p w14:paraId="1CB1113E" w14:textId="77777777" w:rsidR="00A27B21" w:rsidRPr="001029EC" w:rsidRDefault="00A27B21">
      <w:pPr>
        <w:rPr>
          <w:rFonts w:asciiTheme="majorHAnsi" w:hAnsiTheme="majorHAnsi" w:cstheme="majorHAnsi"/>
          <w:sz w:val="24"/>
          <w:szCs w:val="24"/>
        </w:rPr>
      </w:pPr>
    </w:p>
    <w:p w14:paraId="367C843C" w14:textId="77777777" w:rsidR="00A27B21" w:rsidRPr="001029EC" w:rsidRDefault="00A27B21" w:rsidP="00A27B21">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In conclusion, the involvement of terrorist organisations in various forms of a multifaceted phenomenon rooted in the adaptability and resilience of these groups. The nexus between terrorism and crimes such as money laundering, cybercrime, illegal trade, fraud, protection rackets, and heists unveiling the intricate ways in which extremists diversify their funding sources, enhance operational capabilities, and exert influence. This engagement in criminal activities not only finances their ideological pursuits but also fosters a symbiotic relationship between terrorism and organised crime, creating a complex threat landscape. The intelligence gained from investigating these criminal enterprises becomes a critical asset in the arsenal of counterterrorism, however, this endeavour is not without challenges and ethical considerations. Coordinating international efforts, protecting individual rights and privacy, and avoiding profiling based on stereotypes are challenges that demand careful navigation. The risk of intelligence leaks and unintended consequences underscores the need of delicate balance between security imperatives and ethical principles. In essence, </w:t>
      </w:r>
      <w:r w:rsidRPr="001029EC">
        <w:rPr>
          <w:rFonts w:asciiTheme="majorHAnsi" w:eastAsia="Times New Roman" w:hAnsiTheme="majorHAnsi" w:cstheme="majorHAnsi"/>
          <w:sz w:val="24"/>
          <w:szCs w:val="24"/>
        </w:rPr>
        <w:lastRenderedPageBreak/>
        <w:t>understanding why terrorist organisations engage in various criminal activities and leveraging intelligence gained from investigating such criminality are imperative for shaping effective counter-terrorism policies. It is a dynamic process that requires continuous adaption to evolving threats, collaboration on a global scale, and a commitment to upholding ethical standards in the pursuit of safeguarding societies from the complex and ever-changing landscape of terrorism.</w:t>
      </w:r>
    </w:p>
    <w:p w14:paraId="47C6B085" w14:textId="77777777" w:rsidR="006F3C7A" w:rsidRPr="001029EC" w:rsidRDefault="006F3C7A">
      <w:pPr>
        <w:rPr>
          <w:rFonts w:asciiTheme="majorHAnsi" w:hAnsiTheme="majorHAnsi" w:cstheme="majorHAnsi"/>
          <w:sz w:val="24"/>
          <w:szCs w:val="24"/>
        </w:rPr>
      </w:pPr>
    </w:p>
    <w:p w14:paraId="57793339" w14:textId="1968D5E2" w:rsidR="006F3C7A" w:rsidRPr="001029EC" w:rsidRDefault="006F3C7A" w:rsidP="006F3C7A">
      <w:pPr>
        <w:rPr>
          <w:rFonts w:asciiTheme="majorHAnsi" w:hAnsiTheme="majorHAnsi" w:cstheme="majorHAnsi"/>
          <w:sz w:val="24"/>
          <w:szCs w:val="24"/>
        </w:rPr>
      </w:pPr>
      <w:r w:rsidRPr="001029EC">
        <w:rPr>
          <w:rFonts w:asciiTheme="majorHAnsi" w:hAnsiTheme="majorHAnsi" w:cstheme="majorHAnsi"/>
          <w:sz w:val="24"/>
          <w:szCs w:val="24"/>
        </w:rPr>
        <w:t xml:space="preserve">Word Count: </w:t>
      </w:r>
      <w:r w:rsidR="001029EC">
        <w:rPr>
          <w:rFonts w:asciiTheme="majorHAnsi" w:hAnsiTheme="majorHAnsi" w:cstheme="majorHAnsi"/>
          <w:sz w:val="24"/>
          <w:szCs w:val="24"/>
        </w:rPr>
        <w:t>2,085</w:t>
      </w:r>
      <w:r w:rsidRPr="001029EC">
        <w:rPr>
          <w:rFonts w:asciiTheme="majorHAnsi" w:hAnsiTheme="majorHAnsi" w:cstheme="majorHAnsi"/>
          <w:sz w:val="24"/>
          <w:szCs w:val="24"/>
        </w:rPr>
        <w:t>/2000</w:t>
      </w:r>
    </w:p>
    <w:p w14:paraId="068DF5EA" w14:textId="77777777" w:rsidR="00FE54E0" w:rsidRPr="001029EC" w:rsidRDefault="00FE54E0" w:rsidP="006F3C7A">
      <w:pPr>
        <w:rPr>
          <w:rFonts w:asciiTheme="majorHAnsi" w:hAnsiTheme="majorHAnsi" w:cstheme="majorHAnsi"/>
          <w:sz w:val="24"/>
          <w:szCs w:val="24"/>
        </w:rPr>
      </w:pPr>
    </w:p>
    <w:p w14:paraId="2B52488D" w14:textId="77777777" w:rsidR="001F783C" w:rsidRPr="001029EC" w:rsidRDefault="001F783C" w:rsidP="006F3C7A">
      <w:pPr>
        <w:rPr>
          <w:rFonts w:asciiTheme="majorHAnsi" w:hAnsiTheme="majorHAnsi" w:cstheme="majorHAnsi"/>
          <w:sz w:val="24"/>
          <w:szCs w:val="24"/>
        </w:rPr>
      </w:pPr>
    </w:p>
    <w:p w14:paraId="7C2411B7" w14:textId="77777777" w:rsidR="001F783C" w:rsidRPr="001029EC" w:rsidRDefault="001F783C" w:rsidP="006F3C7A">
      <w:pPr>
        <w:rPr>
          <w:rFonts w:asciiTheme="majorHAnsi" w:hAnsiTheme="majorHAnsi" w:cstheme="majorHAnsi"/>
          <w:sz w:val="24"/>
          <w:szCs w:val="24"/>
        </w:rPr>
      </w:pPr>
    </w:p>
    <w:p w14:paraId="47146D1A" w14:textId="77777777" w:rsidR="00FE54E0" w:rsidRPr="001029EC" w:rsidRDefault="00FE54E0" w:rsidP="00FE54E0">
      <w:pPr>
        <w:rPr>
          <w:rFonts w:asciiTheme="majorHAnsi" w:hAnsiTheme="majorHAnsi" w:cstheme="majorHAnsi"/>
          <w:b/>
          <w:bCs/>
          <w:sz w:val="24"/>
          <w:szCs w:val="24"/>
        </w:rPr>
      </w:pPr>
      <w:r w:rsidRPr="001029EC">
        <w:rPr>
          <w:rFonts w:asciiTheme="majorHAnsi" w:hAnsiTheme="majorHAnsi" w:cstheme="majorHAnsi"/>
          <w:b/>
          <w:bCs/>
          <w:sz w:val="24"/>
          <w:szCs w:val="24"/>
        </w:rPr>
        <w:t xml:space="preserve">2. What are the key issues and challenges of operational policing in the UK, and what effect do they have on the investigation of volume and priority crime? Your answer must be based on academic research rather than personal experience. </w:t>
      </w:r>
    </w:p>
    <w:p w14:paraId="4EA91195" w14:textId="77777777" w:rsidR="00FE54E0" w:rsidRPr="001029EC" w:rsidRDefault="00FE54E0" w:rsidP="006F3C7A">
      <w:pPr>
        <w:rPr>
          <w:rFonts w:asciiTheme="majorHAnsi" w:hAnsiTheme="majorHAnsi" w:cstheme="majorHAnsi"/>
          <w:sz w:val="24"/>
          <w:szCs w:val="24"/>
        </w:rPr>
      </w:pPr>
    </w:p>
    <w:p w14:paraId="7E89ECA5" w14:textId="72ED1380" w:rsidR="00A86990" w:rsidRPr="001029EC" w:rsidRDefault="00A86990" w:rsidP="00A86990">
      <w:pPr>
        <w:rPr>
          <w:rFonts w:asciiTheme="majorHAnsi" w:hAnsiTheme="majorHAnsi" w:cstheme="majorHAnsi"/>
          <w:sz w:val="24"/>
          <w:szCs w:val="24"/>
        </w:rPr>
      </w:pPr>
      <w:r w:rsidRPr="001029EC">
        <w:rPr>
          <w:rFonts w:asciiTheme="majorHAnsi" w:eastAsia="Times New Roman" w:hAnsiTheme="majorHAnsi" w:cstheme="majorHAnsi"/>
          <w:sz w:val="24"/>
          <w:szCs w:val="24"/>
        </w:rPr>
        <w:t xml:space="preserve">The landscape of operational policing in the UK is dynamic and multifaceted, marked by continuous interplay in law enforcement agencies striving to maintain public safety and uphold the rule of law. Addressing key issues and challenges, such as recourse restraints, technological challenges, and community relations, is paramount, as it directly influences the effectiveness and trustworthiness of policing efforts. These issues have been extensively reported on by Parliament and independent organisations, however, they mostly focus on one key issue at a time whereas I believe </w:t>
      </w:r>
      <w:r w:rsidR="00767FA8" w:rsidRPr="001029EC">
        <w:rPr>
          <w:rFonts w:asciiTheme="majorHAnsi" w:eastAsia="Times New Roman" w:hAnsiTheme="majorHAnsi" w:cstheme="majorHAnsi"/>
          <w:sz w:val="24"/>
          <w:szCs w:val="24"/>
        </w:rPr>
        <w:t>these issues</w:t>
      </w:r>
      <w:r w:rsidRPr="001029EC">
        <w:rPr>
          <w:rFonts w:asciiTheme="majorHAnsi" w:eastAsia="Times New Roman" w:hAnsiTheme="majorHAnsi" w:cstheme="majorHAnsi"/>
          <w:sz w:val="24"/>
          <w:szCs w:val="24"/>
        </w:rPr>
        <w:t xml:space="preserve"> need to be addressed as a whole, in order to lessen the impact on the investigations of volume and priority crime. This essay delves into the critical examination of these challenges</w:t>
      </w:r>
      <w:r w:rsidR="00CA412C">
        <w:rPr>
          <w:rFonts w:asciiTheme="majorHAnsi" w:eastAsia="Times New Roman" w:hAnsiTheme="majorHAnsi" w:cstheme="majorHAnsi"/>
          <w:sz w:val="24"/>
          <w:szCs w:val="24"/>
        </w:rPr>
        <w:t>, as outlined by parliament and other organisations,</w:t>
      </w:r>
      <w:r w:rsidRPr="001029EC">
        <w:rPr>
          <w:rFonts w:asciiTheme="majorHAnsi" w:eastAsia="Times New Roman" w:hAnsiTheme="majorHAnsi" w:cstheme="majorHAnsi"/>
          <w:sz w:val="24"/>
          <w:szCs w:val="24"/>
        </w:rPr>
        <w:t xml:space="preserve"> </w:t>
      </w:r>
      <w:r w:rsidRPr="001029EC">
        <w:rPr>
          <w:rFonts w:asciiTheme="majorHAnsi" w:hAnsiTheme="majorHAnsi" w:cstheme="majorHAnsi"/>
          <w:sz w:val="24"/>
          <w:szCs w:val="24"/>
        </w:rPr>
        <w:t>and what effect they</w:t>
      </w:r>
      <w:r w:rsidR="004554F3">
        <w:rPr>
          <w:rFonts w:asciiTheme="majorHAnsi" w:hAnsiTheme="majorHAnsi" w:cstheme="majorHAnsi"/>
          <w:sz w:val="24"/>
          <w:szCs w:val="24"/>
        </w:rPr>
        <w:t xml:space="preserve"> collectively</w:t>
      </w:r>
      <w:r w:rsidRPr="001029EC">
        <w:rPr>
          <w:rFonts w:asciiTheme="majorHAnsi" w:hAnsiTheme="majorHAnsi" w:cstheme="majorHAnsi"/>
          <w:sz w:val="24"/>
          <w:szCs w:val="24"/>
        </w:rPr>
        <w:t xml:space="preserve"> have on the investigation of volume and priority crime, as well as shedding light on their implications for the broader societal framework and exploring potential avenues for improvement in operational policing.</w:t>
      </w:r>
    </w:p>
    <w:p w14:paraId="6A00989C" w14:textId="0C487AF1" w:rsidR="00A86990" w:rsidRPr="001029EC" w:rsidRDefault="00A86990" w:rsidP="006F3C7A">
      <w:pPr>
        <w:rPr>
          <w:rFonts w:asciiTheme="majorHAnsi" w:hAnsiTheme="majorHAnsi" w:cstheme="majorHAnsi"/>
          <w:sz w:val="24"/>
          <w:szCs w:val="24"/>
        </w:rPr>
      </w:pPr>
    </w:p>
    <w:p w14:paraId="05884FA1" w14:textId="3E9FEF5A" w:rsidR="00A86990" w:rsidRPr="001029EC" w:rsidRDefault="00A86990" w:rsidP="00A8699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Firstly, I will look at the key issues effecting operational policing which can be broken down into three main categories: resource constraints, technological challenges, and community relations. Resource restraints pose a significant hurdle in the realm of operational policing in the UK, encompassing both budget limitations and staff shortages. In fact, </w:t>
      </w:r>
      <w:r w:rsidR="00E4024C" w:rsidRPr="001029EC">
        <w:rPr>
          <w:rFonts w:asciiTheme="majorHAnsi" w:eastAsia="Times New Roman" w:hAnsiTheme="majorHAnsi" w:cstheme="majorHAnsi"/>
          <w:sz w:val="24"/>
          <w:szCs w:val="24"/>
        </w:rPr>
        <w:t>according to governmental data, the rate of voluntary resignations within the police force in England and Wales surged by 72% between 2021 and 2022, rising from 1,996 to 3,433. This increase means that voluntary resignations now constitute 42% of all police departures, marking a notable increase from the 33% reported in the preceding year. Comparatively, a decade ago, in 2012, voluntary resignations stood at 1,158, representing a mere 18% of all departures. Over the span of ten years, voluntary resignations have seen a staggering rise of 196% (</w:t>
      </w:r>
      <w:r w:rsidR="00A95F17" w:rsidRPr="001029EC">
        <w:rPr>
          <w:rFonts w:asciiTheme="majorHAnsi" w:hAnsiTheme="majorHAnsi" w:cstheme="majorHAnsi"/>
          <w:sz w:val="24"/>
          <w:szCs w:val="24"/>
        </w:rPr>
        <w:t>Charman, 2023)</w:t>
      </w:r>
      <w:r w:rsidR="00E4024C" w:rsidRPr="001029EC">
        <w:rPr>
          <w:rFonts w:asciiTheme="majorHAnsi" w:hAnsiTheme="majorHAnsi" w:cstheme="majorHAnsi"/>
          <w:sz w:val="24"/>
          <w:szCs w:val="24"/>
        </w:rPr>
        <w:t>.</w:t>
      </w:r>
      <w:r w:rsidR="00E4024C" w:rsidRPr="001029EC">
        <w:rPr>
          <w:rFonts w:asciiTheme="majorHAnsi" w:eastAsia="Times New Roman" w:hAnsiTheme="majorHAnsi" w:cstheme="majorHAnsi"/>
          <w:sz w:val="24"/>
          <w:szCs w:val="24"/>
        </w:rPr>
        <w:t xml:space="preserve"> </w:t>
      </w:r>
      <w:r w:rsidRPr="001029EC">
        <w:rPr>
          <w:rFonts w:asciiTheme="majorHAnsi" w:eastAsia="Times New Roman" w:hAnsiTheme="majorHAnsi" w:cstheme="majorHAnsi"/>
          <w:sz w:val="24"/>
          <w:szCs w:val="24"/>
        </w:rPr>
        <w:t xml:space="preserve">However, in recent years there has been a significant increase in funding to policing, most notably a 16.2 per cent increase between 2009/10 and 2016/17, but despite this it still remains below pre 2009/10 levels, in real terms spending on police services are around £17.3bn in 2022/2023 (Davies, 2023). Fiscal restraints often compel police forces to navigate a delicate balance between maintain optimal functionality and adhering to financial boundaries. Tight budgets may impact the acquisition of essential technology, training programs, and necessary equipment, limiting the capacity to adapt to evolving crime trends. Moreover, staff shortages exacerbate the strain on existing resources, affecting response times and overall effectiveness. The interplay of budget constraints and staffing shortages </w:t>
      </w:r>
      <w:r w:rsidRPr="001029EC">
        <w:rPr>
          <w:rFonts w:asciiTheme="majorHAnsi" w:eastAsia="Times New Roman" w:hAnsiTheme="majorHAnsi" w:cstheme="majorHAnsi"/>
          <w:sz w:val="24"/>
          <w:szCs w:val="24"/>
        </w:rPr>
        <w:lastRenderedPageBreak/>
        <w:t xml:space="preserve">underscores the urgency of addressing these issues to ensure that operational policing remains robust and capable of meeting the complex challenges of contemporary policing. The technological landscape also presents a formidable challenge to operational policing in the UK, a police forces grapple with the constant evolution of crime methods and complexities of cybercrime. Criminal activities have become increasingly sophisticated, leveraging advanced technologies to outpace traditional investigative approaches. Adapting to these dynamic crime trends necessitates continuous investment in cutting edge tools, training, and expertise. Cybercrime, in particular, poses intricate challenges, requiring police forces to contend with the intricacies of digital forensics, encryption, and the global nature of online criminal activities. The technological challenges underscore the imperative for police forces to enhance their technological capabilities, fostering innovation and collaboration to effectively combat modern threats and safeguard the public interest. Statistics published in 2022 by the National Cyber Security Index showed that the United Kingdom had the highest number of cyber crime victims per million internet users in the world, at around 4,783, which was up 40% when compared to the 2022 figures (AGG IT, 2024), this drastic increase in cybercrime is only set to increase, creating a greater and greater demand on policing to commit resources to investigate these types of crimes. Finally, community relations in particular pose intricate challenges in operational policing, with the building and maintenance of trust standing at the forefront. Establishing a positive rapport with diverse communities requires nuanced approaches, as historical factors, cultural nuances, and socioeconomic disparities influence perceptions of policing. Trust building becomes particularly crucial in addressing crime, as cooperation from the community is essential for effective policing, particularly in crime and anti-social behaviour prevention, reducing crime and fear of crime, bringing offenders to justice and delivering an effective service (College of Policing, 2024). Additionally, considerations of diversity and inclusivity play a pivotal role, demanding that police forces reflect the communities they serve. Challenges arise in navigating the delicate balance between enforcing the law and ensuring community members feel both protected and respected. Striving for open communication, cultural sensitivity, and fostering relationships is paramount to overcoming these challenges and cultivating a collaborative approach to operational policing that aligns with the needs and values of diverse communities. </w:t>
      </w:r>
    </w:p>
    <w:p w14:paraId="5963762E" w14:textId="77777777" w:rsidR="00A86990" w:rsidRPr="001029EC" w:rsidRDefault="00A86990" w:rsidP="00A86990">
      <w:pPr>
        <w:rPr>
          <w:rFonts w:asciiTheme="majorHAnsi" w:eastAsia="Times New Roman" w:hAnsiTheme="majorHAnsi" w:cstheme="majorHAnsi"/>
          <w:sz w:val="24"/>
          <w:szCs w:val="24"/>
        </w:rPr>
      </w:pPr>
    </w:p>
    <w:p w14:paraId="57B9A05F" w14:textId="77777777" w:rsidR="00A86990" w:rsidRPr="001029EC" w:rsidRDefault="00A86990" w:rsidP="00A8699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Next comes the challenges in investigating volume crime, which limited resources significantly impact, creating hurdles in handling high caseloads and imposing time constraints on thorough investigations. Police forces in the UK, often constrained by budget limitations and staffing shortages, face the challenges of prioritising cases amid an influx of volume crimes. The sheer volume of cases can strain investigative resources, potentially leading to delays in response times and compromises in the depth of examinations. Time constraints become a critical factor, as investigators are pressed to balance efficiency with the need for meticulous inquiry. The challenge lies not only in addressing the immediate demands of caseloads but also in ensuring that each investigation receives the attention required for comprehensive and effective resolution, despite the limitations imposed by available resources. For context, figures published by the Crime Survey for England and Wales covering the fiscal year 2022 to 2023 show that police recorded crime has increased by 11% when compared to the year ending March 2020, which is 6.7million recorded crimes in England and Wales alone (Stripe, 2023). Another pivotal aspect that presents a challenge in the investigation of volume crime is data management. The exponential growth of digital </w:t>
      </w:r>
      <w:r w:rsidRPr="001029EC">
        <w:rPr>
          <w:rFonts w:asciiTheme="majorHAnsi" w:eastAsia="Times New Roman" w:hAnsiTheme="majorHAnsi" w:cstheme="majorHAnsi"/>
          <w:sz w:val="24"/>
          <w:szCs w:val="24"/>
        </w:rPr>
        <w:lastRenderedPageBreak/>
        <w:t>information poses significant hurdles in processing and analysing vast datasets efficiently. Police forces grapple with the need to harness technology for data integration, as the sheer volume of information can overwhelm traditional investigative methods. Implementing advanced analytics and artificial intelligence tools becomes imperative for identifying patterns, connections, and trends within the data. However, integrating technology presents its own challenges, including the need for specialised training, ensuring data privacy and security, and adapting to rapidly evolving digital landscapes. Effectively managing data is not only essential for enhancing investigative capabilities but also crucial for staying ahead of the complexities inherent in modern volume crime.</w:t>
      </w:r>
    </w:p>
    <w:p w14:paraId="074A384D" w14:textId="77777777" w:rsidR="00A86990" w:rsidRPr="001029EC" w:rsidRDefault="00A86990" w:rsidP="00A86990">
      <w:pPr>
        <w:rPr>
          <w:rFonts w:asciiTheme="majorHAnsi" w:eastAsia="Times New Roman" w:hAnsiTheme="majorHAnsi" w:cstheme="majorHAnsi"/>
          <w:sz w:val="24"/>
          <w:szCs w:val="24"/>
        </w:rPr>
      </w:pPr>
    </w:p>
    <w:p w14:paraId="455EA901" w14:textId="6AAA29EC" w:rsidR="00A86990" w:rsidRPr="001029EC" w:rsidRDefault="00A86990" w:rsidP="00A8699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Investigating priority crime demands a delicate balance between immediate response requirements and thorough investigations. The urgency of addressing high priority cases, such as violent crimes or those posing significant threats to public safety, necessitates swift responses from the police. However, the challenge lies in maintaining the quality of investigations amid the pressure for rapid action. Quick responses are vital for preserving evidence, securing crime scenes, and apprehending suspects, but the risk of compromising thorough examinations looms large. The impact on solving complex priority cases becomes evident as investigators must navigate the tension between expeditious response and the meticulous processes required for unravelling intricate criminal scenarios. Striking the right balance is imperative to ensure both a swift initial response and the depth of investigation needed to bring resolution to complex priority crime cases. Additionally, interdepartmental, interagency and interforce cooperation stands as a critical facet in addressing challenges related to investigating priority crime. Coordination between different departments, police forces and non-law enforcement agencies is essential for a cohesive and effective response to complex cases. However, challenges emerge in stablishing seamless collaboration, including differences in protocols, communications gaps, and jurisdictional complexities. Information sharing, a cornerstone of successful interagency cooperation, encounters barriers due to concerns over date security, legal constraints, and varying information systems. Overcoming these challenges necessitates the establishment of standardised communication channels, the development of shared databases, and the fostering of a culture that prioritises transparent collaboration. Strengthening interdepartmental, interforce and interagency cooperation is paramount to maximising resources, expertise and efforts in tackling priority crime and ensuring a comprehensive and united front against criminal activities. The best example of how this can work effectively, though not necessarily crime related, comes from looking at the ‘Joint Emergency Service Interoperability Programme’ (JESIP), which sets out a standard approach to multiagency working when responding to and recovering from major incidents/crise </w:t>
      </w:r>
      <w:r w:rsidR="00994FF4" w:rsidRPr="001029EC">
        <w:rPr>
          <w:rFonts w:asciiTheme="majorHAnsi" w:eastAsia="Times New Roman" w:hAnsiTheme="majorHAnsi" w:cstheme="majorHAnsi"/>
          <w:sz w:val="24"/>
          <w:szCs w:val="24"/>
        </w:rPr>
        <w:t>(</w:t>
      </w:r>
      <w:r w:rsidR="00994FF4" w:rsidRPr="001029EC">
        <w:rPr>
          <w:rFonts w:asciiTheme="majorHAnsi" w:hAnsiTheme="majorHAnsi" w:cstheme="majorHAnsi"/>
          <w:sz w:val="24"/>
          <w:szCs w:val="24"/>
        </w:rPr>
        <w:t>Power, 2023)</w:t>
      </w:r>
    </w:p>
    <w:p w14:paraId="5B866CB2" w14:textId="77777777" w:rsidR="00A86990" w:rsidRPr="001029EC" w:rsidRDefault="00A86990" w:rsidP="00A86990">
      <w:pPr>
        <w:rPr>
          <w:rFonts w:asciiTheme="majorHAnsi" w:eastAsia="Times New Roman" w:hAnsiTheme="majorHAnsi" w:cstheme="majorHAnsi"/>
          <w:sz w:val="24"/>
          <w:szCs w:val="24"/>
        </w:rPr>
      </w:pPr>
    </w:p>
    <w:p w14:paraId="4F04C0A1" w14:textId="77777777" w:rsidR="00A86990" w:rsidRPr="001029EC" w:rsidRDefault="00A86990" w:rsidP="00A8699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 xml:space="preserve">The key issues in operational policing, namely resource constraints and technological limitations, exert a profound impact on investigation outcomes, notably reflecting clearance rates. Resource constraints, encompassing budget limitations and staff shortages, create a direct link to unsolved cases, as police forces grapple with the challenges of managing high caseloads and time constraints. Insufficient resources hinder the thoroughness of investigations, contributing to a backlog of unresolves cases. Simultaneously, technical limitations, stemming from inadequate tools and training, impede the efficiency of investigations, particularly in adapting to evolving rime methods such as cybercrime. The intricate interplay of these challenges manifests in lower clearance rates, highlighting the </w:t>
      </w:r>
      <w:r w:rsidRPr="001029EC">
        <w:rPr>
          <w:rFonts w:asciiTheme="majorHAnsi" w:eastAsia="Times New Roman" w:hAnsiTheme="majorHAnsi" w:cstheme="majorHAnsi"/>
          <w:sz w:val="24"/>
          <w:szCs w:val="24"/>
        </w:rPr>
        <w:lastRenderedPageBreak/>
        <w:t xml:space="preserve">need for strategic investments in resources and technology to enhance the investigative capacity of police forces and improve overall outcomes in solving and preventing criminal activities. Finally, investigation outcomes wield a substantial influence on the public perception of the police, and negative repercussions can ensue, particularly in the realm of public trust. The effectiveness of investigations is closely intertwined with community relationships, and when investigations fall short, public trust can erode. A 2023 report by More in Common, titled ‘Where are the Police?’ found that, from a sample of 2,000 British adults, 68% felt that the police have “given up on trying to solve crimes like shoplifting and burglaries altogether” (Kimaram, 2023, p.5-7). Unresolved cases, stemming from resource constraints or technological limitations, may contribute to a sense of insecurity among the public. The perception that the police struggle to address and solve crimes can lead to a diminished faith in the system’s ability to uphold safety and justice. The delicate relationship between investigation outcomes and public trust underscores the importance of transparent communication, community engagement, and proactive measures to address challenges. Rebuilding and maintaining public trust hinges on demonstrating a commitment to resolving cases effectively, fostering open dialogue and actively working towards improvements in operational policing to align with the expectations and needs of the communities served. </w:t>
      </w:r>
    </w:p>
    <w:p w14:paraId="045EC3C6" w14:textId="77777777" w:rsidR="00A86990" w:rsidRPr="001029EC" w:rsidRDefault="00A86990" w:rsidP="00A86990">
      <w:pPr>
        <w:rPr>
          <w:rFonts w:asciiTheme="majorHAnsi" w:eastAsia="Times New Roman" w:hAnsiTheme="majorHAnsi" w:cstheme="majorHAnsi"/>
          <w:sz w:val="24"/>
          <w:szCs w:val="24"/>
        </w:rPr>
      </w:pPr>
    </w:p>
    <w:p w14:paraId="428929E4" w14:textId="77777777" w:rsidR="00A86990" w:rsidRPr="001029EC" w:rsidRDefault="00A86990" w:rsidP="00A8699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One of the key issues that appears to span operational policing, as well as the investigation of priority and volume crime, is budget. The Metropolitan Police’s encounter with substantial budget cuts around 2010 and the subsequent years serves as a poignant case study illustrating the profound impact of financial constraints on police resources in the UK. Faced with diminishes funding, the force grappled with a reduction in staffing levels, the closure of police stations, and constraints on resources allocated for investigations. This scenario not only underscored the strain on operational capabilities but also raised critical questions about the ability to maintain effective policing in the face of austerity measures. The consequences were evident in prolonged response times, diminished community engagement, and the overall challenge of upholding crime prevention efforts. The Metropolitan Police’s case serves as a stark reminder of the complex interplay between financial considerations and the operational capacity of policing, shedding light on the intricate web of challenges posed by budget constraints in the realm of policing (</w:t>
      </w:r>
      <w:r w:rsidRPr="001029EC">
        <w:rPr>
          <w:rFonts w:asciiTheme="majorHAnsi" w:hAnsiTheme="majorHAnsi" w:cstheme="majorHAnsi"/>
          <w:sz w:val="24"/>
          <w:szCs w:val="24"/>
        </w:rPr>
        <w:t>Facchetti, 2023)</w:t>
      </w:r>
    </w:p>
    <w:p w14:paraId="61A80302" w14:textId="77777777" w:rsidR="00A86990" w:rsidRPr="001029EC" w:rsidRDefault="00A86990" w:rsidP="006F3C7A">
      <w:pPr>
        <w:rPr>
          <w:rFonts w:asciiTheme="majorHAnsi" w:hAnsiTheme="majorHAnsi" w:cstheme="majorHAnsi"/>
          <w:sz w:val="24"/>
          <w:szCs w:val="24"/>
        </w:rPr>
      </w:pPr>
    </w:p>
    <w:p w14:paraId="4983F5D9" w14:textId="77777777" w:rsidR="00FE54E0" w:rsidRPr="001029EC" w:rsidRDefault="00FE54E0" w:rsidP="006F3C7A">
      <w:pPr>
        <w:rPr>
          <w:rFonts w:asciiTheme="majorHAnsi" w:hAnsiTheme="majorHAnsi" w:cstheme="majorHAnsi"/>
          <w:sz w:val="24"/>
          <w:szCs w:val="24"/>
        </w:rPr>
      </w:pPr>
    </w:p>
    <w:p w14:paraId="008F4F45" w14:textId="5AA19417" w:rsidR="00F362E0" w:rsidRPr="001029EC" w:rsidRDefault="00F362E0" w:rsidP="00F362E0">
      <w:pPr>
        <w:rPr>
          <w:rFonts w:asciiTheme="majorHAnsi" w:eastAsia="Times New Roman" w:hAnsiTheme="majorHAnsi" w:cstheme="majorHAnsi"/>
          <w:sz w:val="24"/>
          <w:szCs w:val="24"/>
        </w:rPr>
      </w:pPr>
      <w:r w:rsidRPr="001029EC">
        <w:rPr>
          <w:rFonts w:asciiTheme="majorHAnsi" w:eastAsia="Times New Roman" w:hAnsiTheme="majorHAnsi" w:cstheme="majorHAnsi"/>
          <w:sz w:val="24"/>
          <w:szCs w:val="24"/>
        </w:rPr>
        <w:t>In conclusion, the challenges and key issue facing operational policing in the UK form a complex tapestry that directly impacts the effectiveness of crime investigations</w:t>
      </w:r>
      <w:r w:rsidR="00857705">
        <w:rPr>
          <w:rFonts w:asciiTheme="majorHAnsi" w:eastAsia="Times New Roman" w:hAnsiTheme="majorHAnsi" w:cstheme="majorHAnsi"/>
          <w:sz w:val="24"/>
          <w:szCs w:val="24"/>
        </w:rPr>
        <w:t xml:space="preserve"> and has to be tackled individually and as a whole in order to improve the performance of the police. Including r</w:t>
      </w:r>
      <w:r w:rsidRPr="001029EC">
        <w:rPr>
          <w:rFonts w:asciiTheme="majorHAnsi" w:eastAsia="Times New Roman" w:hAnsiTheme="majorHAnsi" w:cstheme="majorHAnsi"/>
          <w:sz w:val="24"/>
          <w:szCs w:val="24"/>
        </w:rPr>
        <w:t>esource constraints, ranging from budget limitations to staff shortages, create obstacles in handling high caseloads and conducing thorough examinations</w:t>
      </w:r>
      <w:r w:rsidR="00857705">
        <w:rPr>
          <w:rFonts w:asciiTheme="majorHAnsi" w:eastAsia="Times New Roman" w:hAnsiTheme="majorHAnsi" w:cstheme="majorHAnsi"/>
          <w:sz w:val="24"/>
          <w:szCs w:val="24"/>
        </w:rPr>
        <w:t>, as well as t</w:t>
      </w:r>
      <w:r w:rsidRPr="001029EC">
        <w:rPr>
          <w:rFonts w:asciiTheme="majorHAnsi" w:eastAsia="Times New Roman" w:hAnsiTheme="majorHAnsi" w:cstheme="majorHAnsi"/>
          <w:sz w:val="24"/>
          <w:szCs w:val="24"/>
        </w:rPr>
        <w:t>he technological landscape</w:t>
      </w:r>
      <w:r w:rsidR="00857705">
        <w:rPr>
          <w:rFonts w:asciiTheme="majorHAnsi" w:eastAsia="Times New Roman" w:hAnsiTheme="majorHAnsi" w:cstheme="majorHAnsi"/>
          <w:sz w:val="24"/>
          <w:szCs w:val="24"/>
        </w:rPr>
        <w:t xml:space="preserve"> which</w:t>
      </w:r>
      <w:r w:rsidRPr="001029EC">
        <w:rPr>
          <w:rFonts w:asciiTheme="majorHAnsi" w:eastAsia="Times New Roman" w:hAnsiTheme="majorHAnsi" w:cstheme="majorHAnsi"/>
          <w:sz w:val="24"/>
          <w:szCs w:val="24"/>
        </w:rPr>
        <w:t xml:space="preserve"> introduces its own set of challenges, demanding constant adaption to evolving crime methods and cyber complexities. Investigating priority crime faces hurdles in balancing immediate response requirements with the need for in depth inquires. Interagency, interforce and interdepartmental cooperation, while crucial, encounters coordination challenges and information sharing barriers. These challenges collectively contribute to lower clearance rates, influencing public perception and trust. It is paramount for police forces to address these issues, strategically investing in resources, embracing technology, fostering collaboration, and actively working towards improving investigative processes. Effectively tackling these challenges not only enhances crime investigation </w:t>
      </w:r>
      <w:r w:rsidRPr="001029EC">
        <w:rPr>
          <w:rFonts w:asciiTheme="majorHAnsi" w:eastAsia="Times New Roman" w:hAnsiTheme="majorHAnsi" w:cstheme="majorHAnsi"/>
          <w:sz w:val="24"/>
          <w:szCs w:val="24"/>
        </w:rPr>
        <w:lastRenderedPageBreak/>
        <w:t>outcomes but also strengthens public trust, reinforcing the foundational principles of operational policing in safeguarding communities and upholding justice.</w:t>
      </w:r>
    </w:p>
    <w:p w14:paraId="14E0AC3D" w14:textId="77777777" w:rsidR="00F362E0" w:rsidRPr="001029EC" w:rsidRDefault="00F362E0" w:rsidP="00F362E0">
      <w:pPr>
        <w:rPr>
          <w:rFonts w:asciiTheme="majorHAnsi" w:eastAsia="Times New Roman" w:hAnsiTheme="majorHAnsi" w:cstheme="majorHAnsi"/>
          <w:sz w:val="24"/>
          <w:szCs w:val="24"/>
        </w:rPr>
      </w:pPr>
    </w:p>
    <w:p w14:paraId="0A3C4D0C" w14:textId="3B9BE648" w:rsidR="00F362E0" w:rsidRPr="001029EC" w:rsidRDefault="00F362E0" w:rsidP="00F362E0">
      <w:pPr>
        <w:rPr>
          <w:rFonts w:asciiTheme="majorHAnsi" w:hAnsiTheme="majorHAnsi" w:cstheme="majorHAnsi"/>
          <w:sz w:val="24"/>
          <w:szCs w:val="24"/>
        </w:rPr>
      </w:pPr>
      <w:r w:rsidRPr="001029EC">
        <w:rPr>
          <w:rFonts w:asciiTheme="majorHAnsi" w:hAnsiTheme="majorHAnsi" w:cstheme="majorHAnsi"/>
          <w:sz w:val="24"/>
          <w:szCs w:val="24"/>
        </w:rPr>
        <w:t xml:space="preserve">Word Count: </w:t>
      </w:r>
      <w:r w:rsidR="00857705">
        <w:rPr>
          <w:rFonts w:asciiTheme="majorHAnsi" w:hAnsiTheme="majorHAnsi" w:cstheme="majorHAnsi"/>
          <w:sz w:val="24"/>
          <w:szCs w:val="24"/>
        </w:rPr>
        <w:t>2,065</w:t>
      </w:r>
      <w:r w:rsidRPr="001029EC">
        <w:rPr>
          <w:rFonts w:asciiTheme="majorHAnsi" w:hAnsiTheme="majorHAnsi" w:cstheme="majorHAnsi"/>
          <w:sz w:val="24"/>
          <w:szCs w:val="24"/>
        </w:rPr>
        <w:t>/2000</w:t>
      </w:r>
    </w:p>
    <w:p w14:paraId="0F09A86E" w14:textId="77777777" w:rsidR="00F362E0" w:rsidRPr="001029EC" w:rsidRDefault="00F362E0" w:rsidP="006F3C7A">
      <w:pPr>
        <w:rPr>
          <w:rFonts w:asciiTheme="majorHAnsi" w:hAnsiTheme="majorHAnsi" w:cstheme="majorHAnsi"/>
          <w:sz w:val="24"/>
          <w:szCs w:val="24"/>
        </w:rPr>
      </w:pPr>
    </w:p>
    <w:p w14:paraId="305C1408" w14:textId="77777777" w:rsidR="006F3C7A" w:rsidRPr="001029EC" w:rsidRDefault="006F3C7A">
      <w:pPr>
        <w:rPr>
          <w:rFonts w:asciiTheme="majorHAnsi" w:hAnsiTheme="majorHAnsi" w:cstheme="majorHAnsi"/>
          <w:sz w:val="24"/>
          <w:szCs w:val="24"/>
        </w:rPr>
      </w:pPr>
    </w:p>
    <w:p w14:paraId="77924374" w14:textId="77777777" w:rsidR="00506251" w:rsidRPr="001029EC" w:rsidRDefault="00506251" w:rsidP="00506251">
      <w:pPr>
        <w:rPr>
          <w:rFonts w:asciiTheme="majorHAnsi" w:hAnsiTheme="majorHAnsi" w:cstheme="majorHAnsi"/>
          <w:b/>
          <w:bCs/>
          <w:sz w:val="24"/>
          <w:szCs w:val="24"/>
          <w:u w:val="single"/>
        </w:rPr>
      </w:pPr>
      <w:r w:rsidRPr="001029EC">
        <w:rPr>
          <w:rFonts w:asciiTheme="majorHAnsi" w:hAnsiTheme="majorHAnsi" w:cstheme="majorHAnsi"/>
          <w:b/>
          <w:bCs/>
          <w:sz w:val="24"/>
          <w:szCs w:val="24"/>
          <w:u w:val="single"/>
        </w:rPr>
        <w:t>Bibliography</w:t>
      </w:r>
    </w:p>
    <w:p w14:paraId="4132C03D" w14:textId="77777777" w:rsidR="00506251" w:rsidRPr="001029EC" w:rsidRDefault="00506251" w:rsidP="00506251">
      <w:pPr>
        <w:rPr>
          <w:rFonts w:asciiTheme="majorHAnsi" w:hAnsiTheme="majorHAnsi" w:cstheme="majorHAnsi"/>
          <w:sz w:val="24"/>
          <w:szCs w:val="24"/>
        </w:rPr>
      </w:pPr>
    </w:p>
    <w:p w14:paraId="5305AAD1"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AAG IT Services (2024). </w:t>
      </w:r>
      <w:r w:rsidRPr="001029EC">
        <w:rPr>
          <w:rFonts w:asciiTheme="majorHAnsi" w:hAnsiTheme="majorHAnsi" w:cstheme="majorHAnsi"/>
          <w:i/>
          <w:iCs/>
          <w:sz w:val="24"/>
          <w:szCs w:val="24"/>
        </w:rPr>
        <w:t xml:space="preserve">The latest Cyber Crime Statistics (updated February 2024): Aag it support (2024) AAG Services. </w:t>
      </w:r>
      <w:r w:rsidRPr="001029EC">
        <w:rPr>
          <w:rFonts w:asciiTheme="majorHAnsi" w:hAnsiTheme="majorHAnsi" w:cstheme="majorHAnsi"/>
          <w:sz w:val="24"/>
          <w:szCs w:val="24"/>
        </w:rPr>
        <w:t xml:space="preserve">Available at: </w:t>
      </w:r>
      <w:hyperlink r:id="rId5" w:anchor=":~:text=The%20UK%20had%20the%20highest,a%2013%25%20decrease%20over%202020" w:history="1">
        <w:r w:rsidRPr="001029EC">
          <w:rPr>
            <w:rStyle w:val="Hyperlink"/>
            <w:rFonts w:asciiTheme="majorHAnsi" w:hAnsiTheme="majorHAnsi" w:cstheme="majorHAnsi"/>
            <w:sz w:val="24"/>
            <w:szCs w:val="24"/>
          </w:rPr>
          <w:t>https://aag.it.com/the-latest-cyber-crime-statistics/#:~:text=The%20UK%20had%20the%20highest,a%2013%25%20decrease%20over%202020</w:t>
        </w:r>
      </w:hyperlink>
      <w:r w:rsidRPr="001029EC">
        <w:rPr>
          <w:rFonts w:asciiTheme="majorHAnsi" w:hAnsiTheme="majorHAnsi" w:cstheme="majorHAnsi"/>
          <w:sz w:val="24"/>
          <w:szCs w:val="24"/>
        </w:rPr>
        <w:t>. (Accessed: 28</w:t>
      </w:r>
      <w:r w:rsidRPr="001029EC">
        <w:rPr>
          <w:rFonts w:asciiTheme="majorHAnsi" w:hAnsiTheme="majorHAnsi" w:cstheme="majorHAnsi"/>
          <w:sz w:val="24"/>
          <w:szCs w:val="24"/>
          <w:vertAlign w:val="superscript"/>
        </w:rPr>
        <w:t>th</w:t>
      </w:r>
      <w:r w:rsidRPr="001029EC">
        <w:rPr>
          <w:rFonts w:asciiTheme="majorHAnsi" w:hAnsiTheme="majorHAnsi" w:cstheme="majorHAnsi"/>
          <w:sz w:val="24"/>
          <w:szCs w:val="24"/>
        </w:rPr>
        <w:t xml:space="preserve"> February 2024.)</w:t>
      </w:r>
    </w:p>
    <w:p w14:paraId="1B76F8C8" w14:textId="77777777" w:rsidR="00506251" w:rsidRPr="001029EC" w:rsidRDefault="00506251" w:rsidP="00506251">
      <w:pPr>
        <w:rPr>
          <w:rFonts w:asciiTheme="majorHAnsi" w:hAnsiTheme="majorHAnsi" w:cstheme="majorHAnsi"/>
          <w:sz w:val="24"/>
          <w:szCs w:val="24"/>
        </w:rPr>
      </w:pPr>
    </w:p>
    <w:p w14:paraId="3E32D6DD"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Basra, R (2019). Terrorism and drugs in Europe. Background paper commissioned by the EMCDDA for the EU drug markets report 2019.</w:t>
      </w:r>
    </w:p>
    <w:p w14:paraId="3CC35B94" w14:textId="77777777" w:rsidR="00A95F17" w:rsidRPr="001029EC" w:rsidRDefault="00A95F17" w:rsidP="00A95F17">
      <w:pPr>
        <w:pStyle w:val="NormalWeb"/>
        <w:ind w:left="567" w:hanging="567"/>
        <w:rPr>
          <w:rFonts w:asciiTheme="majorHAnsi" w:hAnsiTheme="majorHAnsi" w:cstheme="majorHAnsi"/>
        </w:rPr>
      </w:pPr>
      <w:r w:rsidRPr="001029EC">
        <w:rPr>
          <w:rFonts w:asciiTheme="majorHAnsi" w:hAnsiTheme="majorHAnsi" w:cstheme="majorHAnsi"/>
        </w:rPr>
        <w:t xml:space="preserve">Charman, S. (2023) </w:t>
      </w:r>
      <w:r w:rsidRPr="001029EC">
        <w:rPr>
          <w:rFonts w:asciiTheme="majorHAnsi" w:hAnsiTheme="majorHAnsi" w:cstheme="majorHAnsi"/>
          <w:i/>
          <w:iCs/>
        </w:rPr>
        <w:t>Police officer resignations have risen by 72% in the last year – we asked former officers why</w:t>
      </w:r>
      <w:r w:rsidRPr="001029EC">
        <w:rPr>
          <w:rFonts w:asciiTheme="majorHAnsi" w:hAnsiTheme="majorHAnsi" w:cstheme="majorHAnsi"/>
        </w:rPr>
        <w:t xml:space="preserve">, </w:t>
      </w:r>
      <w:r w:rsidRPr="001029EC">
        <w:rPr>
          <w:rFonts w:asciiTheme="majorHAnsi" w:hAnsiTheme="majorHAnsi" w:cstheme="majorHAnsi"/>
          <w:i/>
          <w:iCs/>
        </w:rPr>
        <w:t>University of Portsmouth</w:t>
      </w:r>
      <w:r w:rsidRPr="001029EC">
        <w:rPr>
          <w:rFonts w:asciiTheme="majorHAnsi" w:hAnsiTheme="majorHAnsi" w:cstheme="majorHAnsi"/>
        </w:rPr>
        <w:t xml:space="preserve">. Available at: https://www.port.ac.uk/news-events-and-blogs/blogs/democratic-citizenship/police-officer-resignations-have-risen-by-72-in-the-last-year-we-asked-former-officers-why (Accessed: 08 April 2024). </w:t>
      </w:r>
    </w:p>
    <w:p w14:paraId="3F69BDB1" w14:textId="77777777" w:rsidR="00506251" w:rsidRPr="001029EC" w:rsidRDefault="00506251" w:rsidP="00506251">
      <w:pPr>
        <w:rPr>
          <w:rFonts w:asciiTheme="majorHAnsi" w:hAnsiTheme="majorHAnsi" w:cstheme="majorHAnsi"/>
          <w:sz w:val="24"/>
          <w:szCs w:val="24"/>
        </w:rPr>
      </w:pPr>
    </w:p>
    <w:p w14:paraId="569F0E3C"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College of Policing (2024). </w:t>
      </w:r>
      <w:r w:rsidRPr="001029EC">
        <w:rPr>
          <w:rFonts w:asciiTheme="majorHAnsi" w:hAnsiTheme="majorHAnsi" w:cstheme="majorHAnsi"/>
          <w:i/>
          <w:iCs/>
          <w:sz w:val="24"/>
          <w:szCs w:val="24"/>
        </w:rPr>
        <w:t xml:space="preserve">Engagement and Communication (2024). </w:t>
      </w:r>
      <w:r w:rsidRPr="001029EC">
        <w:rPr>
          <w:rFonts w:asciiTheme="majorHAnsi" w:hAnsiTheme="majorHAnsi" w:cstheme="majorHAnsi"/>
          <w:sz w:val="24"/>
          <w:szCs w:val="24"/>
        </w:rPr>
        <w:t>College of Policing. Available at: https://www.colege.police.uk/app/engagement-and-communication#:~:text=It%20is%20not%20a%20passive,and%20the%20fear%20of%20crime . (Accessed: 28</w:t>
      </w:r>
      <w:r w:rsidRPr="001029EC">
        <w:rPr>
          <w:rFonts w:asciiTheme="majorHAnsi" w:hAnsiTheme="majorHAnsi" w:cstheme="majorHAnsi"/>
          <w:sz w:val="24"/>
          <w:szCs w:val="24"/>
          <w:vertAlign w:val="superscript"/>
        </w:rPr>
        <w:t>th</w:t>
      </w:r>
      <w:r w:rsidRPr="001029EC">
        <w:rPr>
          <w:rFonts w:asciiTheme="majorHAnsi" w:hAnsiTheme="majorHAnsi" w:cstheme="majorHAnsi"/>
          <w:sz w:val="24"/>
          <w:szCs w:val="24"/>
        </w:rPr>
        <w:t xml:space="preserve"> February 2024)</w:t>
      </w:r>
    </w:p>
    <w:p w14:paraId="2EF1F2F5" w14:textId="77777777" w:rsidR="00506251" w:rsidRPr="001029EC" w:rsidRDefault="00506251" w:rsidP="00506251">
      <w:pPr>
        <w:rPr>
          <w:rFonts w:asciiTheme="majorHAnsi" w:hAnsiTheme="majorHAnsi" w:cstheme="majorHAnsi"/>
          <w:sz w:val="24"/>
          <w:szCs w:val="24"/>
        </w:rPr>
      </w:pPr>
    </w:p>
    <w:p w14:paraId="13026EB5" w14:textId="77777777" w:rsidR="00506251" w:rsidRPr="001029EC" w:rsidRDefault="00506251" w:rsidP="00506251">
      <w:pPr>
        <w:pStyle w:val="NormalWeb"/>
        <w:ind w:left="567" w:hanging="567"/>
        <w:rPr>
          <w:rFonts w:asciiTheme="majorHAnsi" w:hAnsiTheme="majorHAnsi" w:cstheme="majorHAnsi"/>
        </w:rPr>
      </w:pPr>
      <w:r w:rsidRPr="001029EC">
        <w:rPr>
          <w:rFonts w:asciiTheme="majorHAnsi" w:hAnsiTheme="majorHAnsi" w:cstheme="majorHAnsi"/>
        </w:rPr>
        <w:t xml:space="preserve">Cook, T. (2011) ‘The financial arm of the FARC: A threat finance perspective’, </w:t>
      </w:r>
      <w:r w:rsidRPr="001029EC">
        <w:rPr>
          <w:rFonts w:asciiTheme="majorHAnsi" w:hAnsiTheme="majorHAnsi" w:cstheme="majorHAnsi"/>
          <w:i/>
          <w:iCs/>
        </w:rPr>
        <w:t>Journal of Strategic Security</w:t>
      </w:r>
      <w:r w:rsidRPr="001029EC">
        <w:rPr>
          <w:rFonts w:asciiTheme="majorHAnsi" w:hAnsiTheme="majorHAnsi" w:cstheme="majorHAnsi"/>
        </w:rPr>
        <w:t xml:space="preserve">, 4(1), pp. 19–36. doi:10.5038/1944-0472.4.1.2. </w:t>
      </w:r>
    </w:p>
    <w:p w14:paraId="5F5DD717" w14:textId="77777777" w:rsidR="00506251" w:rsidRPr="001029EC" w:rsidRDefault="00506251" w:rsidP="00506251">
      <w:pPr>
        <w:rPr>
          <w:rFonts w:asciiTheme="majorHAnsi" w:hAnsiTheme="majorHAnsi" w:cstheme="majorHAnsi"/>
          <w:sz w:val="24"/>
          <w:szCs w:val="24"/>
        </w:rPr>
      </w:pPr>
    </w:p>
    <w:p w14:paraId="2E11762E"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Davies, G.R.N. (2023). </w:t>
      </w:r>
      <w:r w:rsidRPr="001029EC">
        <w:rPr>
          <w:rFonts w:asciiTheme="majorHAnsi" w:hAnsiTheme="majorHAnsi" w:cstheme="majorHAnsi"/>
          <w:i/>
          <w:iCs/>
          <w:sz w:val="24"/>
          <w:szCs w:val="24"/>
        </w:rPr>
        <w:t xml:space="preserve">Performance tracker 2023: Policing, Institute for Government. </w:t>
      </w:r>
      <w:r w:rsidRPr="001029EC">
        <w:rPr>
          <w:rFonts w:asciiTheme="majorHAnsi" w:hAnsiTheme="majorHAnsi" w:cstheme="majorHAnsi"/>
          <w:sz w:val="24"/>
          <w:szCs w:val="24"/>
        </w:rPr>
        <w:t xml:space="preserve">Available at: </w:t>
      </w:r>
      <w:hyperlink r:id="rId6" w:history="1">
        <w:r w:rsidRPr="001029EC">
          <w:rPr>
            <w:rStyle w:val="Hyperlink"/>
            <w:rFonts w:asciiTheme="majorHAnsi" w:hAnsiTheme="majorHAnsi" w:cstheme="majorHAnsi"/>
            <w:sz w:val="24"/>
            <w:szCs w:val="24"/>
          </w:rPr>
          <w:t>https://www.instituteforgovernment.org.uk/publication/perfomance-tracker-2023/police</w:t>
        </w:r>
      </w:hyperlink>
      <w:r w:rsidRPr="001029EC">
        <w:rPr>
          <w:rFonts w:asciiTheme="majorHAnsi" w:hAnsiTheme="majorHAnsi" w:cstheme="majorHAnsi"/>
          <w:sz w:val="24"/>
          <w:szCs w:val="24"/>
        </w:rPr>
        <w:t xml:space="preserve"> (Accessed: 28 February 2024)</w:t>
      </w:r>
    </w:p>
    <w:p w14:paraId="6EEFA0F8" w14:textId="77777777" w:rsidR="00506251" w:rsidRPr="001029EC" w:rsidRDefault="00506251" w:rsidP="00506251">
      <w:pPr>
        <w:rPr>
          <w:rFonts w:asciiTheme="majorHAnsi" w:hAnsiTheme="majorHAnsi" w:cstheme="majorHAnsi"/>
          <w:sz w:val="24"/>
          <w:szCs w:val="24"/>
        </w:rPr>
      </w:pPr>
    </w:p>
    <w:p w14:paraId="79FF3743" w14:textId="77777777" w:rsidR="00506251" w:rsidRPr="001029EC" w:rsidRDefault="00506251" w:rsidP="00506251">
      <w:pPr>
        <w:pStyle w:val="NormalWeb"/>
        <w:ind w:left="567" w:hanging="567"/>
        <w:rPr>
          <w:rFonts w:asciiTheme="majorHAnsi" w:hAnsiTheme="majorHAnsi" w:cstheme="majorHAnsi"/>
        </w:rPr>
      </w:pPr>
      <w:r w:rsidRPr="001029EC">
        <w:rPr>
          <w:rFonts w:asciiTheme="majorHAnsi" w:hAnsiTheme="majorHAnsi" w:cstheme="majorHAnsi"/>
        </w:rPr>
        <w:t xml:space="preserve">Facchetti, E. (2023) </w:t>
      </w:r>
      <w:r w:rsidRPr="001029EC">
        <w:rPr>
          <w:rFonts w:asciiTheme="majorHAnsi" w:hAnsiTheme="majorHAnsi" w:cstheme="majorHAnsi"/>
          <w:i/>
          <w:iCs/>
        </w:rPr>
        <w:t>Policing on a budget: Understanding the impacts of austerity cuts on crime, police effectiveness, and local welfare</w:t>
      </w:r>
      <w:r w:rsidRPr="001029EC">
        <w:rPr>
          <w:rFonts w:asciiTheme="majorHAnsi" w:hAnsiTheme="majorHAnsi" w:cstheme="majorHAnsi"/>
        </w:rPr>
        <w:t xml:space="preserve">, </w:t>
      </w:r>
      <w:r w:rsidRPr="001029EC">
        <w:rPr>
          <w:rFonts w:asciiTheme="majorHAnsi" w:hAnsiTheme="majorHAnsi" w:cstheme="majorHAnsi"/>
          <w:i/>
          <w:iCs/>
        </w:rPr>
        <w:t>CEPR</w:t>
      </w:r>
      <w:r w:rsidRPr="001029EC">
        <w:rPr>
          <w:rFonts w:asciiTheme="majorHAnsi" w:hAnsiTheme="majorHAnsi" w:cstheme="majorHAnsi"/>
        </w:rPr>
        <w:t xml:space="preserve">. Available at: https://cepr.org/voxeu/columns/policing-budget-understanding-impacts-austerity-cuts-crime-police-effectiveness-and#:~:text=At%20the%20heart%20of%20these,900%20police%20stations%20in%20England. (Accessed: 29 February 2024). </w:t>
      </w:r>
    </w:p>
    <w:p w14:paraId="4EF7F834" w14:textId="77777777" w:rsidR="00506251" w:rsidRPr="001029EC" w:rsidRDefault="00506251" w:rsidP="00506251">
      <w:pPr>
        <w:rPr>
          <w:rFonts w:asciiTheme="majorHAnsi" w:hAnsiTheme="majorHAnsi" w:cstheme="majorHAnsi"/>
          <w:sz w:val="24"/>
          <w:szCs w:val="24"/>
        </w:rPr>
      </w:pPr>
    </w:p>
    <w:p w14:paraId="19F9CE44" w14:textId="77777777" w:rsidR="00506251" w:rsidRPr="001029EC" w:rsidRDefault="00506251" w:rsidP="00506251">
      <w:pPr>
        <w:pStyle w:val="NormalWeb"/>
        <w:spacing w:before="0" w:beforeAutospacing="0" w:after="240" w:afterAutospacing="0" w:line="360" w:lineRule="auto"/>
        <w:rPr>
          <w:rFonts w:asciiTheme="majorHAnsi" w:hAnsiTheme="majorHAnsi" w:cstheme="majorHAnsi"/>
        </w:rPr>
      </w:pPr>
      <w:r w:rsidRPr="001029EC">
        <w:rPr>
          <w:rFonts w:asciiTheme="majorHAnsi" w:hAnsiTheme="majorHAnsi" w:cstheme="majorHAnsi"/>
        </w:rPr>
        <w:lastRenderedPageBreak/>
        <w:t xml:space="preserve">Fromiti (2019). </w:t>
      </w:r>
      <w:r w:rsidRPr="001029EC">
        <w:rPr>
          <w:rFonts w:asciiTheme="majorHAnsi" w:hAnsiTheme="majorHAnsi" w:cstheme="majorHAnsi"/>
          <w:i/>
          <w:iCs/>
        </w:rPr>
        <w:t>Organized Crime Module 16 Key Issues: Theoretical frameworks on the linkages between organized crime and terrorism</w:t>
      </w:r>
      <w:r w:rsidRPr="001029EC">
        <w:rPr>
          <w:rFonts w:asciiTheme="majorHAnsi" w:hAnsiTheme="majorHAnsi" w:cstheme="majorHAnsi"/>
        </w:rPr>
        <w:t>. [online] www.unodc.org. Available at: https://www.unodc.org/e4j/en/organized-crime/module-16/key-issues/theoretical-frameworks-on-the-linkages-between-organized-crime-and-terrorism.html</w:t>
      </w:r>
    </w:p>
    <w:p w14:paraId="1F6AC558"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Hamm, M.S. and Van de Voorde, C (2005). Crimes committed by terrorist groups: Theory, research, and prevention. </w:t>
      </w:r>
      <w:r w:rsidRPr="001029EC">
        <w:rPr>
          <w:rFonts w:asciiTheme="majorHAnsi" w:hAnsiTheme="majorHAnsi" w:cstheme="majorHAnsi"/>
          <w:i/>
          <w:iCs/>
          <w:sz w:val="24"/>
          <w:szCs w:val="24"/>
        </w:rPr>
        <w:t xml:space="preserve">Trends in Organized Crime, </w:t>
      </w:r>
      <w:r w:rsidRPr="001029EC">
        <w:rPr>
          <w:rFonts w:asciiTheme="majorHAnsi" w:hAnsiTheme="majorHAnsi" w:cstheme="majorHAnsi"/>
          <w:sz w:val="24"/>
          <w:szCs w:val="24"/>
        </w:rPr>
        <w:t>9(2), pp.18-50</w:t>
      </w:r>
    </w:p>
    <w:p w14:paraId="5E21951D" w14:textId="77777777" w:rsidR="00506251" w:rsidRPr="001029EC" w:rsidRDefault="00506251" w:rsidP="00506251">
      <w:pPr>
        <w:rPr>
          <w:rFonts w:asciiTheme="majorHAnsi" w:hAnsiTheme="majorHAnsi" w:cstheme="majorHAnsi"/>
          <w:sz w:val="24"/>
          <w:szCs w:val="24"/>
        </w:rPr>
      </w:pPr>
    </w:p>
    <w:p w14:paraId="496252B3"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JESIP (2016). </w:t>
      </w:r>
      <w:r w:rsidRPr="001029EC">
        <w:rPr>
          <w:rFonts w:asciiTheme="majorHAnsi" w:hAnsiTheme="majorHAnsi" w:cstheme="majorHAnsi"/>
          <w:i/>
          <w:iCs/>
          <w:sz w:val="24"/>
          <w:szCs w:val="24"/>
        </w:rPr>
        <w:t xml:space="preserve">JOINT DOCTRINE: The interoperability framework, </w:t>
      </w:r>
      <w:r w:rsidRPr="001029EC">
        <w:rPr>
          <w:rFonts w:asciiTheme="majorHAnsi" w:hAnsiTheme="majorHAnsi" w:cstheme="majorHAnsi"/>
          <w:sz w:val="24"/>
          <w:szCs w:val="24"/>
        </w:rPr>
        <w:t>p.5.</w:t>
      </w:r>
    </w:p>
    <w:p w14:paraId="5C0B7CB6" w14:textId="77777777" w:rsidR="00506251" w:rsidRPr="001029EC" w:rsidRDefault="00506251" w:rsidP="00506251">
      <w:pPr>
        <w:rPr>
          <w:rFonts w:asciiTheme="majorHAnsi" w:hAnsiTheme="majorHAnsi" w:cstheme="majorHAnsi"/>
          <w:sz w:val="24"/>
          <w:szCs w:val="24"/>
        </w:rPr>
      </w:pPr>
    </w:p>
    <w:p w14:paraId="3FBC2A3C" w14:textId="77777777" w:rsidR="00506251" w:rsidRPr="001029EC" w:rsidRDefault="00506251" w:rsidP="00506251">
      <w:pPr>
        <w:rPr>
          <w:rFonts w:asciiTheme="majorHAnsi" w:hAnsiTheme="majorHAnsi" w:cstheme="majorHAnsi"/>
          <w:sz w:val="24"/>
          <w:szCs w:val="24"/>
        </w:rPr>
      </w:pPr>
      <w:r w:rsidRPr="001029EC">
        <w:rPr>
          <w:rFonts w:asciiTheme="majorHAnsi" w:hAnsiTheme="majorHAnsi" w:cstheme="majorHAnsi"/>
          <w:sz w:val="24"/>
          <w:szCs w:val="24"/>
        </w:rPr>
        <w:t xml:space="preserve">Kimaram, A. et al. (2023) </w:t>
      </w:r>
      <w:r w:rsidRPr="001029EC">
        <w:rPr>
          <w:rFonts w:asciiTheme="majorHAnsi" w:hAnsiTheme="majorHAnsi" w:cstheme="majorHAnsi"/>
          <w:i/>
          <w:iCs/>
          <w:sz w:val="24"/>
          <w:szCs w:val="24"/>
        </w:rPr>
        <w:t xml:space="preserve">Where are the police? </w:t>
      </w:r>
      <w:r w:rsidRPr="001029EC">
        <w:rPr>
          <w:rFonts w:asciiTheme="majorHAnsi" w:hAnsiTheme="majorHAnsi" w:cstheme="majorHAnsi"/>
          <w:sz w:val="24"/>
          <w:szCs w:val="24"/>
        </w:rPr>
        <w:t>Rep. More In Common, pp. 5-7</w:t>
      </w:r>
    </w:p>
    <w:p w14:paraId="30AD0AA7" w14:textId="77777777" w:rsidR="00506251" w:rsidRPr="001029EC" w:rsidRDefault="00506251" w:rsidP="00506251">
      <w:pPr>
        <w:rPr>
          <w:rFonts w:asciiTheme="majorHAnsi" w:hAnsiTheme="majorHAnsi" w:cstheme="majorHAnsi"/>
          <w:sz w:val="24"/>
          <w:szCs w:val="24"/>
        </w:rPr>
      </w:pPr>
    </w:p>
    <w:p w14:paraId="797E6DC0" w14:textId="77777777" w:rsidR="00506251" w:rsidRPr="001029EC" w:rsidRDefault="00506251" w:rsidP="00506251">
      <w:pPr>
        <w:pStyle w:val="NormalWeb"/>
        <w:ind w:left="567" w:hanging="567"/>
        <w:rPr>
          <w:rFonts w:asciiTheme="majorHAnsi" w:hAnsiTheme="majorHAnsi" w:cstheme="majorHAnsi"/>
        </w:rPr>
      </w:pPr>
      <w:r w:rsidRPr="001029EC">
        <w:rPr>
          <w:rFonts w:asciiTheme="majorHAnsi" w:hAnsiTheme="majorHAnsi" w:cstheme="majorHAnsi"/>
        </w:rPr>
        <w:t xml:space="preserve">Knight, S. and Keatley, D.A. (2019) ‘How can the literature inform counter-terrorism practice? recent advances and remaining challenges’, </w:t>
      </w:r>
      <w:r w:rsidRPr="001029EC">
        <w:rPr>
          <w:rFonts w:asciiTheme="majorHAnsi" w:hAnsiTheme="majorHAnsi" w:cstheme="majorHAnsi"/>
          <w:i/>
          <w:iCs/>
        </w:rPr>
        <w:t>Behavioral Sciences of Terrorism and Political Aggression</w:t>
      </w:r>
      <w:r w:rsidRPr="001029EC">
        <w:rPr>
          <w:rFonts w:asciiTheme="majorHAnsi" w:hAnsiTheme="majorHAnsi" w:cstheme="majorHAnsi"/>
        </w:rPr>
        <w:t xml:space="preserve">, 12(3), pp. 217–230. doi:10.1080/19434472.2019.1666894. </w:t>
      </w:r>
    </w:p>
    <w:p w14:paraId="02454ABA" w14:textId="77777777" w:rsidR="00506251" w:rsidRPr="001029EC" w:rsidRDefault="00506251" w:rsidP="00506251">
      <w:pPr>
        <w:pStyle w:val="NormalWeb"/>
        <w:ind w:left="567" w:hanging="567"/>
        <w:rPr>
          <w:rFonts w:asciiTheme="majorHAnsi" w:hAnsiTheme="majorHAnsi" w:cstheme="majorHAnsi"/>
        </w:rPr>
      </w:pPr>
    </w:p>
    <w:p w14:paraId="6A758E08" w14:textId="77777777" w:rsidR="000F2141" w:rsidRPr="001029EC" w:rsidRDefault="000F2141" w:rsidP="000F2141">
      <w:pPr>
        <w:pStyle w:val="NormalWeb"/>
        <w:ind w:left="567" w:hanging="567"/>
        <w:rPr>
          <w:rFonts w:asciiTheme="majorHAnsi" w:hAnsiTheme="majorHAnsi" w:cstheme="majorHAnsi"/>
        </w:rPr>
      </w:pPr>
      <w:r w:rsidRPr="001029EC">
        <w:rPr>
          <w:rFonts w:asciiTheme="majorHAnsi" w:hAnsiTheme="majorHAnsi" w:cstheme="majorHAnsi"/>
        </w:rPr>
        <w:t xml:space="preserve">Makarenko, T. (2004) ‘The crime-terror continuum: Tracing the interplay between transnational organised crime and terrorism’, </w:t>
      </w:r>
      <w:r w:rsidRPr="001029EC">
        <w:rPr>
          <w:rFonts w:asciiTheme="majorHAnsi" w:hAnsiTheme="majorHAnsi" w:cstheme="majorHAnsi"/>
          <w:i/>
          <w:iCs/>
        </w:rPr>
        <w:t>Global Crime</w:t>
      </w:r>
      <w:r w:rsidRPr="001029EC">
        <w:rPr>
          <w:rFonts w:asciiTheme="majorHAnsi" w:hAnsiTheme="majorHAnsi" w:cstheme="majorHAnsi"/>
        </w:rPr>
        <w:t xml:space="preserve">, 6(1), pp. 129–145. doi:10.1080/1744057042000297025. </w:t>
      </w:r>
    </w:p>
    <w:p w14:paraId="25C6A2C6" w14:textId="77777777" w:rsidR="00506251" w:rsidRPr="001029EC" w:rsidRDefault="00506251" w:rsidP="00A95F17">
      <w:pPr>
        <w:pStyle w:val="NormalWeb"/>
        <w:rPr>
          <w:rFonts w:asciiTheme="majorHAnsi" w:hAnsiTheme="majorHAnsi" w:cstheme="majorHAnsi"/>
        </w:rPr>
      </w:pPr>
    </w:p>
    <w:p w14:paraId="5E9B0957" w14:textId="4FE163C8" w:rsidR="00994FF4" w:rsidRPr="001029EC" w:rsidRDefault="00994FF4" w:rsidP="00994FF4">
      <w:pPr>
        <w:pStyle w:val="NormalWeb"/>
        <w:ind w:left="567" w:hanging="567"/>
        <w:rPr>
          <w:rFonts w:asciiTheme="majorHAnsi" w:hAnsiTheme="majorHAnsi" w:cstheme="majorHAnsi"/>
        </w:rPr>
      </w:pPr>
      <w:r w:rsidRPr="001029EC">
        <w:rPr>
          <w:rFonts w:asciiTheme="majorHAnsi" w:hAnsiTheme="majorHAnsi" w:cstheme="majorHAnsi"/>
        </w:rPr>
        <w:t xml:space="preserve">Power, N. </w:t>
      </w:r>
      <w:r w:rsidRPr="001029EC">
        <w:rPr>
          <w:rFonts w:asciiTheme="majorHAnsi" w:hAnsiTheme="majorHAnsi" w:cstheme="majorHAnsi"/>
          <w:i/>
          <w:iCs/>
        </w:rPr>
        <w:t>et al.</w:t>
      </w:r>
      <w:r w:rsidRPr="001029EC">
        <w:rPr>
          <w:rFonts w:asciiTheme="majorHAnsi" w:hAnsiTheme="majorHAnsi" w:cstheme="majorHAnsi"/>
        </w:rPr>
        <w:t xml:space="preserve"> (2023) ‘The psychology of interoperability: A systematic review of joint working between the UK emergency services’, </w:t>
      </w:r>
      <w:r w:rsidRPr="001029EC">
        <w:rPr>
          <w:rFonts w:asciiTheme="majorHAnsi" w:hAnsiTheme="majorHAnsi" w:cstheme="majorHAnsi"/>
          <w:i/>
          <w:iCs/>
        </w:rPr>
        <w:t xml:space="preserve">Journal of Occupational and Organizational Psychology </w:t>
      </w:r>
      <w:r w:rsidRPr="001029EC">
        <w:rPr>
          <w:rFonts w:asciiTheme="majorHAnsi" w:hAnsiTheme="majorHAnsi" w:cstheme="majorHAnsi"/>
        </w:rPr>
        <w:t>[Preprint]. doi:10.31234/osf.io/kzd9r.</w:t>
      </w:r>
    </w:p>
    <w:p w14:paraId="4CCC39E4" w14:textId="77777777" w:rsidR="00A95F17" w:rsidRPr="001029EC" w:rsidRDefault="00A95F17" w:rsidP="00A95F17">
      <w:pPr>
        <w:pStyle w:val="NormalWeb"/>
        <w:rPr>
          <w:rFonts w:asciiTheme="majorHAnsi" w:hAnsiTheme="majorHAnsi" w:cstheme="majorHAnsi"/>
        </w:rPr>
      </w:pPr>
    </w:p>
    <w:p w14:paraId="28E8DA92" w14:textId="225E0267" w:rsidR="000F2BF9" w:rsidRPr="001029EC" w:rsidRDefault="000F2BF9" w:rsidP="00A95F17">
      <w:pPr>
        <w:pStyle w:val="NormalWeb"/>
        <w:rPr>
          <w:rFonts w:asciiTheme="majorHAnsi" w:hAnsiTheme="majorHAnsi" w:cstheme="majorHAnsi"/>
          <w:color w:val="222222"/>
          <w:shd w:val="clear" w:color="auto" w:fill="FFFFFF"/>
        </w:rPr>
      </w:pPr>
      <w:r w:rsidRPr="001029EC">
        <w:rPr>
          <w:rFonts w:asciiTheme="majorHAnsi" w:hAnsiTheme="majorHAnsi" w:cstheme="majorHAnsi"/>
          <w:color w:val="222222"/>
          <w:shd w:val="clear" w:color="auto" w:fill="FFFFFF"/>
        </w:rPr>
        <w:t>Shelley, L.I., Picarelli, J.T. Methods and motives: Exploring links between transnational organized crime and international terrorism. </w:t>
      </w:r>
      <w:r w:rsidRPr="001029EC">
        <w:rPr>
          <w:rFonts w:asciiTheme="majorHAnsi" w:hAnsiTheme="majorHAnsi" w:cstheme="majorHAnsi"/>
          <w:i/>
          <w:iCs/>
          <w:color w:val="222222"/>
          <w:shd w:val="clear" w:color="auto" w:fill="FFFFFF"/>
        </w:rPr>
        <w:t>Trends Organ Crim</w:t>
      </w:r>
      <w:r w:rsidRPr="001029EC">
        <w:rPr>
          <w:rFonts w:asciiTheme="majorHAnsi" w:hAnsiTheme="majorHAnsi" w:cstheme="majorHAnsi"/>
          <w:color w:val="222222"/>
          <w:shd w:val="clear" w:color="auto" w:fill="FFFFFF"/>
        </w:rPr>
        <w:t> </w:t>
      </w:r>
      <w:r w:rsidRPr="001029EC">
        <w:rPr>
          <w:rFonts w:asciiTheme="majorHAnsi" w:hAnsiTheme="majorHAnsi" w:cstheme="majorHAnsi"/>
          <w:b/>
          <w:bCs/>
          <w:color w:val="222222"/>
          <w:shd w:val="clear" w:color="auto" w:fill="FFFFFF"/>
        </w:rPr>
        <w:t>9</w:t>
      </w:r>
      <w:r w:rsidRPr="001029EC">
        <w:rPr>
          <w:rFonts w:asciiTheme="majorHAnsi" w:hAnsiTheme="majorHAnsi" w:cstheme="majorHAnsi"/>
          <w:color w:val="222222"/>
          <w:shd w:val="clear" w:color="auto" w:fill="FFFFFF"/>
        </w:rPr>
        <w:t xml:space="preserve">, 52–67 (2005). </w:t>
      </w:r>
      <w:hyperlink r:id="rId7" w:history="1">
        <w:r w:rsidRPr="001029EC">
          <w:rPr>
            <w:rStyle w:val="Hyperlink"/>
            <w:rFonts w:asciiTheme="majorHAnsi" w:hAnsiTheme="majorHAnsi" w:cstheme="majorHAnsi"/>
            <w:shd w:val="clear" w:color="auto" w:fill="FFFFFF"/>
          </w:rPr>
          <w:t>https://doi.org/10.1007/s12117-005-1024-x</w:t>
        </w:r>
      </w:hyperlink>
    </w:p>
    <w:p w14:paraId="51F2B2DC" w14:textId="5840D329" w:rsidR="000F2BF9" w:rsidRPr="001029EC" w:rsidRDefault="000F2BF9" w:rsidP="00A95F17">
      <w:pPr>
        <w:pStyle w:val="NormalWeb"/>
        <w:rPr>
          <w:rFonts w:asciiTheme="majorHAnsi" w:hAnsiTheme="majorHAnsi" w:cstheme="majorHAnsi"/>
        </w:rPr>
      </w:pPr>
      <w:r w:rsidRPr="001029EC">
        <w:rPr>
          <w:rFonts w:asciiTheme="majorHAnsi" w:hAnsiTheme="majorHAnsi" w:cstheme="majorHAnsi"/>
          <w:color w:val="222222"/>
          <w:shd w:val="clear" w:color="auto" w:fill="FFFFFF"/>
        </w:rPr>
        <w:t>Shelley, 2005. Pp 52-67</w:t>
      </w:r>
    </w:p>
    <w:p w14:paraId="505F4FF5" w14:textId="77777777" w:rsidR="00506251" w:rsidRPr="001029EC" w:rsidRDefault="00506251" w:rsidP="00506251">
      <w:pPr>
        <w:pStyle w:val="NormalWeb"/>
        <w:ind w:left="567" w:hanging="567"/>
        <w:rPr>
          <w:rFonts w:asciiTheme="majorHAnsi" w:hAnsiTheme="majorHAnsi" w:cstheme="majorHAnsi"/>
        </w:rPr>
      </w:pPr>
      <w:r w:rsidRPr="001029EC">
        <w:rPr>
          <w:rFonts w:asciiTheme="majorHAnsi" w:hAnsiTheme="majorHAnsi" w:cstheme="majorHAnsi"/>
        </w:rPr>
        <w:t xml:space="preserve">Stripe, N. (2023). </w:t>
      </w:r>
      <w:r w:rsidRPr="001029EC">
        <w:rPr>
          <w:rFonts w:asciiTheme="majorHAnsi" w:hAnsiTheme="majorHAnsi" w:cstheme="majorHAnsi"/>
          <w:i/>
          <w:iCs/>
        </w:rPr>
        <w:t xml:space="preserve">Crime in England and Wales: Year Ending March 2023, Crime in England and Wales – Office for National Statistics. </w:t>
      </w:r>
      <w:r w:rsidRPr="001029EC">
        <w:rPr>
          <w:rFonts w:asciiTheme="majorHAnsi" w:hAnsiTheme="majorHAnsi" w:cstheme="majorHAnsi"/>
        </w:rPr>
        <w:t>Available at: https://www.ons.gove.uk/peoplepopulationandcommunity/crimeandjustice/bullitins/crimeinenglandandwales/yearendingmarch2023#:~:text=Police%20recorded%20crime%20in%20England,2020%20(6.1%20million%20offences) . (Accessed: 28</w:t>
      </w:r>
      <w:r w:rsidRPr="001029EC">
        <w:rPr>
          <w:rFonts w:asciiTheme="majorHAnsi" w:hAnsiTheme="majorHAnsi" w:cstheme="majorHAnsi"/>
          <w:vertAlign w:val="superscript"/>
        </w:rPr>
        <w:t>th</w:t>
      </w:r>
      <w:r w:rsidRPr="001029EC">
        <w:rPr>
          <w:rFonts w:asciiTheme="majorHAnsi" w:hAnsiTheme="majorHAnsi" w:cstheme="majorHAnsi"/>
        </w:rPr>
        <w:t xml:space="preserve"> February 2024)</w:t>
      </w:r>
    </w:p>
    <w:p w14:paraId="61A7A5D8" w14:textId="77777777" w:rsidR="00506251" w:rsidRPr="001029EC" w:rsidRDefault="00506251">
      <w:pPr>
        <w:rPr>
          <w:rFonts w:asciiTheme="majorHAnsi" w:hAnsiTheme="majorHAnsi" w:cstheme="majorHAnsi"/>
          <w:sz w:val="24"/>
          <w:szCs w:val="24"/>
        </w:rPr>
      </w:pPr>
    </w:p>
    <w:p w14:paraId="00200754" w14:textId="77777777" w:rsidR="002C2C88" w:rsidRPr="001029EC" w:rsidRDefault="002C2C88">
      <w:pPr>
        <w:rPr>
          <w:rFonts w:asciiTheme="majorHAnsi" w:eastAsia="Times New Roman" w:hAnsiTheme="majorHAnsi" w:cstheme="majorHAnsi"/>
          <w:sz w:val="24"/>
          <w:szCs w:val="24"/>
        </w:rPr>
      </w:pPr>
    </w:p>
    <w:p w14:paraId="1349BA47" w14:textId="77777777" w:rsidR="002C2C88" w:rsidRPr="001029EC" w:rsidRDefault="002C2C88">
      <w:pPr>
        <w:rPr>
          <w:rFonts w:asciiTheme="majorHAnsi" w:eastAsia="Times New Roman" w:hAnsiTheme="majorHAnsi" w:cstheme="majorHAnsi"/>
          <w:sz w:val="24"/>
          <w:szCs w:val="24"/>
        </w:rPr>
      </w:pPr>
    </w:p>
    <w:p w14:paraId="4573EDED" w14:textId="77777777" w:rsidR="002C2C88" w:rsidRPr="001029EC" w:rsidRDefault="002C2C88">
      <w:pPr>
        <w:rPr>
          <w:rFonts w:asciiTheme="majorHAnsi" w:eastAsia="Times New Roman" w:hAnsiTheme="majorHAnsi" w:cstheme="majorHAnsi"/>
          <w:sz w:val="24"/>
          <w:szCs w:val="24"/>
        </w:rPr>
      </w:pPr>
    </w:p>
    <w:sectPr w:rsidR="002C2C88" w:rsidRPr="00102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E85"/>
    <w:rsid w:val="00081C24"/>
    <w:rsid w:val="000C7017"/>
    <w:rsid w:val="000F2141"/>
    <w:rsid w:val="000F2BF9"/>
    <w:rsid w:val="001029EC"/>
    <w:rsid w:val="0013298A"/>
    <w:rsid w:val="0018020C"/>
    <w:rsid w:val="001B3483"/>
    <w:rsid w:val="001E5E85"/>
    <w:rsid w:val="001F783C"/>
    <w:rsid w:val="002C2C88"/>
    <w:rsid w:val="002D6D2F"/>
    <w:rsid w:val="004554F3"/>
    <w:rsid w:val="00457F53"/>
    <w:rsid w:val="00506251"/>
    <w:rsid w:val="005A4970"/>
    <w:rsid w:val="006F3C7A"/>
    <w:rsid w:val="00767FA8"/>
    <w:rsid w:val="007E4127"/>
    <w:rsid w:val="00857705"/>
    <w:rsid w:val="009516AD"/>
    <w:rsid w:val="00994FF4"/>
    <w:rsid w:val="009D0A62"/>
    <w:rsid w:val="009D2748"/>
    <w:rsid w:val="00A27B21"/>
    <w:rsid w:val="00A86990"/>
    <w:rsid w:val="00A95F17"/>
    <w:rsid w:val="00BE3984"/>
    <w:rsid w:val="00CA412C"/>
    <w:rsid w:val="00CA7F28"/>
    <w:rsid w:val="00D210AB"/>
    <w:rsid w:val="00D47C24"/>
    <w:rsid w:val="00E4024C"/>
    <w:rsid w:val="00ED595A"/>
    <w:rsid w:val="00F1204B"/>
    <w:rsid w:val="00F273C4"/>
    <w:rsid w:val="00F362E0"/>
    <w:rsid w:val="00FE54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2E59C"/>
  <w15:chartTrackingRefBased/>
  <w15:docId w15:val="{78918BD7-1C4D-4539-AB12-D0A3C9F722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24C"/>
    <w:pPr>
      <w:spacing w:after="0" w:line="240" w:lineRule="auto"/>
    </w:pPr>
    <w:rPr>
      <w:rFonts w:ascii="Calibri" w:hAnsi="Calibri" w:cs="Calibri"/>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5E85"/>
    <w:rPr>
      <w:color w:val="0000FF"/>
      <w:u w:val="single"/>
    </w:rPr>
  </w:style>
  <w:style w:type="paragraph" w:styleId="NormalWeb">
    <w:name w:val="Normal (Web)"/>
    <w:basedOn w:val="Normal"/>
    <w:uiPriority w:val="99"/>
    <w:unhideWhenUsed/>
    <w:rsid w:val="00506251"/>
    <w:pPr>
      <w:spacing w:before="100" w:beforeAutospacing="1" w:after="100" w:afterAutospacing="1"/>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0F2B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18797">
      <w:bodyDiv w:val="1"/>
      <w:marLeft w:val="0"/>
      <w:marRight w:val="0"/>
      <w:marTop w:val="0"/>
      <w:marBottom w:val="0"/>
      <w:divBdr>
        <w:top w:val="none" w:sz="0" w:space="0" w:color="auto"/>
        <w:left w:val="none" w:sz="0" w:space="0" w:color="auto"/>
        <w:bottom w:val="none" w:sz="0" w:space="0" w:color="auto"/>
        <w:right w:val="none" w:sz="0" w:space="0" w:color="auto"/>
      </w:divBdr>
    </w:div>
    <w:div w:id="382601497">
      <w:bodyDiv w:val="1"/>
      <w:marLeft w:val="0"/>
      <w:marRight w:val="0"/>
      <w:marTop w:val="0"/>
      <w:marBottom w:val="0"/>
      <w:divBdr>
        <w:top w:val="none" w:sz="0" w:space="0" w:color="auto"/>
        <w:left w:val="none" w:sz="0" w:space="0" w:color="auto"/>
        <w:bottom w:val="none" w:sz="0" w:space="0" w:color="auto"/>
        <w:right w:val="none" w:sz="0" w:space="0" w:color="auto"/>
      </w:divBdr>
    </w:div>
    <w:div w:id="560143689">
      <w:bodyDiv w:val="1"/>
      <w:marLeft w:val="0"/>
      <w:marRight w:val="0"/>
      <w:marTop w:val="0"/>
      <w:marBottom w:val="0"/>
      <w:divBdr>
        <w:top w:val="none" w:sz="0" w:space="0" w:color="auto"/>
        <w:left w:val="none" w:sz="0" w:space="0" w:color="auto"/>
        <w:bottom w:val="none" w:sz="0" w:space="0" w:color="auto"/>
        <w:right w:val="none" w:sz="0" w:space="0" w:color="auto"/>
      </w:divBdr>
    </w:div>
    <w:div w:id="816655222">
      <w:bodyDiv w:val="1"/>
      <w:marLeft w:val="0"/>
      <w:marRight w:val="0"/>
      <w:marTop w:val="0"/>
      <w:marBottom w:val="0"/>
      <w:divBdr>
        <w:top w:val="none" w:sz="0" w:space="0" w:color="auto"/>
        <w:left w:val="none" w:sz="0" w:space="0" w:color="auto"/>
        <w:bottom w:val="none" w:sz="0" w:space="0" w:color="auto"/>
        <w:right w:val="none" w:sz="0" w:space="0" w:color="auto"/>
      </w:divBdr>
    </w:div>
    <w:div w:id="833573435">
      <w:bodyDiv w:val="1"/>
      <w:marLeft w:val="0"/>
      <w:marRight w:val="0"/>
      <w:marTop w:val="0"/>
      <w:marBottom w:val="0"/>
      <w:divBdr>
        <w:top w:val="none" w:sz="0" w:space="0" w:color="auto"/>
        <w:left w:val="none" w:sz="0" w:space="0" w:color="auto"/>
        <w:bottom w:val="none" w:sz="0" w:space="0" w:color="auto"/>
        <w:right w:val="none" w:sz="0" w:space="0" w:color="auto"/>
      </w:divBdr>
    </w:div>
    <w:div w:id="1022978910">
      <w:bodyDiv w:val="1"/>
      <w:marLeft w:val="0"/>
      <w:marRight w:val="0"/>
      <w:marTop w:val="0"/>
      <w:marBottom w:val="0"/>
      <w:divBdr>
        <w:top w:val="none" w:sz="0" w:space="0" w:color="auto"/>
        <w:left w:val="none" w:sz="0" w:space="0" w:color="auto"/>
        <w:bottom w:val="none" w:sz="0" w:space="0" w:color="auto"/>
        <w:right w:val="none" w:sz="0" w:space="0" w:color="auto"/>
      </w:divBdr>
    </w:div>
    <w:div w:id="1211918377">
      <w:bodyDiv w:val="1"/>
      <w:marLeft w:val="0"/>
      <w:marRight w:val="0"/>
      <w:marTop w:val="0"/>
      <w:marBottom w:val="0"/>
      <w:divBdr>
        <w:top w:val="none" w:sz="0" w:space="0" w:color="auto"/>
        <w:left w:val="none" w:sz="0" w:space="0" w:color="auto"/>
        <w:bottom w:val="none" w:sz="0" w:space="0" w:color="auto"/>
        <w:right w:val="none" w:sz="0" w:space="0" w:color="auto"/>
      </w:divBdr>
    </w:div>
    <w:div w:id="1285818060">
      <w:bodyDiv w:val="1"/>
      <w:marLeft w:val="0"/>
      <w:marRight w:val="0"/>
      <w:marTop w:val="0"/>
      <w:marBottom w:val="0"/>
      <w:divBdr>
        <w:top w:val="none" w:sz="0" w:space="0" w:color="auto"/>
        <w:left w:val="none" w:sz="0" w:space="0" w:color="auto"/>
        <w:bottom w:val="none" w:sz="0" w:space="0" w:color="auto"/>
        <w:right w:val="none" w:sz="0" w:space="0" w:color="auto"/>
      </w:divBdr>
    </w:div>
    <w:div w:id="135037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07/s12117-005-1024-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stituteforgovernment.org.uk/publication/perfomance-tracker-2023/police" TargetMode="External"/><Relationship Id="rId5" Type="http://schemas.openxmlformats.org/officeDocument/2006/relationships/hyperlink" Target="https://aag.it.com/the-latest-cyber-crime-statistics/" TargetMode="External"/><Relationship Id="rId4" Type="http://schemas.openxmlformats.org/officeDocument/2006/relationships/hyperlink" Target="mailto:21%33%34%3528@%73%74%75%64%65n%74%2eu%77%74%73%64%2e%61c.%75%6b"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TotalTime>
  <Pages>11</Pages>
  <Words>5287</Words>
  <Characters>30142</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35359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Jones,Samuel swp8387</dc:creator>
  <cp:keywords/>
  <dc:description/>
  <cp:lastModifiedBy>Jones,Samuel swp8387</cp:lastModifiedBy>
  <cp:revision>45</cp:revision>
  <dcterms:created xsi:type="dcterms:W3CDTF">2024-03-27T08:46:00Z</dcterms:created>
  <dcterms:modified xsi:type="dcterms:W3CDTF">2024-04-08T21:10:00Z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2024-03-27T08:47:31Z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f3c0c52f-11bb-4e0c-8001-dce375416005</vt:lpwstr>
  </property>
  <property fmtid="{D5CDD505-2E9C-101B-9397-08002B2CF9AE}" pid="8" name="MSIP_Label_66cf8fe5-b7b7-4df7-b38d-1c61ac2f6639_ContentBits">
    <vt:lpwstr>0</vt:lpwstr>
  </property>
</Properties>
</file>