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21FB49" w14:textId="22184FDD" w:rsidR="00C07DB3" w:rsidRDefault="008A7856" w:rsidP="00E42707">
      <w:pPr>
        <w:spacing w:line="360" w:lineRule="auto"/>
        <w:jc w:val="center"/>
        <w:rPr>
          <w:rFonts w:ascii="Britannic Bold" w:hAnsi="Britannic Bold"/>
          <w:sz w:val="44"/>
          <w:szCs w:val="44"/>
        </w:rPr>
      </w:pPr>
      <w:r w:rsidRPr="00673D2E">
        <w:rPr>
          <w:rFonts w:ascii="Britannic Bold" w:hAnsi="Britannic Bold"/>
          <w:sz w:val="44"/>
          <w:szCs w:val="44"/>
        </w:rPr>
        <w:t xml:space="preserve">International Meetings Management for the Hotel Industry </w:t>
      </w:r>
    </w:p>
    <w:p w14:paraId="687DBCBF" w14:textId="630749D8" w:rsidR="002F7876" w:rsidRDefault="002F7876" w:rsidP="00E42707">
      <w:pPr>
        <w:spacing w:line="360" w:lineRule="auto"/>
        <w:jc w:val="center"/>
        <w:rPr>
          <w:rFonts w:ascii="Britannic Bold" w:hAnsi="Britannic Bold"/>
          <w:sz w:val="44"/>
          <w:szCs w:val="44"/>
        </w:rPr>
      </w:pPr>
      <w:r>
        <w:rPr>
          <w:rFonts w:ascii="Britannic Bold" w:hAnsi="Britannic Bold"/>
          <w:sz w:val="44"/>
          <w:szCs w:val="44"/>
        </w:rPr>
        <w:t>(BMIH6007)</w:t>
      </w:r>
    </w:p>
    <w:p w14:paraId="5A70C4F1" w14:textId="42D2D2E4" w:rsidR="006846DB" w:rsidRPr="006846DB" w:rsidRDefault="006846DB" w:rsidP="006846DB">
      <w:pPr>
        <w:spacing w:line="360" w:lineRule="auto"/>
        <w:jc w:val="center"/>
        <w:rPr>
          <w:rFonts w:ascii="Britannic Bold" w:hAnsi="Britannic Bold"/>
          <w:sz w:val="44"/>
          <w:szCs w:val="44"/>
        </w:rPr>
      </w:pPr>
      <w:r w:rsidRPr="006846DB">
        <w:rPr>
          <w:rFonts w:ascii="Britannic Bold" w:hAnsi="Britannic Bold"/>
          <w:sz w:val="44"/>
          <w:szCs w:val="44"/>
        </w:rPr>
        <w:t>Studen</w:t>
      </w:r>
      <w:r>
        <w:rPr>
          <w:rFonts w:ascii="Britannic Bold" w:hAnsi="Britannic Bold"/>
          <w:sz w:val="44"/>
          <w:szCs w:val="44"/>
        </w:rPr>
        <w:t>t name: Andreea-Florina Chiriac</w:t>
      </w:r>
    </w:p>
    <w:p w14:paraId="41B05746" w14:textId="24224501" w:rsidR="006846DB" w:rsidRPr="006846DB" w:rsidRDefault="006846DB" w:rsidP="006846DB">
      <w:pPr>
        <w:spacing w:line="360" w:lineRule="auto"/>
        <w:jc w:val="center"/>
        <w:rPr>
          <w:rFonts w:ascii="Britannic Bold" w:hAnsi="Britannic Bold"/>
          <w:sz w:val="44"/>
          <w:szCs w:val="44"/>
        </w:rPr>
      </w:pPr>
      <w:r>
        <w:rPr>
          <w:rFonts w:ascii="Britannic Bold" w:hAnsi="Britannic Bold"/>
          <w:sz w:val="44"/>
          <w:szCs w:val="44"/>
        </w:rPr>
        <w:t>Student number: 2126260</w:t>
      </w:r>
    </w:p>
    <w:p w14:paraId="32CE7E85" w14:textId="2510F006" w:rsidR="006846DB" w:rsidRDefault="006846DB" w:rsidP="006846DB">
      <w:pPr>
        <w:spacing w:line="360" w:lineRule="auto"/>
        <w:jc w:val="center"/>
        <w:rPr>
          <w:rFonts w:ascii="Britannic Bold" w:hAnsi="Britannic Bold"/>
          <w:sz w:val="44"/>
          <w:szCs w:val="44"/>
        </w:rPr>
      </w:pPr>
      <w:r w:rsidRPr="006846DB">
        <w:rPr>
          <w:rFonts w:ascii="Britannic Bold" w:hAnsi="Britannic Bold"/>
          <w:sz w:val="44"/>
          <w:szCs w:val="44"/>
        </w:rPr>
        <w:t>Tutor`s name: Jemma Smith</w:t>
      </w:r>
    </w:p>
    <w:p w14:paraId="532537DF" w14:textId="77777777" w:rsidR="00C81747" w:rsidRDefault="00C81747" w:rsidP="006846DB">
      <w:pPr>
        <w:spacing w:line="360" w:lineRule="auto"/>
        <w:jc w:val="center"/>
        <w:rPr>
          <w:rFonts w:ascii="Britannic Bold" w:hAnsi="Britannic Bold"/>
          <w:sz w:val="44"/>
          <w:szCs w:val="44"/>
        </w:rPr>
      </w:pPr>
    </w:p>
    <w:p w14:paraId="24F2B3D8" w14:textId="77777777" w:rsidR="00C81747" w:rsidRDefault="00C81747" w:rsidP="006846DB">
      <w:pPr>
        <w:spacing w:line="360" w:lineRule="auto"/>
        <w:jc w:val="center"/>
        <w:rPr>
          <w:rFonts w:ascii="Britannic Bold" w:hAnsi="Britannic Bold"/>
          <w:sz w:val="44"/>
          <w:szCs w:val="44"/>
        </w:rPr>
      </w:pPr>
    </w:p>
    <w:p w14:paraId="68C8EDB7" w14:textId="4D7FAC11" w:rsidR="00C81747" w:rsidRDefault="00C81747" w:rsidP="006846DB">
      <w:pPr>
        <w:spacing w:line="360" w:lineRule="auto"/>
        <w:jc w:val="center"/>
        <w:rPr>
          <w:rFonts w:ascii="Britannic Bold" w:hAnsi="Britannic Bold"/>
          <w:sz w:val="44"/>
          <w:szCs w:val="44"/>
        </w:rPr>
      </w:pPr>
      <w:r w:rsidRPr="00C81747">
        <w:rPr>
          <w:rFonts w:ascii="Britannic Bold" w:hAnsi="Britannic Bold"/>
          <w:sz w:val="44"/>
          <w:szCs w:val="44"/>
        </w:rPr>
        <w:t xml:space="preserve">Event on virtual tour - add on services to be offered to hotel guests and </w:t>
      </w:r>
      <w:proofErr w:type="gramStart"/>
      <w:r w:rsidRPr="00C81747">
        <w:rPr>
          <w:rFonts w:ascii="Britannic Bold" w:hAnsi="Britannic Bold"/>
          <w:sz w:val="44"/>
          <w:szCs w:val="44"/>
        </w:rPr>
        <w:t>customers</w:t>
      </w:r>
      <w:proofErr w:type="gramEnd"/>
    </w:p>
    <w:p w14:paraId="6366781F" w14:textId="77777777" w:rsidR="00C81747" w:rsidRPr="00673D2E" w:rsidRDefault="00C81747" w:rsidP="006846DB">
      <w:pPr>
        <w:spacing w:line="360" w:lineRule="auto"/>
        <w:jc w:val="center"/>
        <w:rPr>
          <w:rFonts w:ascii="Britannic Bold" w:hAnsi="Britannic Bold"/>
          <w:sz w:val="44"/>
          <w:szCs w:val="44"/>
        </w:rPr>
      </w:pPr>
    </w:p>
    <w:p w14:paraId="7DB1F1CA" w14:textId="77777777" w:rsidR="00E424BB" w:rsidRPr="00673D2E" w:rsidRDefault="00E424BB"/>
    <w:p w14:paraId="2E95BD28" w14:textId="77777777" w:rsidR="00B211C7" w:rsidRPr="00673D2E" w:rsidRDefault="00B211C7">
      <w:pPr>
        <w:spacing w:line="276" w:lineRule="auto"/>
        <w:jc w:val="left"/>
      </w:pPr>
      <w:r w:rsidRPr="00673D2E">
        <w:br w:type="page"/>
      </w:r>
    </w:p>
    <w:p w14:paraId="74665D97" w14:textId="71F2148F" w:rsidR="00B211C7" w:rsidRPr="00673D2E" w:rsidRDefault="00B211C7" w:rsidP="00F2710F">
      <w:pPr>
        <w:pStyle w:val="TOCHeading"/>
      </w:pPr>
    </w:p>
    <w:p w14:paraId="0E1AC9C8" w14:textId="54E768C7" w:rsidR="006846DB" w:rsidRPr="00673D2E" w:rsidRDefault="00445F91" w:rsidP="00F2710F">
      <w:pPr>
        <w:spacing w:line="360" w:lineRule="auto"/>
        <w:rPr>
          <w:rFonts w:ascii="Britannic Bold" w:hAnsi="Britannic Bold"/>
          <w:sz w:val="32"/>
          <w:szCs w:val="32"/>
        </w:rPr>
      </w:pPr>
      <w:r>
        <w:rPr>
          <w:rFonts w:ascii="Britannic Bold" w:hAnsi="Britannic Bold"/>
          <w:sz w:val="32"/>
          <w:szCs w:val="32"/>
        </w:rPr>
        <w:pict w14:anchorId="59EDE9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25pt;height:263.25pt">
            <v:imagedata r:id="rId8" o:title="slide 1 "/>
          </v:shape>
        </w:pict>
      </w:r>
    </w:p>
    <w:p w14:paraId="19E61F19" w14:textId="77777777" w:rsidR="00F449CA" w:rsidRPr="00673D2E" w:rsidRDefault="00DF4FA1" w:rsidP="00F449CA">
      <w:r w:rsidRPr="00673D2E">
        <w:rPr>
          <w:noProof/>
          <w:lang w:eastAsia="en-GB"/>
        </w:rPr>
        <w:drawing>
          <wp:inline distT="0" distB="0" distL="0" distR="0" wp14:anchorId="5DDCB18D" wp14:editId="76945732">
            <wp:extent cx="6096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2C43B795" w14:textId="77777777" w:rsidR="00E424BB" w:rsidRPr="00673D2E" w:rsidRDefault="00B211C7" w:rsidP="00B211C7">
      <w:pPr>
        <w:pStyle w:val="Heading2"/>
        <w:rPr>
          <w:color w:val="auto"/>
        </w:rPr>
      </w:pPr>
      <w:bookmarkStart w:id="0" w:name="_Toc166000019"/>
      <w:r w:rsidRPr="00673D2E">
        <w:rPr>
          <w:color w:val="auto"/>
        </w:rPr>
        <w:lastRenderedPageBreak/>
        <w:t>Introduction</w:t>
      </w:r>
      <w:bookmarkEnd w:id="0"/>
      <w:r w:rsidRPr="00673D2E">
        <w:rPr>
          <w:color w:val="auto"/>
        </w:rPr>
        <w:t xml:space="preserve"> </w:t>
      </w:r>
    </w:p>
    <w:p w14:paraId="3CE69D21" w14:textId="77777777" w:rsidR="00B211C7" w:rsidRPr="00673D2E" w:rsidRDefault="00DF4FA1" w:rsidP="00DF4FA1">
      <w:r w:rsidRPr="00673D2E">
        <w:t xml:space="preserve">This presentation sheds light on the ways in which modern technology could innovatively transform customer experience in MICE industry and thus conducted a feasibility study. </w:t>
      </w:r>
      <w:r w:rsidR="00B211C7" w:rsidRPr="00673D2E">
        <w:t xml:space="preserve">The presentation </w:t>
      </w:r>
      <w:r w:rsidR="008513F9" w:rsidRPr="00673D2E">
        <w:t xml:space="preserve">is focused on a UK based event for virtual tour that will be participated by industrial players and executives from relevant MICE industry business executives. Promoting the potential of virtual tours and showcasing guests with a glimpse of the power of technology and innovation is the main approach of this event. </w:t>
      </w:r>
    </w:p>
    <w:p w14:paraId="7626D832" w14:textId="77777777" w:rsidR="00BD56A4" w:rsidRPr="00673D2E" w:rsidRDefault="00185A91">
      <w:r w:rsidRPr="00673D2E">
        <w:rPr>
          <w:noProof/>
          <w:lang w:eastAsia="en-GB"/>
        </w:rPr>
        <w:drawing>
          <wp:inline distT="0" distB="0" distL="0" distR="0" wp14:anchorId="33E2055D" wp14:editId="00F47F5B">
            <wp:extent cx="6096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4B40F4DE" w14:textId="77777777" w:rsidR="00B211C7" w:rsidRPr="00673D2E" w:rsidRDefault="00B211C7" w:rsidP="00B211C7">
      <w:pPr>
        <w:pStyle w:val="Heading2"/>
        <w:rPr>
          <w:color w:val="auto"/>
        </w:rPr>
      </w:pPr>
      <w:bookmarkStart w:id="1" w:name="_Toc166000020"/>
      <w:r w:rsidRPr="00673D2E">
        <w:rPr>
          <w:color w:val="auto"/>
        </w:rPr>
        <w:t xml:space="preserve">Market Factors: </w:t>
      </w:r>
      <w:r w:rsidR="008513F9" w:rsidRPr="00673D2E">
        <w:rPr>
          <w:color w:val="auto"/>
        </w:rPr>
        <w:t>Target Market and Demand</w:t>
      </w:r>
      <w:bookmarkEnd w:id="1"/>
      <w:r w:rsidR="008513F9" w:rsidRPr="00673D2E">
        <w:rPr>
          <w:color w:val="auto"/>
        </w:rPr>
        <w:t xml:space="preserve"> </w:t>
      </w:r>
    </w:p>
    <w:p w14:paraId="15FEC87C" w14:textId="77777777" w:rsidR="00E95A15" w:rsidRPr="00673D2E" w:rsidRDefault="00BD56A4" w:rsidP="00E95A15">
      <w:r w:rsidRPr="00673D2E">
        <w:t xml:space="preserve">Virtual tour market has significantly strong global market growth potential. As per reports, global virtual tour market is expected to exponentially grow with annual 27.9% CAGR growth rate to reach a market value of </w:t>
      </w:r>
      <w:r w:rsidRPr="00673D2E">
        <w:rPr>
          <w:rFonts w:cs="Times New Roman"/>
        </w:rPr>
        <w:t>£</w:t>
      </w:r>
      <w:r w:rsidRPr="00673D2E">
        <w:t>14.3 billion by 2030</w:t>
      </w:r>
      <w:r w:rsidR="00E95A15" w:rsidRPr="00673D2E">
        <w:t xml:space="preserve"> (Lu et al., 2024)</w:t>
      </w:r>
      <w:r w:rsidRPr="00673D2E">
        <w:t xml:space="preserve">. Global market studies also claim that tourism and hospitality industry are the highest market share holders in the virtual tour </w:t>
      </w:r>
      <w:r w:rsidRPr="00673D2E">
        <w:lastRenderedPageBreak/>
        <w:t>service market. North America has been projected to be the largest market for virtual tour services and Europe is projected to have the second highest market share</w:t>
      </w:r>
      <w:r w:rsidR="00E95A15" w:rsidRPr="00673D2E">
        <w:t xml:space="preserve"> (El-Said &amp; Aziz, 2022)</w:t>
      </w:r>
      <w:r w:rsidRPr="00673D2E">
        <w:t>. Thus, the presented statistics indicates strong growth potential for demand condition for virtual tour events and services. It can be said that virtual tour is one of the most popular and potential technical trends for the British as well as global MICE industry</w:t>
      </w:r>
      <w:r w:rsidR="00BC6528" w:rsidRPr="00673D2E">
        <w:t xml:space="preserve"> (Baran &amp; Baran, 2022)</w:t>
      </w:r>
      <w:r w:rsidRPr="00673D2E">
        <w:t xml:space="preserve">. </w:t>
      </w:r>
    </w:p>
    <w:p w14:paraId="6A5DFCBC" w14:textId="77777777" w:rsidR="00305284" w:rsidRPr="00673D2E" w:rsidRDefault="00185A91" w:rsidP="007D5839">
      <w:r w:rsidRPr="00673D2E">
        <w:rPr>
          <w:noProof/>
          <w:lang w:eastAsia="en-GB"/>
        </w:rPr>
        <w:drawing>
          <wp:inline distT="0" distB="0" distL="0" distR="0" wp14:anchorId="3EC66CDF" wp14:editId="5D4B844C">
            <wp:extent cx="6096635" cy="34296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32B5A146" w14:textId="77777777" w:rsidR="00305284" w:rsidRPr="00673D2E" w:rsidRDefault="00305284" w:rsidP="00305284">
      <w:pPr>
        <w:pStyle w:val="Heading2"/>
        <w:rPr>
          <w:color w:val="auto"/>
        </w:rPr>
      </w:pPr>
      <w:bookmarkStart w:id="2" w:name="_Toc166000021"/>
      <w:r w:rsidRPr="00673D2E">
        <w:rPr>
          <w:color w:val="auto"/>
        </w:rPr>
        <w:t>Market Factors: Target Market and Supply</w:t>
      </w:r>
      <w:bookmarkEnd w:id="2"/>
      <w:r w:rsidRPr="00673D2E">
        <w:rPr>
          <w:color w:val="auto"/>
        </w:rPr>
        <w:t xml:space="preserve"> </w:t>
      </w:r>
    </w:p>
    <w:p w14:paraId="7CF8C042" w14:textId="77777777" w:rsidR="00305284" w:rsidRPr="00673D2E" w:rsidRDefault="00305284" w:rsidP="00305284">
      <w:r w:rsidRPr="00673D2E">
        <w:t xml:space="preserve">The targeted event targets to be a common platform for brining tour operators and VR technology companies in the UK to foster better adaptation of virtual tour services. A recent UK market study claims that market size for virtual reality headsets within the nation has exponentially increased from just </w:t>
      </w:r>
      <w:r w:rsidRPr="00673D2E">
        <w:rPr>
          <w:rFonts w:cs="Times New Roman"/>
        </w:rPr>
        <w:t>£</w:t>
      </w:r>
      <w:r w:rsidRPr="00673D2E">
        <w:t xml:space="preserve">50.4 million in 2018 to </w:t>
      </w:r>
      <w:r w:rsidRPr="00673D2E">
        <w:rPr>
          <w:rFonts w:cs="Times New Roman"/>
        </w:rPr>
        <w:t>£</w:t>
      </w:r>
      <w:r w:rsidRPr="00673D2E">
        <w:t xml:space="preserve">307.3 million by the end of 2023 (Lu et al., 2024). The market size is forecasted to further increase up to </w:t>
      </w:r>
      <w:r w:rsidRPr="00673D2E">
        <w:rPr>
          <w:rFonts w:cs="Times New Roman"/>
        </w:rPr>
        <w:t>£</w:t>
      </w:r>
      <w:r w:rsidRPr="00673D2E">
        <w:t xml:space="preserve">494.2 million by the end of 2028. Thus, it can be said that targeted technological aspect for tourism and hospitality industry </w:t>
      </w:r>
      <w:r w:rsidRPr="00673D2E">
        <w:lastRenderedPageBreak/>
        <w:t xml:space="preserve">also has high and growing supply condition within the targeted UK market (El-Said &amp; Aziz, 2022). </w:t>
      </w:r>
    </w:p>
    <w:p w14:paraId="6DF4AF44" w14:textId="77777777" w:rsidR="00305284" w:rsidRPr="00673D2E" w:rsidRDefault="00185A91" w:rsidP="007D5839">
      <w:r w:rsidRPr="00673D2E">
        <w:rPr>
          <w:noProof/>
          <w:lang w:eastAsia="en-GB"/>
        </w:rPr>
        <w:drawing>
          <wp:inline distT="0" distB="0" distL="0" distR="0" wp14:anchorId="351F4262" wp14:editId="0B427D3A">
            <wp:extent cx="6096635" cy="34296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5EF4B751" w14:textId="77777777" w:rsidR="00305284" w:rsidRPr="00673D2E" w:rsidRDefault="00305284" w:rsidP="00305284">
      <w:pPr>
        <w:pStyle w:val="Heading2"/>
        <w:rPr>
          <w:color w:val="auto"/>
        </w:rPr>
      </w:pPr>
      <w:bookmarkStart w:id="3" w:name="_Toc166000022"/>
      <w:r w:rsidRPr="00673D2E">
        <w:rPr>
          <w:color w:val="auto"/>
        </w:rPr>
        <w:t xml:space="preserve">Market Factors: Situational </w:t>
      </w:r>
      <w:r w:rsidR="00A452F9" w:rsidRPr="00673D2E">
        <w:rPr>
          <w:color w:val="auto"/>
        </w:rPr>
        <w:t xml:space="preserve">and Feasibility </w:t>
      </w:r>
      <w:r w:rsidRPr="00673D2E">
        <w:rPr>
          <w:color w:val="auto"/>
        </w:rPr>
        <w:t>Analysis</w:t>
      </w:r>
      <w:bookmarkEnd w:id="3"/>
      <w:r w:rsidRPr="00673D2E">
        <w:rPr>
          <w:color w:val="auto"/>
        </w:rPr>
        <w:t xml:space="preserve"> </w:t>
      </w:r>
    </w:p>
    <w:p w14:paraId="6D2982C1" w14:textId="77777777" w:rsidR="00305284" w:rsidRPr="00673D2E" w:rsidRDefault="00305284" w:rsidP="00305284">
      <w:r w:rsidRPr="00673D2E">
        <w:t xml:space="preserve">There are key changing trends and market conditions that contribute </w:t>
      </w:r>
      <w:proofErr w:type="gramStart"/>
      <w:r w:rsidRPr="00673D2E">
        <w:t>in</w:t>
      </w:r>
      <w:proofErr w:type="gramEnd"/>
      <w:r w:rsidRPr="00673D2E">
        <w:t xml:space="preserve"> the </w:t>
      </w:r>
      <w:r w:rsidR="00A452F9" w:rsidRPr="00673D2E">
        <w:t>feasibility and success potential</w:t>
      </w:r>
      <w:r w:rsidRPr="00673D2E">
        <w:t xml:space="preserve"> of the targeted event. </w:t>
      </w:r>
    </w:p>
    <w:p w14:paraId="6C8A0844" w14:textId="77777777" w:rsidR="00305284" w:rsidRPr="00673D2E" w:rsidRDefault="00305284" w:rsidP="00305284">
      <w:proofErr w:type="gramStart"/>
      <w:r w:rsidRPr="00673D2E">
        <w:t>First of all</w:t>
      </w:r>
      <w:proofErr w:type="gramEnd"/>
      <w:r w:rsidRPr="00673D2E">
        <w:t xml:space="preserve">, a recent UK market research shows that Virtual Reality has the most desired application in tourism related activities among almost 37% adult population within the nation (Yung et al., 2021). Thus, it can be said that demand from the tourism sector customers in the UK is paving the way for growing virtual tour and VR technology adaptation rate among tour operators and travel agencies. </w:t>
      </w:r>
      <w:r w:rsidR="00A452F9" w:rsidRPr="00673D2E">
        <w:t>Increment in demand condition for virtual tours is making the event feasible enough to attract the interest of tour operators as well as tourism sector customers</w:t>
      </w:r>
      <w:r w:rsidR="00BC6528" w:rsidRPr="00673D2E">
        <w:t xml:space="preserve"> (</w:t>
      </w:r>
      <w:proofErr w:type="spellStart"/>
      <w:r w:rsidR="00BC6528" w:rsidRPr="00673D2E">
        <w:t>Talafubieke</w:t>
      </w:r>
      <w:proofErr w:type="spellEnd"/>
      <w:r w:rsidR="00BC6528" w:rsidRPr="00673D2E">
        <w:t xml:space="preserve"> et al., 2021)</w:t>
      </w:r>
      <w:r w:rsidR="00A452F9" w:rsidRPr="00673D2E">
        <w:t xml:space="preserve">. </w:t>
      </w:r>
    </w:p>
    <w:p w14:paraId="066C171C" w14:textId="77777777" w:rsidR="00305284" w:rsidRPr="00673D2E" w:rsidRDefault="00305284" w:rsidP="00305284">
      <w:r w:rsidRPr="00673D2E">
        <w:lastRenderedPageBreak/>
        <w:t xml:space="preserve">Secondly, adult population penetration rate for independent online travel booking behaviour in the UK has increased from 28.4% in 2017 to 33.2% in 2023. Thus, growing trend of online travel booking makes virtual tour an added advantage for tour operators to gain the trust of customers through offering them with real time view of the destination, </w:t>
      </w:r>
      <w:proofErr w:type="gramStart"/>
      <w:r w:rsidRPr="00673D2E">
        <w:t>services</w:t>
      </w:r>
      <w:proofErr w:type="gramEnd"/>
      <w:r w:rsidRPr="00673D2E">
        <w:t xml:space="preserve"> and accommodation (</w:t>
      </w:r>
      <w:proofErr w:type="spellStart"/>
      <w:r w:rsidRPr="00673D2E">
        <w:t>Oncioiu</w:t>
      </w:r>
      <w:proofErr w:type="spellEnd"/>
      <w:r w:rsidRPr="00673D2E">
        <w:t xml:space="preserve"> &amp; </w:t>
      </w:r>
      <w:proofErr w:type="spellStart"/>
      <w:r w:rsidRPr="00673D2E">
        <w:t>Priescu</w:t>
      </w:r>
      <w:proofErr w:type="spellEnd"/>
      <w:r w:rsidRPr="00673D2E">
        <w:t xml:space="preserve">, 2022). </w:t>
      </w:r>
    </w:p>
    <w:p w14:paraId="7BBF5121" w14:textId="77777777" w:rsidR="00305284" w:rsidRPr="00673D2E" w:rsidRDefault="00305284" w:rsidP="00305284">
      <w:r w:rsidRPr="00673D2E">
        <w:t>Thirdly, Europe has been the most preferred holiday destination region for British travellers. However, in recent years popularity of European destinations has decreased among UK travellers due to BREXIT transition and changes in visa policies</w:t>
      </w:r>
      <w:r w:rsidR="00BC6528" w:rsidRPr="00673D2E">
        <w:t xml:space="preserve"> (Guttentag, 2022)</w:t>
      </w:r>
      <w:r w:rsidRPr="00673D2E">
        <w:t>. Thus, virtual tours could be valid factor for tour operators and travel agencies to diversify their services through showcasing real-time view of emerging destinations and facilities to customers through virtual reality</w:t>
      </w:r>
      <w:r w:rsidR="00BC6528" w:rsidRPr="00673D2E">
        <w:t xml:space="preserve"> (Rauscher, 2020)</w:t>
      </w:r>
      <w:r w:rsidRPr="00673D2E">
        <w:t xml:space="preserve">. </w:t>
      </w:r>
    </w:p>
    <w:p w14:paraId="75985586" w14:textId="77777777" w:rsidR="00305284" w:rsidRPr="00673D2E" w:rsidRDefault="00185A91" w:rsidP="00305284">
      <w:r w:rsidRPr="00673D2E">
        <w:rPr>
          <w:noProof/>
          <w:lang w:eastAsia="en-GB"/>
        </w:rPr>
        <w:drawing>
          <wp:inline distT="0" distB="0" distL="0" distR="0" wp14:anchorId="10CAC276" wp14:editId="4D92D8AC">
            <wp:extent cx="6096635" cy="34296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7015DD4E" w14:textId="77777777" w:rsidR="00305284" w:rsidRPr="00673D2E" w:rsidRDefault="00305284" w:rsidP="00305284">
      <w:pPr>
        <w:pStyle w:val="Heading2"/>
        <w:rPr>
          <w:color w:val="auto"/>
        </w:rPr>
      </w:pPr>
      <w:bookmarkStart w:id="4" w:name="_Toc166000023"/>
      <w:r w:rsidRPr="00673D2E">
        <w:rPr>
          <w:color w:val="auto"/>
        </w:rPr>
        <w:lastRenderedPageBreak/>
        <w:t>Operation Factors: Event Concept and Aim</w:t>
      </w:r>
      <w:bookmarkEnd w:id="4"/>
      <w:r w:rsidRPr="00673D2E">
        <w:rPr>
          <w:color w:val="auto"/>
        </w:rPr>
        <w:t xml:space="preserve"> </w:t>
      </w:r>
    </w:p>
    <w:p w14:paraId="11D7DB45" w14:textId="77777777" w:rsidR="00305284" w:rsidRPr="00673D2E" w:rsidRDefault="00305284" w:rsidP="00305284">
      <w:r w:rsidRPr="00673D2E">
        <w:t xml:space="preserve">Due to BREXIT transition and changing visa policies, visiting interest of British travellers to European destinations has drastically reduced in recent years (El-Said &amp; Aziz, 2022). </w:t>
      </w:r>
      <w:proofErr w:type="gramStart"/>
      <w:r w:rsidRPr="00673D2E">
        <w:t>As a consequence</w:t>
      </w:r>
      <w:proofErr w:type="gramEnd"/>
      <w:r w:rsidRPr="00673D2E">
        <w:t>, independent tour operators and travel agencies are facing productivity challenges. In case of promoting emerging destinations outside Europe, gaining customer trust becomes a challenging factor for tourism and hospitality businesses (Yung et al., 2021). Hence, this event tries to promote the concept of virtual tour so that independent tour operators could gain the trust of customers for newer emerging and uncommon destination and associated hospitality facilities through giving them with a real time service overview with virtual reality technology (Loureiro, 2020). The ways in which virtual reality technology could be used for better service overview and promotion to tourism and hospitality industry customers is the key area of discussion for this event</w:t>
      </w:r>
      <w:r w:rsidR="00BC6528" w:rsidRPr="00673D2E">
        <w:t xml:space="preserve"> (</w:t>
      </w:r>
      <w:proofErr w:type="spellStart"/>
      <w:r w:rsidR="00BC6528" w:rsidRPr="00673D2E">
        <w:t>Disimulacion</w:t>
      </w:r>
      <w:proofErr w:type="spellEnd"/>
      <w:r w:rsidR="00BC6528" w:rsidRPr="00673D2E">
        <w:t>, 2020)</w:t>
      </w:r>
      <w:r w:rsidRPr="00673D2E">
        <w:t xml:space="preserve">. </w:t>
      </w:r>
    </w:p>
    <w:p w14:paraId="2103A921" w14:textId="77777777" w:rsidR="00305284" w:rsidRPr="00673D2E" w:rsidRDefault="00185A91" w:rsidP="00305284">
      <w:r w:rsidRPr="00673D2E">
        <w:rPr>
          <w:noProof/>
          <w:lang w:eastAsia="en-GB"/>
        </w:rPr>
        <w:drawing>
          <wp:inline distT="0" distB="0" distL="0" distR="0" wp14:anchorId="158F13FB" wp14:editId="2CFE4154">
            <wp:extent cx="6096635" cy="34296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247C2045" w14:textId="77777777" w:rsidR="00305284" w:rsidRPr="00673D2E" w:rsidRDefault="00305284" w:rsidP="00305284">
      <w:pPr>
        <w:pStyle w:val="Heading2"/>
        <w:rPr>
          <w:color w:val="auto"/>
        </w:rPr>
      </w:pPr>
      <w:bookmarkStart w:id="5" w:name="_Toc166000024"/>
      <w:r w:rsidRPr="00673D2E">
        <w:rPr>
          <w:color w:val="auto"/>
        </w:rPr>
        <w:lastRenderedPageBreak/>
        <w:t>Operation Factors: Venue and Event Overview</w:t>
      </w:r>
      <w:bookmarkEnd w:id="5"/>
      <w:r w:rsidRPr="00673D2E">
        <w:rPr>
          <w:color w:val="auto"/>
        </w:rPr>
        <w:t xml:space="preserve"> </w:t>
      </w:r>
    </w:p>
    <w:p w14:paraId="48EEC345" w14:textId="77777777" w:rsidR="00305284" w:rsidRPr="00673D2E" w:rsidRDefault="00305284" w:rsidP="00305284">
      <w:r w:rsidRPr="00673D2E">
        <w:t>The selected venue for the event is 41 Portland Place which is one of the most conveniently accessible event venues in Central London region. Alongside being the host to headquarters of most of the leading tour operator brands, London is also common location to the largest number of independent tour operators and travel agencies within the UK (</w:t>
      </w:r>
      <w:proofErr w:type="spellStart"/>
      <w:r w:rsidRPr="00673D2E">
        <w:t>Oncioiu</w:t>
      </w:r>
      <w:proofErr w:type="spellEnd"/>
      <w:r w:rsidRPr="00673D2E">
        <w:t xml:space="preserve"> &amp; </w:t>
      </w:r>
      <w:proofErr w:type="spellStart"/>
      <w:r w:rsidRPr="00673D2E">
        <w:t>Priescu</w:t>
      </w:r>
      <w:proofErr w:type="spellEnd"/>
      <w:r w:rsidRPr="00673D2E">
        <w:t xml:space="preserve">, 2022). Thus, selection of 41 Portland Place as event venue will ensure the event to get greater degree of response from the primary target audience. The key aspect of the event is virtual reality </w:t>
      </w:r>
      <w:proofErr w:type="gramStart"/>
      <w:r w:rsidRPr="00673D2E">
        <w:t>headset based</w:t>
      </w:r>
      <w:proofErr w:type="gramEnd"/>
      <w:r w:rsidRPr="00673D2E">
        <w:t xml:space="preserve"> presentation of uncommon foreign destinations for promoting the potential of virtual tour services (Loureiro et al., 2020). The attendee SME tour operators will be provided with real time glimpse of virtual tour experience so that their adaptation interest can be triggered</w:t>
      </w:r>
      <w:r w:rsidR="00BC6528" w:rsidRPr="00673D2E">
        <w:t xml:space="preserve"> (Anas et al., 2020)</w:t>
      </w:r>
      <w:r w:rsidRPr="00673D2E">
        <w:t xml:space="preserve">. The event will also have dedicated session of video conference among attendee tour operators, foreign hospitality business and VR tech experts so that holistic adaptation benefits, costs and plan can be discussed (Yung et al., 2021). </w:t>
      </w:r>
    </w:p>
    <w:p w14:paraId="0AC5FD7E" w14:textId="77777777" w:rsidR="00305284" w:rsidRPr="00673D2E" w:rsidRDefault="00185A91" w:rsidP="00305284">
      <w:r w:rsidRPr="00673D2E">
        <w:rPr>
          <w:noProof/>
          <w:lang w:eastAsia="en-GB"/>
        </w:rPr>
        <w:drawing>
          <wp:inline distT="0" distB="0" distL="0" distR="0" wp14:anchorId="311CEF62" wp14:editId="3E186176">
            <wp:extent cx="6096635" cy="34296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689A92ED" w14:textId="77777777" w:rsidR="00305284" w:rsidRPr="00673D2E" w:rsidRDefault="00305284" w:rsidP="00305284">
      <w:pPr>
        <w:pStyle w:val="Heading2"/>
        <w:rPr>
          <w:color w:val="auto"/>
        </w:rPr>
      </w:pPr>
      <w:bookmarkStart w:id="6" w:name="_Toc166000025"/>
      <w:r w:rsidRPr="00673D2E">
        <w:rPr>
          <w:color w:val="auto"/>
        </w:rPr>
        <w:lastRenderedPageBreak/>
        <w:t>Operation Factors: Key Skills and Venue Suitability</w:t>
      </w:r>
      <w:bookmarkEnd w:id="6"/>
      <w:r w:rsidRPr="00673D2E">
        <w:rPr>
          <w:color w:val="auto"/>
        </w:rPr>
        <w:t xml:space="preserve"> </w:t>
      </w:r>
    </w:p>
    <w:p w14:paraId="0D038B3B" w14:textId="77777777" w:rsidR="00305284" w:rsidRPr="00673D2E" w:rsidRDefault="00305284" w:rsidP="00305284">
      <w:r w:rsidRPr="00673D2E">
        <w:t>The key reasons making 41Portland Place an ideal venue for the target event has been shown through the above slide. T</w:t>
      </w:r>
      <w:r w:rsidR="00A452F9" w:rsidRPr="00673D2E">
        <w:t>h</w:t>
      </w:r>
      <w:r w:rsidRPr="00673D2E">
        <w:t xml:space="preserve">e event manger and management team </w:t>
      </w:r>
      <w:proofErr w:type="gramStart"/>
      <w:r w:rsidRPr="00673D2E">
        <w:t>needs</w:t>
      </w:r>
      <w:proofErr w:type="gramEnd"/>
      <w:r w:rsidRPr="00673D2E">
        <w:t xml:space="preserve"> a wide range of skills for ensuring optimum successfulness. In case of the event manager, strong leadership and management skill is highly needed to ensure quality supervision of the event management team</w:t>
      </w:r>
      <w:r w:rsidR="00BC6528" w:rsidRPr="00673D2E">
        <w:t xml:space="preserve"> (Jeong &amp; Kim, 2020)</w:t>
      </w:r>
      <w:r w:rsidRPr="00673D2E">
        <w:t xml:space="preserve">. Strong planning and strategic thinking skills are also highly needed not only to develop a feasible and realistic event organisation plan but also to minimise challenges as well (Fox et al., 2014). The event manager also needs to have good time management skill for monitoring progress and meeting event activity deadlines on time (Meredith, 2022). Members of the event management team needs to commonly have strong communication skill for explaining the event importance to target audience and get them to register (Getz &amp; Page, 2019). Strong coordination and team working skills are also needed for synchronised execution of the event plan. </w:t>
      </w:r>
    </w:p>
    <w:p w14:paraId="5C0116F2" w14:textId="77777777" w:rsidR="00305284" w:rsidRPr="00673D2E" w:rsidRDefault="00185A91" w:rsidP="00B55034">
      <w:r w:rsidRPr="00673D2E">
        <w:rPr>
          <w:noProof/>
          <w:lang w:eastAsia="en-GB"/>
        </w:rPr>
        <w:drawing>
          <wp:inline distT="0" distB="0" distL="0" distR="0" wp14:anchorId="485FC40F" wp14:editId="1CF14546">
            <wp:extent cx="6096635" cy="342963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30DA2AD1" w14:textId="77777777" w:rsidR="00305284" w:rsidRPr="00673D2E" w:rsidRDefault="00305284" w:rsidP="00305284">
      <w:pPr>
        <w:pStyle w:val="Heading2"/>
        <w:rPr>
          <w:color w:val="auto"/>
        </w:rPr>
      </w:pPr>
      <w:bookmarkStart w:id="7" w:name="_Toc166000026"/>
      <w:r w:rsidRPr="00673D2E">
        <w:rPr>
          <w:color w:val="auto"/>
        </w:rPr>
        <w:lastRenderedPageBreak/>
        <w:t>Operation Factors: Key Event Stakeholders</w:t>
      </w:r>
      <w:bookmarkEnd w:id="7"/>
      <w:r w:rsidRPr="00673D2E">
        <w:rPr>
          <w:color w:val="auto"/>
        </w:rPr>
        <w:t xml:space="preserve"> </w:t>
      </w:r>
    </w:p>
    <w:p w14:paraId="3CA952CB" w14:textId="77777777" w:rsidR="00305284" w:rsidRPr="00673D2E" w:rsidRDefault="00305284" w:rsidP="00305284">
      <w:r w:rsidRPr="00673D2E">
        <w:t>This part of the presentation sheds light on the five key stakeholders and their key roles towards successfulness of the event as well. Interested and valid number of attendees is the most important stakeholder category for an event (Fox et al., 2014). Thus, independent tour operator and travel agencies from London and surrounding regions are the main stakeholder category as the target audience to the event</w:t>
      </w:r>
      <w:r w:rsidR="00BC6528" w:rsidRPr="00673D2E">
        <w:t xml:space="preserve"> (Verma et al., 2022)</w:t>
      </w:r>
      <w:r w:rsidRPr="00673D2E">
        <w:t xml:space="preserve">. VR Tech partner will be the main sponsor to promote their services through the event to potential tour operators and travel agencies as customers (Getz &amp; Page, 2019). The tech partner of the event will also facilitate tech dependent operations through supplying relevant setups including VR headphones, video conference screen, auditorium setup, etc (Meredith, 2022). The event manager will be the primary </w:t>
      </w:r>
      <w:proofErr w:type="gramStart"/>
      <w:r w:rsidRPr="00673D2E">
        <w:t>decision making</w:t>
      </w:r>
      <w:proofErr w:type="gramEnd"/>
      <w:r w:rsidRPr="00673D2E">
        <w:t xml:space="preserve"> authority in the event management process. Making optimum use of the event fund to make it profitable and providing quality supervision to the event management team will be the key role of the event manager (Fox et al., 2014). Alongside coordination event activities and guest onboarding, the event management team will play valid role to promote the event to the target audience and gather valid number of attendees. The venue workforce will also be a key stakeholder category for managing guest satisfaction with food, </w:t>
      </w:r>
      <w:proofErr w:type="gramStart"/>
      <w:r w:rsidRPr="00673D2E">
        <w:t>hygiene</w:t>
      </w:r>
      <w:proofErr w:type="gramEnd"/>
      <w:r w:rsidRPr="00673D2E">
        <w:t xml:space="preserve"> and hospitality</w:t>
      </w:r>
      <w:r w:rsidR="00BC6528" w:rsidRPr="00673D2E">
        <w:t xml:space="preserve"> (</w:t>
      </w:r>
      <w:proofErr w:type="spellStart"/>
      <w:r w:rsidR="00BC6528" w:rsidRPr="00673D2E">
        <w:t>Godovykh</w:t>
      </w:r>
      <w:proofErr w:type="spellEnd"/>
      <w:r w:rsidR="00BC6528" w:rsidRPr="00673D2E">
        <w:t xml:space="preserve"> et al., 2022)</w:t>
      </w:r>
      <w:r w:rsidRPr="00673D2E">
        <w:t xml:space="preserve">. </w:t>
      </w:r>
    </w:p>
    <w:p w14:paraId="46D9F86F" w14:textId="77777777" w:rsidR="00305284" w:rsidRPr="00673D2E" w:rsidRDefault="00185A91" w:rsidP="00305284">
      <w:r w:rsidRPr="00673D2E">
        <w:rPr>
          <w:noProof/>
          <w:lang w:eastAsia="en-GB"/>
        </w:rPr>
        <w:lastRenderedPageBreak/>
        <w:drawing>
          <wp:inline distT="0" distB="0" distL="0" distR="0" wp14:anchorId="6EFB4F64" wp14:editId="3A219BAD">
            <wp:extent cx="6096635" cy="34296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331C8720" w14:textId="77777777" w:rsidR="00185A91" w:rsidRPr="00673D2E" w:rsidRDefault="00185A91" w:rsidP="007D2340">
      <w:pPr>
        <w:pStyle w:val="Heading1"/>
        <w:rPr>
          <w:color w:val="auto"/>
        </w:rPr>
      </w:pPr>
      <w:bookmarkStart w:id="8" w:name="_Toc166000027"/>
      <w:r w:rsidRPr="00673D2E">
        <w:rPr>
          <w:color w:val="auto"/>
        </w:rPr>
        <w:t>Financial Feasibility: Sponsorship, Resources and Expenditure</w:t>
      </w:r>
      <w:bookmarkEnd w:id="8"/>
    </w:p>
    <w:p w14:paraId="6878B76E" w14:textId="77777777" w:rsidR="00305284" w:rsidRPr="00673D2E" w:rsidRDefault="00305284" w:rsidP="00185A91">
      <w:r w:rsidRPr="00673D2E">
        <w:t xml:space="preserve">The VR tech partner of the event will be the main sponsor as there will be potential commercial benefits to gain customers in the form of interested tour operators and travel agencies to adopt virtual tour services (Fox et al., 2014). It </w:t>
      </w:r>
      <w:proofErr w:type="gramStart"/>
      <w:r w:rsidRPr="00673D2E">
        <w:t>has to</w:t>
      </w:r>
      <w:proofErr w:type="gramEnd"/>
      <w:r w:rsidRPr="00673D2E">
        <w:t xml:space="preserve"> be mentioned that sponsorship by the VR technology partner will be the main source of funding to the event. Other funding sources that can be accessed for additional cost requirement are short-term loans, corporate or angel investors, etc</w:t>
      </w:r>
      <w:r w:rsidR="00BC6528" w:rsidRPr="00673D2E">
        <w:t xml:space="preserve"> (Walters et al., 2024)</w:t>
      </w:r>
      <w:r w:rsidRPr="00673D2E">
        <w:t xml:space="preserve">. Key resource needed for the event mainly include VR headsets, video conference setup, </w:t>
      </w:r>
      <w:proofErr w:type="gramStart"/>
      <w:r w:rsidRPr="00673D2E">
        <w:t>food</w:t>
      </w:r>
      <w:proofErr w:type="gramEnd"/>
      <w:r w:rsidRPr="00673D2E">
        <w:t xml:space="preserve"> and disposable cutleries, etc (Rogers &amp; Wynn-Moylan, 2022). </w:t>
      </w:r>
      <w:r w:rsidR="001F27B4" w:rsidRPr="00673D2E">
        <w:t>Detailed</w:t>
      </w:r>
      <w:r w:rsidRPr="00673D2E">
        <w:t xml:space="preserve"> financial projection for the event has been shown on the above slide. </w:t>
      </w:r>
      <w:r w:rsidR="00A452F9" w:rsidRPr="00673D2E">
        <w:t xml:space="preserve">Discussions in this part of the presentation also strongly justify the financial feasibility of the planned event. </w:t>
      </w:r>
    </w:p>
    <w:p w14:paraId="7A21EADF" w14:textId="77777777" w:rsidR="00305284" w:rsidRPr="00673D2E" w:rsidRDefault="00185A91" w:rsidP="00B55034">
      <w:r w:rsidRPr="00673D2E">
        <w:rPr>
          <w:noProof/>
          <w:lang w:eastAsia="en-GB"/>
        </w:rPr>
        <w:lastRenderedPageBreak/>
        <w:drawing>
          <wp:inline distT="0" distB="0" distL="0" distR="0" wp14:anchorId="365E0880" wp14:editId="5078E95F">
            <wp:extent cx="6096635" cy="342963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23C6D25" w14:textId="77777777" w:rsidR="00305284" w:rsidRPr="00673D2E" w:rsidRDefault="00305284" w:rsidP="00305284">
      <w:pPr>
        <w:pStyle w:val="Heading2"/>
        <w:rPr>
          <w:color w:val="auto"/>
        </w:rPr>
      </w:pPr>
      <w:bookmarkStart w:id="9" w:name="_Toc166000028"/>
      <w:r w:rsidRPr="00673D2E">
        <w:rPr>
          <w:color w:val="auto"/>
        </w:rPr>
        <w:t>Conclusion</w:t>
      </w:r>
      <w:bookmarkEnd w:id="9"/>
      <w:r w:rsidRPr="00673D2E">
        <w:rPr>
          <w:color w:val="auto"/>
        </w:rPr>
        <w:t xml:space="preserve"> </w:t>
      </w:r>
    </w:p>
    <w:p w14:paraId="6333C8EE" w14:textId="77777777" w:rsidR="00305284" w:rsidRPr="00673D2E" w:rsidRDefault="00305284" w:rsidP="00305284">
      <w:r w:rsidRPr="00673D2E">
        <w:t>The planned event in this presentation could play vital role for fostering adaptation of virtual reality technology in tourism industry.</w:t>
      </w:r>
      <w:r w:rsidR="00A452F9" w:rsidRPr="00673D2E">
        <w:t xml:space="preserve"> It has to be mentioned that short duration, </w:t>
      </w:r>
      <w:proofErr w:type="gramStart"/>
      <w:r w:rsidR="00A452F9" w:rsidRPr="00673D2E">
        <w:t>low cost</w:t>
      </w:r>
      <w:proofErr w:type="gramEnd"/>
      <w:r w:rsidR="00A452F9" w:rsidRPr="00673D2E">
        <w:t xml:space="preserve"> planning and viable financial projections makes this event highly feasible to have lasting impacts on the growth of virtual tourism trend in the UK.</w:t>
      </w:r>
      <w:r w:rsidRPr="00673D2E">
        <w:t xml:space="preserve"> It could suggest cost effective approaches for virtual tour facilities in SME tour operators and travel agencies in the UK. </w:t>
      </w:r>
      <w:proofErr w:type="gramStart"/>
      <w:r w:rsidRPr="00673D2E">
        <w:t>As a consequence</w:t>
      </w:r>
      <w:proofErr w:type="gramEnd"/>
      <w:r w:rsidRPr="00673D2E">
        <w:t xml:space="preserve">, the outcome of this event could be beneficial for holistic improvement of overall tourism industry and customer experience through technological innovation with virtual reality.  </w:t>
      </w:r>
    </w:p>
    <w:p w14:paraId="54B03DE9" w14:textId="77777777" w:rsidR="00305284" w:rsidRPr="00673D2E" w:rsidRDefault="00BC6528" w:rsidP="00305284">
      <w:r w:rsidRPr="00673D2E">
        <w:rPr>
          <w:noProof/>
          <w:lang w:eastAsia="en-GB"/>
        </w:rPr>
        <w:lastRenderedPageBreak/>
        <w:drawing>
          <wp:inline distT="0" distB="0" distL="0" distR="0" wp14:anchorId="499DB74E" wp14:editId="428E045A">
            <wp:extent cx="6096000" cy="3429000"/>
            <wp:effectExtent l="19050" t="0" r="0" b="0"/>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srcRect/>
                    <a:stretch>
                      <a:fillRect/>
                    </a:stretch>
                  </pic:blipFill>
                  <pic:spPr bwMode="auto">
                    <a:xfrm>
                      <a:off x="0" y="0"/>
                      <a:ext cx="6096000" cy="3429000"/>
                    </a:xfrm>
                    <a:prstGeom prst="rect">
                      <a:avLst/>
                    </a:prstGeom>
                    <a:noFill/>
                  </pic:spPr>
                </pic:pic>
              </a:graphicData>
            </a:graphic>
          </wp:inline>
        </w:drawing>
      </w:r>
    </w:p>
    <w:p w14:paraId="0843F042" w14:textId="7AABE5A4" w:rsidR="00305284" w:rsidRPr="00673D2E" w:rsidRDefault="00305284" w:rsidP="00305284">
      <w:pPr>
        <w:pStyle w:val="Heading2"/>
        <w:rPr>
          <w:color w:val="auto"/>
        </w:rPr>
      </w:pPr>
      <w:bookmarkStart w:id="10" w:name="_Toc166000029"/>
      <w:r w:rsidRPr="00673D2E">
        <w:rPr>
          <w:color w:val="auto"/>
        </w:rPr>
        <w:t>Reference</w:t>
      </w:r>
      <w:bookmarkEnd w:id="10"/>
      <w:r w:rsidRPr="00673D2E">
        <w:rPr>
          <w:color w:val="auto"/>
        </w:rPr>
        <w:t xml:space="preserve"> </w:t>
      </w:r>
      <w:r w:rsidR="00AE488A">
        <w:rPr>
          <w:color w:val="auto"/>
        </w:rPr>
        <w:t>List:</w:t>
      </w:r>
    </w:p>
    <w:p w14:paraId="3164DAEF" w14:textId="77777777" w:rsidR="00BC6528" w:rsidRPr="00673D2E" w:rsidRDefault="00BC6528" w:rsidP="00D02805">
      <w:r w:rsidRPr="00673D2E">
        <w:t xml:space="preserve">Anas, M. S., </w:t>
      </w:r>
      <w:proofErr w:type="spellStart"/>
      <w:r w:rsidRPr="00673D2E">
        <w:t>Maddiah</w:t>
      </w:r>
      <w:proofErr w:type="spellEnd"/>
      <w:r w:rsidRPr="00673D2E">
        <w:t xml:space="preserve">, N. A., Noor </w:t>
      </w:r>
      <w:proofErr w:type="spellStart"/>
      <w:r w:rsidRPr="00673D2E">
        <w:t>Eizamly</w:t>
      </w:r>
      <w:proofErr w:type="spellEnd"/>
      <w:r w:rsidRPr="00673D2E">
        <w:t>, N. U. E., Sulaiman, N. A., &amp; Wee, H. (2020). Key success factors toward MICE industry: A systematic literature review. Journal of Tourism, Hospitality &amp; Culinary Arts (JTHCA), 12(1), 1-34.</w:t>
      </w:r>
    </w:p>
    <w:p w14:paraId="052FDD31" w14:textId="77777777" w:rsidR="00BC6528" w:rsidRPr="00673D2E" w:rsidRDefault="00BC6528" w:rsidP="00D02805">
      <w:r w:rsidRPr="00673D2E">
        <w:t>Baran, Z., &amp; Baran, H. (2022). The future of digital tourism alternatives in virtual reality. In Handbook of Research on Digital communications, internet of things, and the future of cultural tourism (pp. 58-84). IGI Global.</w:t>
      </w:r>
    </w:p>
    <w:p w14:paraId="18455687" w14:textId="77777777" w:rsidR="00BC6528" w:rsidRPr="00673D2E" w:rsidRDefault="00BC6528" w:rsidP="00D02805">
      <w:proofErr w:type="spellStart"/>
      <w:r w:rsidRPr="00673D2E">
        <w:t>Disimulacion</w:t>
      </w:r>
      <w:proofErr w:type="spellEnd"/>
      <w:r w:rsidRPr="00673D2E">
        <w:t>, M. A. T. (2020). MICE tourism during Covid-19 and future directions for the new normal. Asia Pacific International Events Management Journal, 1(2), 11-17.</w:t>
      </w:r>
    </w:p>
    <w:p w14:paraId="37153596" w14:textId="77777777" w:rsidR="00BC6528" w:rsidRPr="00673D2E" w:rsidRDefault="00BC6528" w:rsidP="00305284">
      <w:r w:rsidRPr="00673D2E">
        <w:t>El-Said, O., &amp; Aziz, H. (2022). Virtual tours a means to an end: An analysis of virtual tours’ role in tourism recovery post COVID-19. Journal of Travel Research, 61(3), 528-548.</w:t>
      </w:r>
    </w:p>
    <w:p w14:paraId="43B58C57" w14:textId="77777777" w:rsidR="00BC6528" w:rsidRPr="00673D2E" w:rsidRDefault="00BC6528" w:rsidP="00305284">
      <w:r w:rsidRPr="00673D2E">
        <w:lastRenderedPageBreak/>
        <w:t>Fox, D. et al. (2014) Doing events research: from theory to practice. Routledge: Oxford</w:t>
      </w:r>
    </w:p>
    <w:p w14:paraId="26D5BF12" w14:textId="77777777" w:rsidR="00BC6528" w:rsidRPr="00673D2E" w:rsidRDefault="00BC6528" w:rsidP="00305284">
      <w:r w:rsidRPr="00673D2E">
        <w:t xml:space="preserve">Getz, D. &amp; Page, S. (2019) Event studies: theory, </w:t>
      </w:r>
      <w:proofErr w:type="gramStart"/>
      <w:r w:rsidRPr="00673D2E">
        <w:t>research</w:t>
      </w:r>
      <w:proofErr w:type="gramEnd"/>
      <w:r w:rsidRPr="00673D2E">
        <w:t xml:space="preserve"> and policy for planned events. 3rd Edition. Routledge: Oxford</w:t>
      </w:r>
    </w:p>
    <w:p w14:paraId="710FEABB" w14:textId="77777777" w:rsidR="00BC6528" w:rsidRPr="00673D2E" w:rsidRDefault="00BC6528" w:rsidP="00D02805">
      <w:proofErr w:type="spellStart"/>
      <w:r w:rsidRPr="00673D2E">
        <w:t>Godovykh</w:t>
      </w:r>
      <w:proofErr w:type="spellEnd"/>
      <w:r w:rsidRPr="00673D2E">
        <w:t>, M., Baker, C., &amp; Fyall, A. (2022). VR in tourism: A new call for virtual tourism experience amid and after the COVID-19 pandemic. Tourism and Hospitality, 3(1), 265-275.</w:t>
      </w:r>
    </w:p>
    <w:p w14:paraId="0AACF5EF" w14:textId="77777777" w:rsidR="00BC6528" w:rsidRPr="00673D2E" w:rsidRDefault="00BC6528" w:rsidP="00D02805">
      <w:r w:rsidRPr="00673D2E">
        <w:t>Guttentag, D. (2022). Virtual reality and the end of tourism? A substitution acceptance model. In Handbook of e-Tourism (pp. 1901-1919). Cham: Springer International Publishing.</w:t>
      </w:r>
    </w:p>
    <w:p w14:paraId="286377D1" w14:textId="77777777" w:rsidR="00BC6528" w:rsidRPr="00673D2E" w:rsidRDefault="00BC6528" w:rsidP="00D02805">
      <w:r w:rsidRPr="00673D2E">
        <w:t>Jeong, Y., &amp; Kim, S. (2020). A study of event quality, destination image, perceived value, tourist satisfaction, and destination loyalty among sport tourists. Asia Pacific Journal of Marketing and Logistics, 32(4), 940-960.</w:t>
      </w:r>
    </w:p>
    <w:p w14:paraId="0AF843ED" w14:textId="77777777" w:rsidR="00BC6528" w:rsidRPr="00673D2E" w:rsidRDefault="00BC6528" w:rsidP="00305284">
      <w:r w:rsidRPr="00673D2E">
        <w:t xml:space="preserve">Loureiro, S. M. C. (2020). Virtual reality, augmented </w:t>
      </w:r>
      <w:proofErr w:type="gramStart"/>
      <w:r w:rsidRPr="00673D2E">
        <w:t>reality</w:t>
      </w:r>
      <w:proofErr w:type="gramEnd"/>
      <w:r w:rsidRPr="00673D2E">
        <w:t xml:space="preserve"> and tourism experience. The Routledge handbook of tourism experience management and marketing, 439-452.</w:t>
      </w:r>
    </w:p>
    <w:p w14:paraId="71529B02" w14:textId="77777777" w:rsidR="00BC6528" w:rsidRPr="00673D2E" w:rsidRDefault="00BC6528" w:rsidP="00305284">
      <w:r w:rsidRPr="00673D2E">
        <w:t>Loureiro, S. M. C., Guerreiro, J., &amp; Ali, F. (2020). 20 years of research on virtual reality and augmented reality in tourism context: A text-mining approach. Tourism management, 77, 104028.</w:t>
      </w:r>
    </w:p>
    <w:p w14:paraId="0911999C" w14:textId="77777777" w:rsidR="00BC6528" w:rsidRPr="00673D2E" w:rsidRDefault="00BC6528" w:rsidP="00305284">
      <w:r w:rsidRPr="00673D2E">
        <w:t>Lu, J., Xiao, X., Xu, Z., Wang, C., Zhang, M., &amp; Zhou, Y. (2024). The potential of virtual tourism in the recovery of tourism industry during the COVID-19 pandemic. Current Issues in Tourism, 25(3), 441-457.</w:t>
      </w:r>
    </w:p>
    <w:p w14:paraId="033EAF25" w14:textId="77777777" w:rsidR="00BC6528" w:rsidRPr="00673D2E" w:rsidRDefault="00BC6528" w:rsidP="00305284">
      <w:r w:rsidRPr="00673D2E">
        <w:t>Meredith, J. (2022) Project management: a managerial approach</w:t>
      </w:r>
    </w:p>
    <w:p w14:paraId="16D1DE22" w14:textId="77777777" w:rsidR="00BC6528" w:rsidRPr="00673D2E" w:rsidRDefault="00BC6528" w:rsidP="00305284">
      <w:proofErr w:type="spellStart"/>
      <w:r w:rsidRPr="00673D2E">
        <w:lastRenderedPageBreak/>
        <w:t>Oncioiu</w:t>
      </w:r>
      <w:proofErr w:type="spellEnd"/>
      <w:r w:rsidRPr="00673D2E">
        <w:t xml:space="preserve">, I., &amp; </w:t>
      </w:r>
      <w:proofErr w:type="spellStart"/>
      <w:r w:rsidRPr="00673D2E">
        <w:t>Priescu</w:t>
      </w:r>
      <w:proofErr w:type="spellEnd"/>
      <w:r w:rsidRPr="00673D2E">
        <w:t xml:space="preserve">, I. (2022). The use of virtual reality in tourism destinations as a tool to develop tourist </w:t>
      </w:r>
      <w:proofErr w:type="spellStart"/>
      <w:r w:rsidRPr="00673D2E">
        <w:t>behavior</w:t>
      </w:r>
      <w:proofErr w:type="spellEnd"/>
      <w:r w:rsidRPr="00673D2E">
        <w:t xml:space="preserve"> perspective. Sustainability, 14(7), 4191.</w:t>
      </w:r>
    </w:p>
    <w:p w14:paraId="0C4380F8" w14:textId="77777777" w:rsidR="00BC6528" w:rsidRPr="00673D2E" w:rsidRDefault="00BC6528" w:rsidP="00305284">
      <w:r w:rsidRPr="00673D2E">
        <w:t>Rauscher, M. (2020). Virtual reality in tourism: is it ‘</w:t>
      </w:r>
      <w:proofErr w:type="spellStart"/>
      <w:proofErr w:type="gramStart"/>
      <w:r w:rsidRPr="00673D2E">
        <w:t>real’enough</w:t>
      </w:r>
      <w:proofErr w:type="spellEnd"/>
      <w:r w:rsidRPr="00673D2E">
        <w:t>?.</w:t>
      </w:r>
      <w:proofErr w:type="gramEnd"/>
      <w:r w:rsidRPr="00673D2E">
        <w:t xml:space="preserve"> Academica </w:t>
      </w:r>
      <w:proofErr w:type="spellStart"/>
      <w:r w:rsidRPr="00673D2E">
        <w:t>Turistica</w:t>
      </w:r>
      <w:proofErr w:type="spellEnd"/>
      <w:r w:rsidRPr="00673D2E">
        <w:t>-Tourism and Innovation Journal, 13(2).</w:t>
      </w:r>
    </w:p>
    <w:p w14:paraId="14B76092" w14:textId="77777777" w:rsidR="00BC6528" w:rsidRPr="00673D2E" w:rsidRDefault="00BC6528" w:rsidP="00305284">
      <w:r w:rsidRPr="00673D2E">
        <w:t>Rogers, T. &amp; Wynn-Moylan, P (2022) Conferences and conventions: a global industry. 4th Edition. Routledge: Oxford</w:t>
      </w:r>
    </w:p>
    <w:p w14:paraId="5A007689" w14:textId="77777777" w:rsidR="00BC6528" w:rsidRPr="00673D2E" w:rsidRDefault="00BC6528" w:rsidP="00D02805">
      <w:proofErr w:type="spellStart"/>
      <w:r w:rsidRPr="00673D2E">
        <w:t>Talafubieke</w:t>
      </w:r>
      <w:proofErr w:type="spellEnd"/>
      <w:r w:rsidRPr="00673D2E">
        <w:t xml:space="preserve">, M., Mai, S., &amp; </w:t>
      </w:r>
      <w:proofErr w:type="spellStart"/>
      <w:r w:rsidRPr="00673D2E">
        <w:t>Xialifuhan</w:t>
      </w:r>
      <w:proofErr w:type="spellEnd"/>
      <w:r w:rsidRPr="00673D2E">
        <w:t>, N. (2021). Evaluation of the virtual economic effect of tourism product emotional marketing based on virtual reality. Frontiers in Psychology, 12, 759268.</w:t>
      </w:r>
    </w:p>
    <w:p w14:paraId="5ED05A22" w14:textId="77777777" w:rsidR="00BC6528" w:rsidRPr="00673D2E" w:rsidRDefault="00BC6528" w:rsidP="00D02805">
      <w:r w:rsidRPr="00673D2E">
        <w:t>Verma, S., Warrier, L., Bolia, B., &amp; Mehta, S. (2022). Past, present, and future of virtual tourism-a literature review. International Journal of Information Management Data Insights, 2(2), 100085.</w:t>
      </w:r>
    </w:p>
    <w:p w14:paraId="7A1EA78F" w14:textId="77777777" w:rsidR="00BC6528" w:rsidRPr="00673D2E" w:rsidRDefault="00BC6528" w:rsidP="00D02805">
      <w:r w:rsidRPr="00673D2E">
        <w:t>Walters, G., Gill, C., Pham, L. D. Q., &amp; Filep, S. (2024). Virtual tourism experiences and mental restoration. Journal of Hospitality &amp; Tourism Research, 48(3), 564-569.</w:t>
      </w:r>
    </w:p>
    <w:p w14:paraId="050F17A8" w14:textId="77777777" w:rsidR="00BC6528" w:rsidRPr="00673D2E" w:rsidRDefault="00BC6528" w:rsidP="00305284">
      <w:r w:rsidRPr="00673D2E">
        <w:t>Yung, R., Khoo-Lattimore, C., &amp; Potter, L. E. (2021). Virtual reality and tourism marketing: Conceptualizing a framework on presence, emotion, and intention. Current Issues in Tourism, 24(11), 1505-1525.</w:t>
      </w:r>
    </w:p>
    <w:p w14:paraId="2F0B4181" w14:textId="77777777" w:rsidR="00D02805" w:rsidRPr="00673D2E" w:rsidRDefault="00D02805" w:rsidP="00D02805"/>
    <w:sectPr w:rsidR="00D02805" w:rsidRPr="00673D2E" w:rsidSect="0065169F">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6E2759" w14:textId="77777777" w:rsidR="0065169F" w:rsidRDefault="0065169F" w:rsidP="00B211C7">
      <w:pPr>
        <w:spacing w:after="0" w:line="240" w:lineRule="auto"/>
      </w:pPr>
      <w:r>
        <w:separator/>
      </w:r>
    </w:p>
  </w:endnote>
  <w:endnote w:type="continuationSeparator" w:id="0">
    <w:p w14:paraId="7B60B6C9" w14:textId="77777777" w:rsidR="0065169F" w:rsidRDefault="0065169F" w:rsidP="00B21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ritannic Bold">
    <w:panose1 w:val="020B0903060703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534698"/>
      <w:docPartObj>
        <w:docPartGallery w:val="Page Numbers (Bottom of Page)"/>
        <w:docPartUnique/>
      </w:docPartObj>
    </w:sdtPr>
    <w:sdtEndPr>
      <w:rPr>
        <w:color w:val="7F7F7F" w:themeColor="background1" w:themeShade="7F"/>
        <w:spacing w:val="60"/>
      </w:rPr>
    </w:sdtEndPr>
    <w:sdtContent>
      <w:p w14:paraId="01650E62" w14:textId="5D06519E" w:rsidR="00B211C7" w:rsidRDefault="0024607A">
        <w:pPr>
          <w:pStyle w:val="Footer"/>
          <w:pBdr>
            <w:top w:val="single" w:sz="4" w:space="1" w:color="D9D9D9" w:themeColor="background1" w:themeShade="D9"/>
          </w:pBdr>
          <w:jc w:val="right"/>
        </w:pPr>
        <w:r>
          <w:fldChar w:fldCharType="begin"/>
        </w:r>
        <w:r>
          <w:instrText xml:space="preserve"> PAGE   \* MERGEFORMAT </w:instrText>
        </w:r>
        <w:r>
          <w:fldChar w:fldCharType="separate"/>
        </w:r>
        <w:r w:rsidR="006846DB">
          <w:rPr>
            <w:noProof/>
          </w:rPr>
          <w:t>1</w:t>
        </w:r>
        <w:r>
          <w:rPr>
            <w:noProof/>
          </w:rPr>
          <w:fldChar w:fldCharType="end"/>
        </w:r>
        <w:r w:rsidR="00B211C7">
          <w:t xml:space="preserve"> | </w:t>
        </w:r>
        <w:r w:rsidR="00B211C7">
          <w:rPr>
            <w:color w:val="7F7F7F" w:themeColor="background1" w:themeShade="7F"/>
            <w:spacing w:val="60"/>
          </w:rPr>
          <w:t>Page</w:t>
        </w:r>
      </w:p>
    </w:sdtContent>
  </w:sdt>
  <w:p w14:paraId="1CE5884A" w14:textId="77777777" w:rsidR="00B211C7" w:rsidRDefault="00B21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2EBD39" w14:textId="77777777" w:rsidR="0065169F" w:rsidRDefault="0065169F" w:rsidP="00B211C7">
      <w:pPr>
        <w:spacing w:after="0" w:line="240" w:lineRule="auto"/>
      </w:pPr>
      <w:r>
        <w:separator/>
      </w:r>
    </w:p>
  </w:footnote>
  <w:footnote w:type="continuationSeparator" w:id="0">
    <w:p w14:paraId="62F6752A" w14:textId="77777777" w:rsidR="0065169F" w:rsidRDefault="0065169F" w:rsidP="00B211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206CE6"/>
    <w:multiLevelType w:val="hybridMultilevel"/>
    <w:tmpl w:val="FA08C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E30557"/>
    <w:multiLevelType w:val="hybridMultilevel"/>
    <w:tmpl w:val="1098D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2C4944"/>
    <w:multiLevelType w:val="hybridMultilevel"/>
    <w:tmpl w:val="EC006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7525E1"/>
    <w:multiLevelType w:val="hybridMultilevel"/>
    <w:tmpl w:val="A3160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0C73FC"/>
    <w:multiLevelType w:val="hybridMultilevel"/>
    <w:tmpl w:val="B05A1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474356"/>
    <w:multiLevelType w:val="hybridMultilevel"/>
    <w:tmpl w:val="F7C28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7261584">
    <w:abstractNumId w:val="1"/>
  </w:num>
  <w:num w:numId="2" w16cid:durableId="651980183">
    <w:abstractNumId w:val="4"/>
  </w:num>
  <w:num w:numId="3" w16cid:durableId="1763791927">
    <w:abstractNumId w:val="3"/>
  </w:num>
  <w:num w:numId="4" w16cid:durableId="6837224">
    <w:abstractNumId w:val="2"/>
  </w:num>
  <w:num w:numId="5" w16cid:durableId="794952279">
    <w:abstractNumId w:val="5"/>
  </w:num>
  <w:num w:numId="6" w16cid:durableId="468404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A7856"/>
    <w:rsid w:val="0003189B"/>
    <w:rsid w:val="00084A38"/>
    <w:rsid w:val="00176F80"/>
    <w:rsid w:val="00185A91"/>
    <w:rsid w:val="001F27B4"/>
    <w:rsid w:val="0024607A"/>
    <w:rsid w:val="00276B4E"/>
    <w:rsid w:val="002F7876"/>
    <w:rsid w:val="00305284"/>
    <w:rsid w:val="00375C79"/>
    <w:rsid w:val="003A53F9"/>
    <w:rsid w:val="00445F91"/>
    <w:rsid w:val="00453DE1"/>
    <w:rsid w:val="004A5E13"/>
    <w:rsid w:val="00531DCC"/>
    <w:rsid w:val="0058306B"/>
    <w:rsid w:val="005B1D04"/>
    <w:rsid w:val="0065169F"/>
    <w:rsid w:val="00673D2E"/>
    <w:rsid w:val="006846DB"/>
    <w:rsid w:val="0069743E"/>
    <w:rsid w:val="006D3C61"/>
    <w:rsid w:val="007D2340"/>
    <w:rsid w:val="007D5839"/>
    <w:rsid w:val="008513F9"/>
    <w:rsid w:val="008A7856"/>
    <w:rsid w:val="008C2C83"/>
    <w:rsid w:val="0091123A"/>
    <w:rsid w:val="009142DD"/>
    <w:rsid w:val="009430C3"/>
    <w:rsid w:val="009C713C"/>
    <w:rsid w:val="00A452F9"/>
    <w:rsid w:val="00AE488A"/>
    <w:rsid w:val="00B211C7"/>
    <w:rsid w:val="00B55034"/>
    <w:rsid w:val="00B77A1F"/>
    <w:rsid w:val="00BC6528"/>
    <w:rsid w:val="00BD56A4"/>
    <w:rsid w:val="00C07DB3"/>
    <w:rsid w:val="00C81747"/>
    <w:rsid w:val="00D02805"/>
    <w:rsid w:val="00D127C9"/>
    <w:rsid w:val="00DF4FA1"/>
    <w:rsid w:val="00E424BB"/>
    <w:rsid w:val="00E42707"/>
    <w:rsid w:val="00E95A15"/>
    <w:rsid w:val="00EA7F19"/>
    <w:rsid w:val="00ED1159"/>
    <w:rsid w:val="00F2710F"/>
    <w:rsid w:val="00F449CA"/>
    <w:rsid w:val="00FB0DDB"/>
    <w:rsid w:val="00FB12C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8A67A25"/>
  <w15:docId w15:val="{0D640F17-5CA3-48AA-AFD4-11C002275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DDB"/>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Header">
    <w:name w:val="header"/>
    <w:basedOn w:val="Normal"/>
    <w:link w:val="HeaderChar"/>
    <w:uiPriority w:val="99"/>
    <w:semiHidden/>
    <w:unhideWhenUsed/>
    <w:rsid w:val="00B211C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11C7"/>
    <w:rPr>
      <w:rFonts w:ascii="Times New Roman" w:hAnsi="Times New Roman"/>
      <w:sz w:val="24"/>
      <w:lang w:val="en-GB"/>
    </w:rPr>
  </w:style>
  <w:style w:type="paragraph" w:styleId="Footer">
    <w:name w:val="footer"/>
    <w:basedOn w:val="Normal"/>
    <w:link w:val="FooterChar"/>
    <w:uiPriority w:val="99"/>
    <w:unhideWhenUsed/>
    <w:rsid w:val="00B211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11C7"/>
    <w:rPr>
      <w:rFonts w:ascii="Times New Roman" w:hAnsi="Times New Roman"/>
      <w:sz w:val="24"/>
      <w:lang w:val="en-GB"/>
    </w:rPr>
  </w:style>
  <w:style w:type="paragraph" w:styleId="BalloonText">
    <w:name w:val="Balloon Text"/>
    <w:basedOn w:val="Normal"/>
    <w:link w:val="BalloonTextChar"/>
    <w:uiPriority w:val="99"/>
    <w:semiHidden/>
    <w:unhideWhenUsed/>
    <w:rsid w:val="00BD56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6A4"/>
    <w:rPr>
      <w:rFonts w:ascii="Tahoma" w:hAnsi="Tahoma" w:cs="Tahoma"/>
      <w:sz w:val="16"/>
      <w:szCs w:val="16"/>
      <w:lang w:val="en-GB"/>
    </w:rPr>
  </w:style>
  <w:style w:type="paragraph" w:styleId="ListParagraph">
    <w:name w:val="List Paragraph"/>
    <w:basedOn w:val="Normal"/>
    <w:uiPriority w:val="34"/>
    <w:qFormat/>
    <w:rsid w:val="00E95A15"/>
    <w:pPr>
      <w:ind w:left="720"/>
      <w:contextualSpacing/>
    </w:pPr>
  </w:style>
  <w:style w:type="table" w:styleId="TableGrid">
    <w:name w:val="Table Grid"/>
    <w:basedOn w:val="TableNormal"/>
    <w:uiPriority w:val="59"/>
    <w:rsid w:val="0030528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1F27B4"/>
    <w:pPr>
      <w:spacing w:line="276" w:lineRule="auto"/>
      <w:jc w:val="left"/>
      <w:outlineLvl w:val="9"/>
    </w:pPr>
    <w:rPr>
      <w:color w:val="365F91" w:themeColor="accent1" w:themeShade="BF"/>
      <w:lang w:val="en-US"/>
    </w:rPr>
  </w:style>
  <w:style w:type="paragraph" w:styleId="TOC2">
    <w:name w:val="toc 2"/>
    <w:basedOn w:val="Normal"/>
    <w:next w:val="Normal"/>
    <w:autoRedefine/>
    <w:uiPriority w:val="39"/>
    <w:unhideWhenUsed/>
    <w:rsid w:val="001F27B4"/>
    <w:pPr>
      <w:spacing w:after="100"/>
      <w:ind w:left="240"/>
    </w:pPr>
  </w:style>
  <w:style w:type="character" w:styleId="Hyperlink">
    <w:name w:val="Hyperlink"/>
    <w:basedOn w:val="DefaultParagraphFont"/>
    <w:uiPriority w:val="99"/>
    <w:unhideWhenUsed/>
    <w:rsid w:val="001F27B4"/>
    <w:rPr>
      <w:color w:val="0000FF" w:themeColor="hyperlink"/>
      <w:u w:val="single"/>
    </w:rPr>
  </w:style>
  <w:style w:type="paragraph" w:styleId="TOC1">
    <w:name w:val="toc 1"/>
    <w:basedOn w:val="Normal"/>
    <w:next w:val="Normal"/>
    <w:autoRedefine/>
    <w:uiPriority w:val="39"/>
    <w:unhideWhenUsed/>
    <w:rsid w:val="007D23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22999A-460D-49C0-8EAD-1E8C6B5BF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15</Pages>
  <Words>2062</Words>
  <Characters>11760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Chiriac</cp:lastModifiedBy>
  <cp:revision>9</cp:revision>
  <dcterms:created xsi:type="dcterms:W3CDTF">2024-05-06T20:58:00Z</dcterms:created>
  <dcterms:modified xsi:type="dcterms:W3CDTF">2024-05-09T13:15:00Z</dcterms:modified>
</cp:coreProperties>
</file>