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94018B" w14:textId="77777777" w:rsidR="00CA3BA3" w:rsidRDefault="00CA3BA3">
      <w:pPr>
        <w:rPr>
          <w:sz w:val="40"/>
          <w:szCs w:val="40"/>
        </w:rPr>
      </w:pPr>
    </w:p>
    <w:p w14:paraId="403A4D6F" w14:textId="77777777" w:rsidR="00CA3BA3" w:rsidRDefault="00CA3BA3">
      <w:pPr>
        <w:rPr>
          <w:sz w:val="40"/>
          <w:szCs w:val="40"/>
        </w:rPr>
      </w:pPr>
    </w:p>
    <w:p w14:paraId="3D9D62CA" w14:textId="77777777" w:rsidR="00CA3BA3" w:rsidRDefault="00CA3BA3">
      <w:pPr>
        <w:rPr>
          <w:sz w:val="40"/>
          <w:szCs w:val="40"/>
        </w:rPr>
      </w:pPr>
    </w:p>
    <w:p w14:paraId="0DFE0BA3" w14:textId="77777777" w:rsidR="00CA3BA3" w:rsidRDefault="00CA3BA3">
      <w:pPr>
        <w:rPr>
          <w:sz w:val="40"/>
          <w:szCs w:val="40"/>
        </w:rPr>
      </w:pPr>
    </w:p>
    <w:p w14:paraId="5A01749D" w14:textId="59E3AA03" w:rsidR="00012B8F" w:rsidRDefault="00CA3BA3">
      <w:pPr>
        <w:rPr>
          <w:sz w:val="40"/>
          <w:szCs w:val="40"/>
        </w:rPr>
      </w:pPr>
      <w:r>
        <w:rPr>
          <w:sz w:val="40"/>
          <w:szCs w:val="40"/>
        </w:rPr>
        <w:t>Mohammad Assadujjaman</w:t>
      </w:r>
    </w:p>
    <w:p w14:paraId="253CFFEE" w14:textId="7C41F96A" w:rsidR="00CA3BA3" w:rsidRDefault="00CA3BA3">
      <w:pPr>
        <w:rPr>
          <w:sz w:val="40"/>
          <w:szCs w:val="40"/>
        </w:rPr>
      </w:pPr>
      <w:r>
        <w:rPr>
          <w:sz w:val="40"/>
          <w:szCs w:val="40"/>
        </w:rPr>
        <w:t>Student ID: 2207975</w:t>
      </w:r>
    </w:p>
    <w:p w14:paraId="0D37D3B5" w14:textId="77777777" w:rsidR="00CA3BA3" w:rsidRDefault="00CA3BA3">
      <w:pPr>
        <w:rPr>
          <w:sz w:val="40"/>
          <w:szCs w:val="40"/>
        </w:rPr>
      </w:pPr>
      <w:r>
        <w:rPr>
          <w:sz w:val="40"/>
          <w:szCs w:val="40"/>
        </w:rPr>
        <w:t>Module: International Meetings Managenent for the Hotel Industry.</w:t>
      </w:r>
    </w:p>
    <w:p w14:paraId="63B79A42" w14:textId="77777777" w:rsidR="00CA3BA3" w:rsidRDefault="00CA3BA3">
      <w:pPr>
        <w:rPr>
          <w:sz w:val="40"/>
          <w:szCs w:val="40"/>
        </w:rPr>
      </w:pPr>
      <w:r>
        <w:rPr>
          <w:sz w:val="40"/>
          <w:szCs w:val="40"/>
        </w:rPr>
        <w:t>Module Code: BMIH6007</w:t>
      </w:r>
    </w:p>
    <w:p w14:paraId="4426E863" w14:textId="1D23696B" w:rsidR="00597939" w:rsidRDefault="00597939">
      <w:pPr>
        <w:rPr>
          <w:sz w:val="40"/>
          <w:szCs w:val="40"/>
        </w:rPr>
      </w:pPr>
      <w:r>
        <w:rPr>
          <w:sz w:val="40"/>
          <w:szCs w:val="40"/>
        </w:rPr>
        <w:t xml:space="preserve">Assignment Title: Feasibility Plan for an International Meeting. </w:t>
      </w:r>
    </w:p>
    <w:p w14:paraId="4B2E4AAB" w14:textId="77777777" w:rsidR="00CA3BA3" w:rsidRDefault="00CA3BA3">
      <w:pPr>
        <w:rPr>
          <w:sz w:val="40"/>
          <w:szCs w:val="40"/>
        </w:rPr>
      </w:pPr>
      <w:r>
        <w:rPr>
          <w:sz w:val="40"/>
          <w:szCs w:val="40"/>
        </w:rPr>
        <w:t>Module Lead: Kathryn Flynn</w:t>
      </w:r>
    </w:p>
    <w:p w14:paraId="18E7D4DC" w14:textId="77777777" w:rsidR="00CA3BA3" w:rsidRDefault="00CA3BA3">
      <w:pPr>
        <w:rPr>
          <w:sz w:val="40"/>
          <w:szCs w:val="40"/>
        </w:rPr>
      </w:pPr>
    </w:p>
    <w:p w14:paraId="25B275CE" w14:textId="77777777" w:rsidR="00CA3BA3" w:rsidRDefault="00CA3BA3">
      <w:pPr>
        <w:rPr>
          <w:sz w:val="40"/>
          <w:szCs w:val="40"/>
        </w:rPr>
      </w:pPr>
    </w:p>
    <w:p w14:paraId="16C14E1B" w14:textId="77777777" w:rsidR="00CA3BA3" w:rsidRDefault="00CA3BA3">
      <w:pPr>
        <w:rPr>
          <w:sz w:val="40"/>
          <w:szCs w:val="40"/>
        </w:rPr>
      </w:pPr>
    </w:p>
    <w:p w14:paraId="36A09820" w14:textId="77777777" w:rsidR="00CA3BA3" w:rsidRDefault="00CA3BA3">
      <w:pPr>
        <w:rPr>
          <w:sz w:val="40"/>
          <w:szCs w:val="40"/>
        </w:rPr>
      </w:pPr>
    </w:p>
    <w:p w14:paraId="49245AD4" w14:textId="10DE2E3D" w:rsidR="00CA3BA3" w:rsidRPr="00CA3BA3" w:rsidRDefault="00CA3BA3">
      <w:pPr>
        <w:rPr>
          <w:sz w:val="40"/>
          <w:szCs w:val="40"/>
        </w:rPr>
      </w:pPr>
      <w:r>
        <w:rPr>
          <w:sz w:val="40"/>
          <w:szCs w:val="40"/>
        </w:rPr>
        <w:t xml:space="preserve"> </w:t>
      </w:r>
    </w:p>
    <w:p w14:paraId="420AD011" w14:textId="77777777" w:rsidR="00984342" w:rsidRDefault="00984342"/>
    <w:p w14:paraId="405DB789" w14:textId="77777777" w:rsidR="00984342" w:rsidRDefault="00984342"/>
    <w:p w14:paraId="2F87C541" w14:textId="5BC221CB" w:rsidR="00984342" w:rsidRDefault="00984342">
      <w:r>
        <w:lastRenderedPageBreak/>
        <w:drawing>
          <wp:inline distT="0" distB="0" distL="0" distR="0" wp14:anchorId="419749DA" wp14:editId="71FE1BCB">
            <wp:extent cx="5943600" cy="3343275"/>
            <wp:effectExtent l="0" t="0" r="0" b="9525"/>
            <wp:docPr id="1537047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47655"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2AD57367" w14:textId="77777777" w:rsidR="00984342" w:rsidRDefault="00984342"/>
    <w:p w14:paraId="2A4A35D1" w14:textId="77777777" w:rsidR="00984342" w:rsidRDefault="00984342"/>
    <w:p w14:paraId="253CF68B" w14:textId="77777777" w:rsidR="00984342" w:rsidRPr="00984342" w:rsidRDefault="00984342" w:rsidP="00984342">
      <w:r w:rsidRPr="00984342">
        <w:rPr>
          <w:b/>
          <w:bCs/>
        </w:rPr>
        <w:t>Global Winter Sustainability Conference for Hospitality Leaders</w:t>
      </w:r>
    </w:p>
    <w:p w14:paraId="2ECAEAC5" w14:textId="18F55A8F" w:rsidR="00984342" w:rsidRPr="00984342" w:rsidRDefault="00984342" w:rsidP="00984342">
      <w:r w:rsidRPr="00984342">
        <w:t>The Global Winter Sustainability Conference is an international event which is aimed at raising awareness of sustainable practices within the hospitality sectors. It convenes hotel and accommodation industry executives together with sustainability professionals/consultants and interest/affordable groups to share best practices and solutions for emulating greenhouse gases, overall carbon footprints and waste</w:t>
      </w:r>
      <w:r w:rsidR="006E63B9">
        <w:t xml:space="preserve"> (</w:t>
      </w:r>
      <w:r w:rsidR="006E63B9" w:rsidRPr="006E63B9">
        <w:t>Gerecke</w:t>
      </w:r>
      <w:r w:rsidR="006E63B9">
        <w:t xml:space="preserve"> et al., 2022)</w:t>
      </w:r>
      <w:r w:rsidRPr="00984342">
        <w:t>.</w:t>
      </w:r>
    </w:p>
    <w:p w14:paraId="399D4ADA" w14:textId="77777777" w:rsidR="00984342" w:rsidRPr="00984342" w:rsidRDefault="00984342" w:rsidP="00984342">
      <w:r w:rsidRPr="00984342">
        <w:rPr>
          <w:b/>
          <w:bCs/>
        </w:rPr>
        <w:t>Why has it been chosen?</w:t>
      </w:r>
    </w:p>
    <w:p w14:paraId="624D6B61" w14:textId="0D72D02C" w:rsidR="00984342" w:rsidRPr="00984342" w:rsidRDefault="00984342" w:rsidP="00984342">
      <w:r w:rsidRPr="00984342">
        <w:t>This event has been chosen because of the increasing focus on sustainable business and particularly in the hospitality industry stimulated by the consumers’ preferences and legislation</w:t>
      </w:r>
      <w:r w:rsidR="00A901E9">
        <w:t xml:space="preserve"> (</w:t>
      </w:r>
      <w:r w:rsidR="00A901E9" w:rsidRPr="00A901E9">
        <w:t>Han, 2021</w:t>
      </w:r>
      <w:r w:rsidR="00A901E9">
        <w:t>)</w:t>
      </w:r>
      <w:r w:rsidRPr="00984342">
        <w:t>. It gives an opportunity for leaders to discuss good ideas and new solutions to sustainable development.</w:t>
      </w:r>
    </w:p>
    <w:p w14:paraId="4F1D4E71" w14:textId="77777777" w:rsidR="00984342" w:rsidRPr="00984342" w:rsidRDefault="00984342" w:rsidP="00984342">
      <w:r w:rsidRPr="00984342">
        <w:rPr>
          <w:b/>
          <w:bCs/>
        </w:rPr>
        <w:t>Location</w:t>
      </w:r>
    </w:p>
    <w:p w14:paraId="3257159A" w14:textId="77777777" w:rsidR="00984342" w:rsidRDefault="00984342" w:rsidP="00984342">
      <w:r w:rsidRPr="00984342">
        <w:t>The event takes place in Davos, Switzerland a popular location for international events related to sustainability and environmental technology which makes it fitting to host this landmark industry event.</w:t>
      </w:r>
    </w:p>
    <w:p w14:paraId="4ED2799B" w14:textId="77777777" w:rsidR="00984342" w:rsidRPr="00984342" w:rsidRDefault="00984342" w:rsidP="00984342"/>
    <w:p w14:paraId="0DA0F38C" w14:textId="187691E2" w:rsidR="00984342" w:rsidRDefault="00984342">
      <w:r>
        <w:lastRenderedPageBreak/>
        <w:drawing>
          <wp:inline distT="0" distB="0" distL="0" distR="0" wp14:anchorId="17C741A7" wp14:editId="67BE4B2F">
            <wp:extent cx="5943600" cy="3343275"/>
            <wp:effectExtent l="0" t="0" r="0" b="9525"/>
            <wp:docPr id="3690566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5664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6484DD6F" w14:textId="77777777" w:rsidR="00984342" w:rsidRDefault="00984342"/>
    <w:p w14:paraId="73E70329" w14:textId="77777777" w:rsidR="00984342" w:rsidRPr="00984342" w:rsidRDefault="00984342" w:rsidP="00984342">
      <w:r w:rsidRPr="00984342">
        <w:rPr>
          <w:b/>
          <w:bCs/>
          <w:lang w:val="en-US"/>
        </w:rPr>
        <w:t>The Event Cycle</w:t>
      </w:r>
    </w:p>
    <w:p w14:paraId="00714132" w14:textId="77777777" w:rsidR="00984342" w:rsidRPr="00984342" w:rsidRDefault="00984342" w:rsidP="00984342">
      <w:r w:rsidRPr="00984342">
        <w:rPr>
          <w:lang w:val="en-US"/>
        </w:rPr>
        <w:t>The Event Cycle is defined holistically as the structural stages that are associated with the planning and the staging of the event. These typically include:</w:t>
      </w:r>
    </w:p>
    <w:p w14:paraId="13DED40A" w14:textId="77777777" w:rsidR="00984342" w:rsidRPr="00984342" w:rsidRDefault="00984342" w:rsidP="00984342">
      <w:r w:rsidRPr="00984342">
        <w:rPr>
          <w:lang w:val="en-US"/>
        </w:rPr>
        <w:t>1. Planning – Determining the type of event, goal and the intended participants.</w:t>
      </w:r>
    </w:p>
    <w:p w14:paraId="667931F0" w14:textId="77777777" w:rsidR="00984342" w:rsidRPr="00984342" w:rsidRDefault="00984342" w:rsidP="00984342">
      <w:r w:rsidRPr="00984342">
        <w:rPr>
          <w:lang w:val="en-US"/>
        </w:rPr>
        <w:t>2. Scheduling – Coordination like setting of the venue, performers, estimating cost and publicizing the event.</w:t>
      </w:r>
    </w:p>
    <w:p w14:paraId="527DB345" w14:textId="77777777" w:rsidR="00984342" w:rsidRPr="00984342" w:rsidRDefault="00984342" w:rsidP="00984342">
      <w:r w:rsidRPr="00984342">
        <w:rPr>
          <w:lang w:val="en-US"/>
        </w:rPr>
        <w:t>3. Operations – The management of the different aspects of the event and all the happening on the ground (</w:t>
      </w:r>
      <w:r w:rsidRPr="00984342">
        <w:t>Miles and Shipway, 2020).</w:t>
      </w:r>
    </w:p>
    <w:p w14:paraId="3B532F97" w14:textId="77777777" w:rsidR="00984342" w:rsidRPr="00984342" w:rsidRDefault="00984342" w:rsidP="00984342">
      <w:r w:rsidRPr="00984342">
        <w:rPr>
          <w:lang w:val="en-US"/>
        </w:rPr>
        <w:t>4. Conclusion/End-met – Outcomes assessment, garnering responses concerning the effectiveness and success of the event for enhancement in the future.</w:t>
      </w:r>
    </w:p>
    <w:p w14:paraId="01557F50" w14:textId="77777777" w:rsidR="00984342" w:rsidRPr="00984342" w:rsidRDefault="00984342" w:rsidP="00984342">
      <w:r w:rsidRPr="00984342">
        <w:rPr>
          <w:b/>
          <w:bCs/>
          <w:lang w:val="en-US"/>
        </w:rPr>
        <w:t>Application to Global Winter Sustainability Conference:</w:t>
      </w:r>
    </w:p>
    <w:p w14:paraId="4801D02B" w14:textId="77777777" w:rsidR="00984342" w:rsidRPr="00984342" w:rsidRDefault="00984342" w:rsidP="00984342">
      <w:r w:rsidRPr="00984342">
        <w:rPr>
          <w:lang w:val="en-US"/>
        </w:rPr>
        <w:t>1. Conceptualization: Exploring sustainability in hospitality and convening the best in the industry to share ideas and products that support sustainable solutions.</w:t>
      </w:r>
    </w:p>
    <w:p w14:paraId="089BCCA1" w14:textId="71A08D89" w:rsidR="00984342" w:rsidRPr="00984342" w:rsidRDefault="00984342" w:rsidP="00984342">
      <w:r w:rsidRPr="00984342">
        <w:rPr>
          <w:lang w:val="en-US"/>
        </w:rPr>
        <w:t>2. Planning: Staging the venue in Davos, arranging sustainability &amp; hospitality sector speakers, deciding on the program and publicizing the event</w:t>
      </w:r>
      <w:r w:rsidR="006E63B9">
        <w:rPr>
          <w:lang w:val="en-US"/>
        </w:rPr>
        <w:t xml:space="preserve"> (</w:t>
      </w:r>
      <w:r w:rsidR="006E63B9" w:rsidRPr="006E63B9">
        <w:t>Kadiu, A., 2024</w:t>
      </w:r>
      <w:r w:rsidR="006E63B9">
        <w:t>).</w:t>
      </w:r>
    </w:p>
    <w:p w14:paraId="5C05F49C" w14:textId="77777777" w:rsidR="00984342" w:rsidRPr="00984342" w:rsidRDefault="00984342" w:rsidP="00984342">
      <w:r w:rsidRPr="00984342">
        <w:rPr>
          <w:lang w:val="en-US"/>
        </w:rPr>
        <w:t>3. Execution: Stakeholders providing the venue of the event in Davos, the sessions themselves are well coordinated to involve the attendees in the workshops and discussions.</w:t>
      </w:r>
    </w:p>
    <w:p w14:paraId="6B85E062" w14:textId="4B3AD53C" w:rsidR="00984342" w:rsidRPr="00984342" w:rsidRDefault="00984342" w:rsidP="00984342">
      <w:r w:rsidRPr="00984342">
        <w:rPr>
          <w:lang w:val="en-US"/>
        </w:rPr>
        <w:lastRenderedPageBreak/>
        <w:t>4. Evaluation: Information and feedback from attendees, the degree to which the event introduces sustainable practices in hospitality, utili</w:t>
      </w:r>
      <w:r>
        <w:rPr>
          <w:lang w:val="en-US"/>
        </w:rPr>
        <w:t>s</w:t>
      </w:r>
      <w:r w:rsidRPr="00984342">
        <w:rPr>
          <w:lang w:val="en-US"/>
        </w:rPr>
        <w:t>ing conclusions in future conferences</w:t>
      </w:r>
      <w:r w:rsidR="00AA4F5C">
        <w:rPr>
          <w:lang w:val="en-US"/>
        </w:rPr>
        <w:t xml:space="preserve"> (</w:t>
      </w:r>
      <w:r w:rsidR="00AA4F5C" w:rsidRPr="00AA4F5C">
        <w:rPr>
          <w:lang w:val="en-US"/>
        </w:rPr>
        <w:t>Celuch, 2021</w:t>
      </w:r>
      <w:r w:rsidR="00AA4F5C">
        <w:rPr>
          <w:lang w:val="en-US"/>
        </w:rPr>
        <w:t>)</w:t>
      </w:r>
      <w:r w:rsidRPr="00984342">
        <w:rPr>
          <w:lang w:val="en-US"/>
        </w:rPr>
        <w:t>.</w:t>
      </w:r>
    </w:p>
    <w:p w14:paraId="3D609A46" w14:textId="77777777" w:rsidR="00984342" w:rsidRDefault="00984342"/>
    <w:p w14:paraId="2FD8E09C" w14:textId="13FD951B" w:rsidR="00984342" w:rsidRDefault="00984342">
      <w:r>
        <w:drawing>
          <wp:inline distT="0" distB="0" distL="0" distR="0" wp14:anchorId="024DFAF7" wp14:editId="09A45A87">
            <wp:extent cx="5943600" cy="3343275"/>
            <wp:effectExtent l="0" t="0" r="0" b="9525"/>
            <wp:docPr id="14135229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2291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7B888D7B" w14:textId="77777777" w:rsidR="00984342" w:rsidRDefault="00984342"/>
    <w:p w14:paraId="0206B737" w14:textId="77777777" w:rsidR="00984342" w:rsidRPr="00984342" w:rsidRDefault="00984342" w:rsidP="00984342">
      <w:r w:rsidRPr="00984342">
        <w:rPr>
          <w:b/>
          <w:bCs/>
          <w:lang w:val="en-US"/>
        </w:rPr>
        <w:t>Event Concept – Global Winter Sustainability Conference</w:t>
      </w:r>
    </w:p>
    <w:p w14:paraId="56AF6077" w14:textId="77777777" w:rsidR="00984342" w:rsidRPr="00984342" w:rsidRDefault="00984342" w:rsidP="00984342">
      <w:r w:rsidRPr="00984342">
        <w:rPr>
          <w:b/>
          <w:bCs/>
          <w:lang w:val="en-US"/>
        </w:rPr>
        <w:t>Global Winter Sustainability Conference – Itinerary</w:t>
      </w:r>
    </w:p>
    <w:p w14:paraId="2114AADF" w14:textId="77777777" w:rsidR="00984342" w:rsidRPr="00984342" w:rsidRDefault="00984342" w:rsidP="00984342">
      <w:pPr>
        <w:numPr>
          <w:ilvl w:val="0"/>
          <w:numId w:val="1"/>
        </w:numPr>
        <w:tabs>
          <w:tab w:val="left" w:pos="720"/>
        </w:tabs>
      </w:pPr>
      <w:r w:rsidRPr="00984342">
        <w:rPr>
          <w:b/>
          <w:bCs/>
          <w:lang w:val="en-US"/>
        </w:rPr>
        <w:t>08:00 AM</w:t>
      </w:r>
      <w:r w:rsidRPr="00984342">
        <w:rPr>
          <w:lang w:val="en-US"/>
        </w:rPr>
        <w:t xml:space="preserve"> – Registration &amp; Networking Breakfast</w:t>
      </w:r>
    </w:p>
    <w:p w14:paraId="30EBFE3C" w14:textId="77777777" w:rsidR="00984342" w:rsidRPr="00984342" w:rsidRDefault="00984342" w:rsidP="00984342">
      <w:pPr>
        <w:numPr>
          <w:ilvl w:val="0"/>
          <w:numId w:val="1"/>
        </w:numPr>
        <w:tabs>
          <w:tab w:val="left" w:pos="720"/>
        </w:tabs>
      </w:pPr>
      <w:r w:rsidRPr="00984342">
        <w:rPr>
          <w:b/>
          <w:bCs/>
          <w:lang w:val="en-US"/>
        </w:rPr>
        <w:t>09:00 AM</w:t>
      </w:r>
      <w:r w:rsidRPr="00984342">
        <w:rPr>
          <w:lang w:val="en-US"/>
        </w:rPr>
        <w:t xml:space="preserve"> – Opening Keynote (Sustainable trends)</w:t>
      </w:r>
    </w:p>
    <w:p w14:paraId="688519BD" w14:textId="77777777" w:rsidR="00984342" w:rsidRPr="00984342" w:rsidRDefault="00984342" w:rsidP="00984342">
      <w:pPr>
        <w:numPr>
          <w:ilvl w:val="0"/>
          <w:numId w:val="1"/>
        </w:numPr>
        <w:tabs>
          <w:tab w:val="left" w:pos="720"/>
        </w:tabs>
      </w:pPr>
      <w:r w:rsidRPr="00984342">
        <w:rPr>
          <w:b/>
          <w:bCs/>
          <w:lang w:val="en-US"/>
        </w:rPr>
        <w:t>10:30 AM</w:t>
      </w:r>
      <w:r w:rsidRPr="00984342">
        <w:rPr>
          <w:lang w:val="en-US"/>
        </w:rPr>
        <w:t xml:space="preserve"> – Panel Discussion (Carbon reduction)</w:t>
      </w:r>
    </w:p>
    <w:p w14:paraId="55394E9C" w14:textId="77777777" w:rsidR="00984342" w:rsidRPr="00984342" w:rsidRDefault="00984342" w:rsidP="00984342">
      <w:pPr>
        <w:numPr>
          <w:ilvl w:val="0"/>
          <w:numId w:val="1"/>
        </w:numPr>
        <w:tabs>
          <w:tab w:val="left" w:pos="720"/>
        </w:tabs>
      </w:pPr>
      <w:r w:rsidRPr="00984342">
        <w:rPr>
          <w:b/>
          <w:bCs/>
          <w:lang w:val="en-US"/>
        </w:rPr>
        <w:t>12:00 PM</w:t>
      </w:r>
      <w:r w:rsidRPr="00984342">
        <w:rPr>
          <w:lang w:val="en-US"/>
        </w:rPr>
        <w:t xml:space="preserve"> – Lunch (Eco-friendly, local)</w:t>
      </w:r>
    </w:p>
    <w:p w14:paraId="1289A68B" w14:textId="77777777" w:rsidR="00984342" w:rsidRPr="00984342" w:rsidRDefault="00984342" w:rsidP="00984342">
      <w:pPr>
        <w:numPr>
          <w:ilvl w:val="0"/>
          <w:numId w:val="1"/>
        </w:numPr>
        <w:tabs>
          <w:tab w:val="left" w:pos="720"/>
        </w:tabs>
      </w:pPr>
      <w:r w:rsidRPr="00984342">
        <w:rPr>
          <w:b/>
          <w:bCs/>
          <w:lang w:val="en-US"/>
        </w:rPr>
        <w:t>01:30 PM</w:t>
      </w:r>
      <w:r w:rsidRPr="00984342">
        <w:rPr>
          <w:lang w:val="en-US"/>
        </w:rPr>
        <w:t xml:space="preserve"> – Workshops (Sustainable practices)</w:t>
      </w:r>
    </w:p>
    <w:p w14:paraId="45C6DD3D" w14:textId="77777777" w:rsidR="00984342" w:rsidRPr="00984342" w:rsidRDefault="00984342" w:rsidP="00984342">
      <w:pPr>
        <w:numPr>
          <w:ilvl w:val="0"/>
          <w:numId w:val="1"/>
        </w:numPr>
        <w:tabs>
          <w:tab w:val="left" w:pos="720"/>
        </w:tabs>
      </w:pPr>
      <w:r w:rsidRPr="00984342">
        <w:rPr>
          <w:b/>
          <w:bCs/>
          <w:lang w:val="en-US"/>
        </w:rPr>
        <w:t>03:00 PM</w:t>
      </w:r>
      <w:r w:rsidRPr="00984342">
        <w:rPr>
          <w:lang w:val="en-US"/>
        </w:rPr>
        <w:t xml:space="preserve"> – Case Studies (Successful projects)</w:t>
      </w:r>
    </w:p>
    <w:p w14:paraId="79225695" w14:textId="77777777" w:rsidR="00984342" w:rsidRPr="00984342" w:rsidRDefault="00984342" w:rsidP="00984342">
      <w:pPr>
        <w:numPr>
          <w:ilvl w:val="0"/>
          <w:numId w:val="1"/>
        </w:numPr>
        <w:tabs>
          <w:tab w:val="left" w:pos="720"/>
        </w:tabs>
      </w:pPr>
      <w:r w:rsidRPr="00984342">
        <w:rPr>
          <w:b/>
          <w:bCs/>
          <w:lang w:val="en-US"/>
        </w:rPr>
        <w:t>04:30 PM</w:t>
      </w:r>
      <w:r w:rsidRPr="00984342">
        <w:rPr>
          <w:lang w:val="en-US"/>
        </w:rPr>
        <w:t xml:space="preserve"> – Networking &amp; Closing Remarks</w:t>
      </w:r>
    </w:p>
    <w:p w14:paraId="356081C6" w14:textId="77777777" w:rsidR="00984342" w:rsidRPr="00984342" w:rsidRDefault="00984342" w:rsidP="00984342">
      <w:pPr>
        <w:numPr>
          <w:ilvl w:val="0"/>
          <w:numId w:val="1"/>
        </w:numPr>
        <w:tabs>
          <w:tab w:val="left" w:pos="720"/>
        </w:tabs>
      </w:pPr>
      <w:r w:rsidRPr="00984342">
        <w:rPr>
          <w:b/>
          <w:bCs/>
          <w:lang w:val="en-US"/>
        </w:rPr>
        <w:t>05:00 PM</w:t>
      </w:r>
      <w:r w:rsidRPr="00984342">
        <w:rPr>
          <w:lang w:val="en-US"/>
        </w:rPr>
        <w:t xml:space="preserve"> – Event Conclusion</w:t>
      </w:r>
    </w:p>
    <w:p w14:paraId="005F4813" w14:textId="77777777" w:rsidR="00984342" w:rsidRPr="00984342" w:rsidRDefault="00984342" w:rsidP="00984342">
      <w:pPr>
        <w:tabs>
          <w:tab w:val="left" w:pos="720"/>
        </w:tabs>
        <w:ind w:left="720"/>
      </w:pPr>
    </w:p>
    <w:p w14:paraId="1F2C9903" w14:textId="36DB02E7" w:rsidR="00984342" w:rsidRDefault="00984342">
      <w:r>
        <w:lastRenderedPageBreak/>
        <w:drawing>
          <wp:inline distT="0" distB="0" distL="0" distR="0" wp14:anchorId="0B0B2C4A" wp14:editId="198D5A8A">
            <wp:extent cx="5943600" cy="3343275"/>
            <wp:effectExtent l="0" t="0" r="0" b="9525"/>
            <wp:docPr id="14894810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8109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19D9DAE8" w14:textId="77777777" w:rsidR="00984342" w:rsidRDefault="00984342"/>
    <w:p w14:paraId="248D699F" w14:textId="77777777" w:rsidR="00984342" w:rsidRPr="00984342" w:rsidRDefault="00984342" w:rsidP="00984342">
      <w:r w:rsidRPr="00984342">
        <w:rPr>
          <w:b/>
          <w:bCs/>
          <w:lang w:val="en-US"/>
        </w:rPr>
        <w:t>Aim and Objectives of the Global Winter Sustainability Conference</w:t>
      </w:r>
    </w:p>
    <w:p w14:paraId="6019C14A" w14:textId="77777777" w:rsidR="00984342" w:rsidRPr="00984342" w:rsidRDefault="00984342" w:rsidP="00984342">
      <w:r w:rsidRPr="00984342">
        <w:rPr>
          <w:b/>
          <w:bCs/>
          <w:lang w:val="en-US"/>
        </w:rPr>
        <w:t xml:space="preserve">Aim: </w:t>
      </w:r>
      <w:r w:rsidRPr="00984342">
        <w:rPr>
          <w:lang w:val="en-US"/>
        </w:rPr>
        <w:t>It aimed at uplifting the practices of sustainable responsibility, involving industry leaders in addressing the various environmental issues.</w:t>
      </w:r>
    </w:p>
    <w:p w14:paraId="57192D7E" w14:textId="77777777" w:rsidR="00984342" w:rsidRPr="00984342" w:rsidRDefault="00984342" w:rsidP="00984342">
      <w:r w:rsidRPr="00984342">
        <w:rPr>
          <w:b/>
          <w:bCs/>
          <w:lang w:val="en-US"/>
        </w:rPr>
        <w:t>SMART Objectives:</w:t>
      </w:r>
    </w:p>
    <w:p w14:paraId="7BF30D0B" w14:textId="77777777" w:rsidR="00984342" w:rsidRPr="00984342" w:rsidRDefault="00984342" w:rsidP="00984342">
      <w:r w:rsidRPr="00984342">
        <w:rPr>
          <w:b/>
          <w:bCs/>
          <w:lang w:val="en-US"/>
        </w:rPr>
        <w:t>Objective 1:</w:t>
      </w:r>
      <w:r w:rsidRPr="00984342">
        <w:rPr>
          <w:lang w:val="en-US"/>
        </w:rPr>
        <w:t xml:space="preserve"> Post-event survey gauges will show that at least 80% of the conference delegates will have gained improved knowledge in the sustainability aspects of hospitality facilities.</w:t>
      </w:r>
    </w:p>
    <w:p w14:paraId="364849C5" w14:textId="421EE3C3" w:rsidR="00984342" w:rsidRPr="00984342" w:rsidRDefault="00984342" w:rsidP="00984342">
      <w:r w:rsidRPr="00984342">
        <w:rPr>
          <w:b/>
          <w:bCs/>
          <w:lang w:val="en-US"/>
        </w:rPr>
        <w:t>Objective 2:</w:t>
      </w:r>
      <w:r w:rsidRPr="00984342">
        <w:rPr>
          <w:lang w:val="en-US"/>
        </w:rPr>
        <w:t xml:space="preserve"> </w:t>
      </w:r>
      <w:bookmarkStart w:id="0" w:name="_Hlk179826376"/>
      <w:r w:rsidRPr="00984342">
        <w:rPr>
          <w:lang w:val="en-US"/>
        </w:rPr>
        <w:t>Develop at least three successful links between the involved organizations at the end of the event promoting sustainability causes</w:t>
      </w:r>
      <w:r w:rsidR="006B589A">
        <w:rPr>
          <w:lang w:val="en-US"/>
        </w:rPr>
        <w:t xml:space="preserve"> (</w:t>
      </w:r>
      <w:r w:rsidR="006B589A" w:rsidRPr="006B589A">
        <w:rPr>
          <w:lang w:val="en-US"/>
        </w:rPr>
        <w:t>Graci, S., 2020</w:t>
      </w:r>
      <w:r w:rsidR="006B589A">
        <w:rPr>
          <w:lang w:val="en-US"/>
        </w:rPr>
        <w:t>)</w:t>
      </w:r>
      <w:r w:rsidRPr="00984342">
        <w:rPr>
          <w:lang w:val="en-US"/>
        </w:rPr>
        <w:t>.</w:t>
      </w:r>
    </w:p>
    <w:bookmarkEnd w:id="0"/>
    <w:p w14:paraId="0E42DE44" w14:textId="5A4E71CE" w:rsidR="00984342" w:rsidRPr="00984342" w:rsidRDefault="00984342" w:rsidP="00984342">
      <w:r w:rsidRPr="00984342">
        <w:rPr>
          <w:b/>
          <w:bCs/>
          <w:lang w:val="en-US"/>
        </w:rPr>
        <w:t>Objective 3:</w:t>
      </w:r>
      <w:r w:rsidRPr="00984342">
        <w:rPr>
          <w:lang w:val="en-US"/>
        </w:rPr>
        <w:t xml:space="preserve"> Formulate at least 10 tangible recommendations of how the carbon footprint in hospitality operations may be minimized; present it to all participants and produce a report one week after the conference.</w:t>
      </w:r>
    </w:p>
    <w:p w14:paraId="4F4126F3" w14:textId="05B7F0E5" w:rsidR="00984342" w:rsidRDefault="00984342">
      <w:r>
        <w:lastRenderedPageBreak/>
        <w:drawing>
          <wp:inline distT="0" distB="0" distL="0" distR="0" wp14:anchorId="7CA13C02" wp14:editId="341D1229">
            <wp:extent cx="5943600" cy="3343275"/>
            <wp:effectExtent l="0" t="0" r="0" b="9525"/>
            <wp:docPr id="9059575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5751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7757358" w14:textId="77777777" w:rsidR="00984342" w:rsidRDefault="00984342"/>
    <w:p w14:paraId="47FB25F4" w14:textId="77777777" w:rsidR="00984342" w:rsidRPr="00984342" w:rsidRDefault="00984342" w:rsidP="00984342">
      <w:r w:rsidRPr="00984342">
        <w:rPr>
          <w:lang w:val="en-US"/>
        </w:rPr>
        <w:t>The Global Winter Sustainability Conference requires efficient approaches for resource management as well as organizational and planning abilities (</w:t>
      </w:r>
      <w:r w:rsidRPr="00984342">
        <w:t>Shang et al., 2020)</w:t>
      </w:r>
      <w:r w:rsidRPr="00984342">
        <w:rPr>
          <w:lang w:val="en-US"/>
        </w:rPr>
        <w:t>. This involves the place reservations and arrangements, the speaker/s and other logistical arrangements, i.e., food and beverage, transport, and set up of presentation aids. The role will require detailed coordination skills to guarantee the accomplishment of activities; besides registering staff and delegates and overseeing all on-site events.</w:t>
      </w:r>
    </w:p>
    <w:p w14:paraId="08EBE260" w14:textId="5BBFEB07" w:rsidR="00984342" w:rsidRPr="00984342" w:rsidRDefault="00984342" w:rsidP="00984342">
      <w:r w:rsidRPr="00984342">
        <w:rPr>
          <w:lang w:val="en-US"/>
        </w:rPr>
        <w:t>Expanded in terms of marketing activities, expertise in digital marketing, social media advertising, and public relations will be useful</w:t>
      </w:r>
      <w:r w:rsidR="006E4CA3">
        <w:rPr>
          <w:lang w:val="en-US"/>
        </w:rPr>
        <w:t xml:space="preserve"> (</w:t>
      </w:r>
      <w:r w:rsidR="006E4CA3" w:rsidRPr="006E4CA3">
        <w:rPr>
          <w:lang w:val="en-US"/>
        </w:rPr>
        <w:t>Kim, 2020</w:t>
      </w:r>
      <w:r w:rsidR="006E4CA3">
        <w:rPr>
          <w:lang w:val="en-US"/>
        </w:rPr>
        <w:t>)</w:t>
      </w:r>
      <w:r w:rsidRPr="00984342">
        <w:rPr>
          <w:lang w:val="en-US"/>
        </w:rPr>
        <w:t>. If combined properly, a marketing plan will help reach the right audience which is hospitality leaders and sustainability experts through the use of the internet, electronic mailing, and collaborating with hospitality associations. Also, some of the other resources, which will be needed for the branding and media partnerships or promotional material, graphic design for branding, and media partnership will be needed to get a good event presence</w:t>
      </w:r>
      <w:r w:rsidR="006E4CA3">
        <w:rPr>
          <w:lang w:val="en-US"/>
        </w:rPr>
        <w:t xml:space="preserve"> (</w:t>
      </w:r>
      <w:r w:rsidR="006E4CA3" w:rsidRPr="006E4CA3">
        <w:rPr>
          <w:lang w:val="en-US"/>
        </w:rPr>
        <w:t>Blakeman, 2023</w:t>
      </w:r>
      <w:r w:rsidR="006E4CA3">
        <w:rPr>
          <w:lang w:val="en-US"/>
        </w:rPr>
        <w:t>)</w:t>
      </w:r>
      <w:r w:rsidRPr="00984342">
        <w:rPr>
          <w:lang w:val="en-US"/>
        </w:rPr>
        <w:t>.</w:t>
      </w:r>
    </w:p>
    <w:p w14:paraId="2B1EB486" w14:textId="77777777" w:rsidR="00984342" w:rsidRDefault="00984342"/>
    <w:p w14:paraId="389F720B" w14:textId="77777777" w:rsidR="00984342" w:rsidRDefault="00984342"/>
    <w:p w14:paraId="0E1743AA" w14:textId="77777777" w:rsidR="00984342" w:rsidRDefault="00984342"/>
    <w:p w14:paraId="5C5143FC" w14:textId="3AFB7E31" w:rsidR="00984342" w:rsidRDefault="00984342">
      <w:r>
        <w:lastRenderedPageBreak/>
        <w:drawing>
          <wp:inline distT="0" distB="0" distL="0" distR="0" wp14:anchorId="5D24E3C8" wp14:editId="41927D3C">
            <wp:extent cx="5943600" cy="3343275"/>
            <wp:effectExtent l="0" t="0" r="0" b="9525"/>
            <wp:docPr id="688696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9655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A68590D" w14:textId="77777777" w:rsidR="00984342" w:rsidRDefault="00984342"/>
    <w:p w14:paraId="1D05BE4A" w14:textId="11723E49" w:rsidR="00984342" w:rsidRPr="00984342" w:rsidRDefault="00984342" w:rsidP="00984342">
      <w:r w:rsidRPr="00984342">
        <w:t>The goals of knowledge creation, knowledge retention, and intellectual property protection can be accomplished by organisations using a wide range of resources. Organizations can invest in training, mentorship, knowledge-sharing platforms, and communities of practise to grow their employees' accumulated expertise</w:t>
      </w:r>
      <w:r w:rsidR="006E4CA3">
        <w:t xml:space="preserve"> (</w:t>
      </w:r>
      <w:r w:rsidR="006E4CA3" w:rsidRPr="006E4CA3">
        <w:t>Al-Zoubi</w:t>
      </w:r>
      <w:r w:rsidR="006E4CA3">
        <w:t xml:space="preserve"> et al., 2020)</w:t>
      </w:r>
      <w:r w:rsidRPr="00984342">
        <w:t>. These resources can encourage a culture of lifelong learning and creative problem solving within a business by providing individuals with the means to expand their skill sets. Knowledge management tools, documentation, and succession planning can help businesses make sure that crucial know-how is captured, kept, and passed on to new hires.</w:t>
      </w:r>
    </w:p>
    <w:p w14:paraId="1F44F94A" w14:textId="64D0EEF8" w:rsidR="00984342" w:rsidRDefault="00984342">
      <w:r>
        <w:lastRenderedPageBreak/>
        <w:drawing>
          <wp:inline distT="0" distB="0" distL="0" distR="0" wp14:anchorId="3E6C88B2" wp14:editId="7C9B2A35">
            <wp:extent cx="5943600" cy="3343275"/>
            <wp:effectExtent l="0" t="0" r="0" b="9525"/>
            <wp:docPr id="1662643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64326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4E61D64" w14:textId="77777777" w:rsidR="00984342" w:rsidRDefault="00984342"/>
    <w:p w14:paraId="4A08115D" w14:textId="00B72F56" w:rsidR="00984342" w:rsidRPr="00984342" w:rsidRDefault="00984342" w:rsidP="00984342">
      <w:r w:rsidRPr="00984342">
        <w:rPr>
          <w:lang w:val="en-US"/>
        </w:rPr>
        <w:t>Trends which characterise the meetings and events industry are for instance sustainability, technology, and the rise in popularity of hybrid events</w:t>
      </w:r>
      <w:r w:rsidR="00AD2F9E">
        <w:rPr>
          <w:lang w:val="en-US"/>
        </w:rPr>
        <w:t xml:space="preserve"> (</w:t>
      </w:r>
      <w:r w:rsidR="00AD2F9E" w:rsidRPr="00AD2F9E">
        <w:t>Rogers and Wynn-Moylan, 2022</w:t>
      </w:r>
      <w:r w:rsidR="00AD2F9E">
        <w:t>)</w:t>
      </w:r>
      <w:r w:rsidRPr="00984342">
        <w:rPr>
          <w:lang w:val="en-US"/>
        </w:rPr>
        <w:t>. Sustainability concern is today a significant consideration, and events strive to minimize their impact on the environment through using environmentally sustainable locations, minimizing the use of item disposals, and through purchasing carbon credits</w:t>
      </w:r>
      <w:r w:rsidR="00AD2F9E">
        <w:rPr>
          <w:lang w:val="en-US"/>
        </w:rPr>
        <w:t xml:space="preserve"> (</w:t>
      </w:r>
      <w:r w:rsidR="00AD2F9E" w:rsidRPr="00AD2F9E">
        <w:t>Coelho</w:t>
      </w:r>
      <w:r w:rsidR="00AD2F9E">
        <w:t xml:space="preserve"> et al., 2020)</w:t>
      </w:r>
      <w:r w:rsidRPr="00984342">
        <w:rPr>
          <w:lang w:val="en-US"/>
        </w:rPr>
        <w:t>. More so, with the advancement of technology in events such as virtual, and augmented reality, analytics AI and digital networking tools make the events more interesting and planned.</w:t>
      </w:r>
    </w:p>
    <w:p w14:paraId="328EEB76" w14:textId="5D8D4EB3" w:rsidR="00984342" w:rsidRPr="00984342" w:rsidRDefault="00984342" w:rsidP="00984342">
      <w:r w:rsidRPr="00984342">
        <w:rPr>
          <w:lang w:val="en-US"/>
        </w:rPr>
        <w:t>The use of hybrid and virtual events has become widely popular because of the inclusiveness requirements worldwide and the practicality of the events (</w:t>
      </w:r>
      <w:r w:rsidRPr="00984342">
        <w:t>Yung et al., 2022)</w:t>
      </w:r>
      <w:r w:rsidRPr="00984342">
        <w:rPr>
          <w:lang w:val="en-US"/>
        </w:rPr>
        <w:t>. Though participants have had access to a wider audience, these type of events have their unique hurdles of sustaining attendees’ interaction levels and adapting the technical demands to the setting. Other matters, such as data protection and security, have also emerged as more critical as event managers deal with increased individual and business information</w:t>
      </w:r>
      <w:r w:rsidR="00AD2F9E">
        <w:rPr>
          <w:lang w:val="en-US"/>
        </w:rPr>
        <w:t xml:space="preserve"> (</w:t>
      </w:r>
      <w:r w:rsidR="00AD2F9E" w:rsidRPr="00AD2F9E">
        <w:t>González-Granadillo</w:t>
      </w:r>
      <w:r w:rsidR="00AD2F9E">
        <w:t xml:space="preserve"> et al., 2021)</w:t>
      </w:r>
      <w:r w:rsidRPr="00984342">
        <w:rPr>
          <w:lang w:val="en-US"/>
        </w:rPr>
        <w:t>.</w:t>
      </w:r>
    </w:p>
    <w:p w14:paraId="2FEBDD11" w14:textId="3D347492" w:rsidR="00984342" w:rsidRPr="00984342" w:rsidRDefault="00984342" w:rsidP="00984342">
      <w:r w:rsidRPr="00984342">
        <w:rPr>
          <w:lang w:val="en-US"/>
        </w:rPr>
        <w:t>Such a directing of the agenda and the organizational processes reflects the trends of sustainability in the Global Winter Sustainability Conference</w:t>
      </w:r>
      <w:r w:rsidR="00AD2F9E">
        <w:rPr>
          <w:lang w:val="en-US"/>
        </w:rPr>
        <w:t xml:space="preserve"> (</w:t>
      </w:r>
      <w:r w:rsidR="00AD2F9E" w:rsidRPr="00AD2F9E">
        <w:t>Wibeck</w:t>
      </w:r>
      <w:r w:rsidR="00AD2F9E">
        <w:t xml:space="preserve"> et al., 2022)</w:t>
      </w:r>
      <w:r w:rsidRPr="00984342">
        <w:rPr>
          <w:lang w:val="en-US"/>
        </w:rPr>
        <w:t>. It may also incorporate other techniques or it may implement blended forms in a global context to demonstrate how some industry trends have affected its structure.</w:t>
      </w:r>
    </w:p>
    <w:p w14:paraId="33187CAB" w14:textId="583DA6EF" w:rsidR="00984342" w:rsidRDefault="00984342">
      <w:r>
        <w:lastRenderedPageBreak/>
        <w:drawing>
          <wp:inline distT="0" distB="0" distL="0" distR="0" wp14:anchorId="503A161C" wp14:editId="40841A84">
            <wp:extent cx="5943600" cy="3343275"/>
            <wp:effectExtent l="0" t="0" r="0" b="9525"/>
            <wp:docPr id="383504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0484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7FB5892A" w14:textId="77777777" w:rsidR="00984342" w:rsidRDefault="00984342"/>
    <w:p w14:paraId="0E00CD6F" w14:textId="173F6175" w:rsidR="00984342" w:rsidRPr="00984342" w:rsidRDefault="00984342" w:rsidP="00984342">
      <w:r w:rsidRPr="00984342">
        <w:rPr>
          <w:lang w:val="en-US"/>
        </w:rPr>
        <w:t>Several situational factors have an impact on the Global Winter Sustainability Conference: an emerging trend of global concern for sustainability; and the new format of hybrid events after the pandemic</w:t>
      </w:r>
      <w:r w:rsidR="00AD2F9E">
        <w:rPr>
          <w:lang w:val="en-US"/>
        </w:rPr>
        <w:t xml:space="preserve"> (</w:t>
      </w:r>
      <w:r w:rsidR="00AD2F9E" w:rsidRPr="00AD2F9E">
        <w:rPr>
          <w:lang w:val="en-US"/>
        </w:rPr>
        <w:t>Müller</w:t>
      </w:r>
      <w:r w:rsidR="00AD2F9E">
        <w:rPr>
          <w:lang w:val="en-US"/>
        </w:rPr>
        <w:t xml:space="preserve"> et al., 2021)</w:t>
      </w:r>
      <w:r w:rsidRPr="00984342">
        <w:rPr>
          <w:lang w:val="en-US"/>
        </w:rPr>
        <w:t>. Flexible arrangements for virtual meetings and environmental consciousness are two requirements needed to address today’s requirements. Some key considerations based on PESTEL analysis include. Environmental legislation or policies, Technology trends specifically with regards to event management, and social expectations to run environmentally friendly events</w:t>
      </w:r>
      <w:r w:rsidR="006E63B9">
        <w:rPr>
          <w:lang w:val="en-US"/>
        </w:rPr>
        <w:t xml:space="preserve"> (</w:t>
      </w:r>
      <w:r w:rsidR="006E63B9" w:rsidRPr="006E63B9">
        <w:t>Almalki</w:t>
      </w:r>
      <w:r w:rsidR="006E63B9">
        <w:t xml:space="preserve"> et al., 2023)</w:t>
      </w:r>
      <w:r w:rsidRPr="00984342">
        <w:rPr>
          <w:lang w:val="en-US"/>
        </w:rPr>
        <w:t>. Such considerations help keep the event on track and innovative.</w:t>
      </w:r>
    </w:p>
    <w:p w14:paraId="4FD5E5A7" w14:textId="3EBD0793" w:rsidR="00984342" w:rsidRPr="00984342" w:rsidRDefault="00984342" w:rsidP="00984342">
      <w:r w:rsidRPr="00984342">
        <w:rPr>
          <w:lang w:val="en-US"/>
        </w:rPr>
        <w:t>Culturally, the event attracts participants from different cultures and hence requires an understanding of different cultures, their beliefs, practices and language</w:t>
      </w:r>
      <w:r w:rsidR="006E63B9">
        <w:rPr>
          <w:lang w:val="en-US"/>
        </w:rPr>
        <w:t xml:space="preserve"> (</w:t>
      </w:r>
      <w:r w:rsidR="006E63B9" w:rsidRPr="006E63B9">
        <w:t>Richards</w:t>
      </w:r>
      <w:r w:rsidR="006E63B9">
        <w:t xml:space="preserve"> et al., 2020)</w:t>
      </w:r>
      <w:r w:rsidRPr="00984342">
        <w:rPr>
          <w:lang w:val="en-US"/>
        </w:rPr>
        <w:t>. It becomes important to address all these cultural differences to create teamwork and equal representation. If the conference incorporates the aspects of the societal and legal factors into the PESTEL analysis, it will be easier to develop a common language that is responsive to the hospitality leaders across the globe thus encouraging their participation</w:t>
      </w:r>
      <w:r w:rsidR="006E63B9">
        <w:rPr>
          <w:lang w:val="en-US"/>
        </w:rPr>
        <w:t xml:space="preserve"> (</w:t>
      </w:r>
      <w:r w:rsidR="006E63B9" w:rsidRPr="006E63B9">
        <w:t>Zhang</w:t>
      </w:r>
      <w:r w:rsidR="006E63B9">
        <w:t xml:space="preserve"> et al., 2020)</w:t>
      </w:r>
      <w:r w:rsidRPr="00984342">
        <w:rPr>
          <w:lang w:val="en-US"/>
        </w:rPr>
        <w:t>.</w:t>
      </w:r>
    </w:p>
    <w:p w14:paraId="4F8BE0A6" w14:textId="77777777" w:rsidR="00984342" w:rsidRDefault="00984342"/>
    <w:p w14:paraId="196A1F57" w14:textId="1E18EC96" w:rsidR="00984342" w:rsidRDefault="00984342">
      <w:r>
        <w:lastRenderedPageBreak/>
        <w:drawing>
          <wp:inline distT="0" distB="0" distL="0" distR="0" wp14:anchorId="3D38ED1E" wp14:editId="2F4690F4">
            <wp:extent cx="5943600" cy="3343275"/>
            <wp:effectExtent l="0" t="0" r="0" b="9525"/>
            <wp:docPr id="16194185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1856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1F96C6E" w14:textId="77777777" w:rsidR="00984342" w:rsidRDefault="00984342"/>
    <w:p w14:paraId="4F8EDC90" w14:textId="77777777" w:rsidR="000E3D65" w:rsidRDefault="000E3D65">
      <w:r w:rsidRPr="006E63B9">
        <w:t>Almalki, F.A., Alsamhi, S.H., Sahal, R., Hassan, J., Hawbani, A., Rajput, N.S., Saif, A., Morgan, J. and Breslin, J., 2023. Green IoT for eco-friendly and sustainable smart cities: future directions and opportunities. </w:t>
      </w:r>
      <w:r w:rsidRPr="006E63B9">
        <w:rPr>
          <w:i/>
          <w:iCs/>
        </w:rPr>
        <w:t>Mobile Networks and Applications</w:t>
      </w:r>
      <w:r w:rsidRPr="006E63B9">
        <w:t>, </w:t>
      </w:r>
      <w:r w:rsidRPr="006E63B9">
        <w:rPr>
          <w:i/>
          <w:iCs/>
        </w:rPr>
        <w:t>28</w:t>
      </w:r>
      <w:r w:rsidRPr="006E63B9">
        <w:t>(1), pp.178-202.</w:t>
      </w:r>
    </w:p>
    <w:p w14:paraId="36B055E2" w14:textId="77777777" w:rsidR="000E3D65" w:rsidRDefault="000E3D65">
      <w:r w:rsidRPr="006E4CA3">
        <w:t>Al-Zoubi, M.O., Alrowwad, A.A. and Masa’deh, R.E., 2020. Exploring the relationships among tacit knowledge sharing, mentoring and employees’ abilities: The case of Al-Hikma pharmaceutical company in Jordan. </w:t>
      </w:r>
      <w:r w:rsidRPr="006E4CA3">
        <w:rPr>
          <w:i/>
          <w:iCs/>
        </w:rPr>
        <w:t>VINE Journal of Information and Knowledge Management Systems</w:t>
      </w:r>
      <w:r w:rsidRPr="006E4CA3">
        <w:t>, </w:t>
      </w:r>
      <w:r w:rsidRPr="006E4CA3">
        <w:rPr>
          <w:i/>
          <w:iCs/>
        </w:rPr>
        <w:t>50</w:t>
      </w:r>
      <w:r w:rsidRPr="006E4CA3">
        <w:t>(1), pp.34-56.</w:t>
      </w:r>
    </w:p>
    <w:p w14:paraId="25DB8EAD" w14:textId="77777777" w:rsidR="000E3D65" w:rsidRPr="00984342" w:rsidRDefault="000E3D65" w:rsidP="00984342">
      <w:bookmarkStart w:id="1" w:name="_Hlk179826835"/>
      <w:r w:rsidRPr="006E4CA3">
        <w:t>Blakeman, R., 2023</w:t>
      </w:r>
      <w:bookmarkEnd w:id="1"/>
      <w:r w:rsidRPr="006E4CA3">
        <w:t>. </w:t>
      </w:r>
      <w:r w:rsidRPr="006E4CA3">
        <w:rPr>
          <w:i/>
          <w:iCs/>
        </w:rPr>
        <w:t>Integrated marketing communication: creative strategy from idea to implementation</w:t>
      </w:r>
      <w:r w:rsidRPr="006E4CA3">
        <w:t>. Rowman &amp; Littlefield.</w:t>
      </w:r>
    </w:p>
    <w:p w14:paraId="72FD58F0" w14:textId="77777777" w:rsidR="000E3D65" w:rsidRDefault="000E3D65" w:rsidP="00984342">
      <w:bookmarkStart w:id="2" w:name="_Hlk179825928"/>
      <w:r w:rsidRPr="00AA4F5C">
        <w:t>Celuch, K., 2021</w:t>
      </w:r>
      <w:bookmarkEnd w:id="2"/>
      <w:r w:rsidRPr="00AA4F5C">
        <w:t>. Event technology for potential sustainable practices: A bibliometric review and research agenda. </w:t>
      </w:r>
      <w:r w:rsidRPr="00AA4F5C">
        <w:rPr>
          <w:i/>
          <w:iCs/>
        </w:rPr>
        <w:t>International Journal of Event and Festival Management</w:t>
      </w:r>
      <w:r w:rsidRPr="00AA4F5C">
        <w:t>, </w:t>
      </w:r>
      <w:r w:rsidRPr="00AA4F5C">
        <w:rPr>
          <w:i/>
          <w:iCs/>
        </w:rPr>
        <w:t>12</w:t>
      </w:r>
      <w:r w:rsidRPr="00AA4F5C">
        <w:t>(3), pp.314-330.</w:t>
      </w:r>
    </w:p>
    <w:p w14:paraId="7C49E413" w14:textId="77777777" w:rsidR="000E3D65" w:rsidRDefault="000E3D65">
      <w:r w:rsidRPr="00AD2F9E">
        <w:t>Coelho, P.M., Corona, B., ten Klooster, R. and Worrell, E., 2020. Sustainability of reusable packaging–Current situation and trends. </w:t>
      </w:r>
      <w:r w:rsidRPr="00AD2F9E">
        <w:rPr>
          <w:i/>
          <w:iCs/>
        </w:rPr>
        <w:t>Resources, Conservation &amp; Recycling: X</w:t>
      </w:r>
      <w:r w:rsidRPr="00AD2F9E">
        <w:t>, </w:t>
      </w:r>
      <w:r w:rsidRPr="00AD2F9E">
        <w:rPr>
          <w:i/>
          <w:iCs/>
        </w:rPr>
        <w:t>6</w:t>
      </w:r>
      <w:r w:rsidRPr="00AD2F9E">
        <w:t>, p.100037.</w:t>
      </w:r>
    </w:p>
    <w:p w14:paraId="39BF9487" w14:textId="77777777" w:rsidR="000E3D65" w:rsidRPr="00984342" w:rsidRDefault="000E3D65" w:rsidP="00984342">
      <w:r w:rsidRPr="00984342">
        <w:t>Daddi, T., Rizzi, F., Pretner, G., Todaro, N., Annunziata, E., Frey, M. and Iraldo, F., 2022. Environmental management of sport events: a focus on European professional football. </w:t>
      </w:r>
      <w:r w:rsidRPr="00984342">
        <w:rPr>
          <w:i/>
          <w:iCs/>
        </w:rPr>
        <w:t>Sport, Business and Management: An International Journal</w:t>
      </w:r>
      <w:r w:rsidRPr="00984342">
        <w:t>, </w:t>
      </w:r>
      <w:r w:rsidRPr="00984342">
        <w:rPr>
          <w:i/>
          <w:iCs/>
        </w:rPr>
        <w:t>12</w:t>
      </w:r>
      <w:r w:rsidRPr="00984342">
        <w:t>(2), pp.208-232.</w:t>
      </w:r>
    </w:p>
    <w:p w14:paraId="05B1E0FA" w14:textId="77777777" w:rsidR="000E3D65" w:rsidRDefault="000E3D65">
      <w:r w:rsidRPr="006E63B9">
        <w:t>Gerecke, S., Schilling, J., Choi, J.H., Zhu, L., Walsh, J. and Mattingly, P., 2022. Low-Rise Infill Housing in Los Angeles. </w:t>
      </w:r>
      <w:r w:rsidRPr="006E63B9">
        <w:rPr>
          <w:i/>
          <w:iCs/>
        </w:rPr>
        <w:t>Urban Institute</w:t>
      </w:r>
      <w:r w:rsidRPr="006E63B9">
        <w:t>.</w:t>
      </w:r>
    </w:p>
    <w:p w14:paraId="141099CF" w14:textId="77777777" w:rsidR="000E3D65" w:rsidRDefault="000E3D65">
      <w:r w:rsidRPr="00AD2F9E">
        <w:t>González-Granadillo, G., González-Zarzosa, S. and Diaz, R., 2021. Security information and event management (SIEM): analysis, trends, and usage in critical infrastructures. </w:t>
      </w:r>
      <w:r w:rsidRPr="00AD2F9E">
        <w:rPr>
          <w:i/>
          <w:iCs/>
        </w:rPr>
        <w:t>Sensors</w:t>
      </w:r>
      <w:r w:rsidRPr="00AD2F9E">
        <w:t>, </w:t>
      </w:r>
      <w:r w:rsidRPr="00AD2F9E">
        <w:rPr>
          <w:i/>
          <w:iCs/>
        </w:rPr>
        <w:t>21</w:t>
      </w:r>
      <w:r w:rsidRPr="00AD2F9E">
        <w:t>(14), p.4759.</w:t>
      </w:r>
    </w:p>
    <w:p w14:paraId="5BE95C82" w14:textId="77777777" w:rsidR="000E3D65" w:rsidRDefault="000E3D65" w:rsidP="00984342">
      <w:r w:rsidRPr="006B589A">
        <w:lastRenderedPageBreak/>
        <w:t>Graci, S., 2020. Collaboration and partnership development for sustainable tourism. In </w:t>
      </w:r>
      <w:r w:rsidRPr="006B589A">
        <w:rPr>
          <w:i/>
          <w:iCs/>
        </w:rPr>
        <w:t>Tourism and Sustainable Development Goals</w:t>
      </w:r>
      <w:r w:rsidRPr="006B589A">
        <w:t> (pp. 232-249). Routledge.</w:t>
      </w:r>
    </w:p>
    <w:p w14:paraId="228EDDEA" w14:textId="77777777" w:rsidR="000E3D65" w:rsidRDefault="000E3D65" w:rsidP="00984342">
      <w:bookmarkStart w:id="3" w:name="_Hlk179825558"/>
      <w:r w:rsidRPr="00A901E9">
        <w:t>Han, H., 2021</w:t>
      </w:r>
      <w:bookmarkEnd w:id="3"/>
      <w:r w:rsidRPr="00A901E9">
        <w:t>. Consumer behavior and environmental sustainability in tourism and hospitality: A review of theories, concepts, and latest research. </w:t>
      </w:r>
      <w:r w:rsidRPr="00A901E9">
        <w:rPr>
          <w:i/>
          <w:iCs/>
        </w:rPr>
        <w:t>Sustainable Consumer Behaviour and the Environment</w:t>
      </w:r>
      <w:r w:rsidRPr="00A901E9">
        <w:t>, pp.1-22.</w:t>
      </w:r>
    </w:p>
    <w:p w14:paraId="5DE4290E" w14:textId="77777777" w:rsidR="000E3D65" w:rsidRDefault="000E3D65">
      <w:r w:rsidRPr="006E63B9">
        <w:t>Kadiu, A., 2024. </w:t>
      </w:r>
      <w:r w:rsidRPr="006E63B9">
        <w:rPr>
          <w:i/>
          <w:iCs/>
        </w:rPr>
        <w:t>Marketing Strategies promoting Sustainable Tourism Development in the country of Albania</w:t>
      </w:r>
      <w:r w:rsidRPr="006E63B9">
        <w:t> (Doctoral dissertation, soe).</w:t>
      </w:r>
    </w:p>
    <w:p w14:paraId="1507F021" w14:textId="77777777" w:rsidR="000E3D65" w:rsidRDefault="000E3D65" w:rsidP="00984342">
      <w:bookmarkStart w:id="4" w:name="_Hlk179826699"/>
      <w:r w:rsidRPr="006E4CA3">
        <w:t>Kim, C.M., 2020</w:t>
      </w:r>
      <w:bookmarkEnd w:id="4"/>
      <w:r w:rsidRPr="006E4CA3">
        <w:t>. Social media campaigns: Strategies for public relations and marketing. Routledge.</w:t>
      </w:r>
    </w:p>
    <w:p w14:paraId="6C93E6FF" w14:textId="77777777" w:rsidR="000E3D65" w:rsidRPr="00984342" w:rsidRDefault="000E3D65" w:rsidP="00984342">
      <w:r w:rsidRPr="00984342">
        <w:t>Miles, L. and Shipway, R., 2020. Exploring the COVID-19 pandemic as a catalyst for stimulating future research agendas for managing crises and disasters at international sport events. </w:t>
      </w:r>
      <w:r w:rsidRPr="00984342">
        <w:rPr>
          <w:i/>
          <w:iCs/>
        </w:rPr>
        <w:t>Event Management</w:t>
      </w:r>
      <w:r w:rsidRPr="00984342">
        <w:t>, </w:t>
      </w:r>
      <w:r w:rsidRPr="00984342">
        <w:rPr>
          <w:i/>
          <w:iCs/>
        </w:rPr>
        <w:t>24</w:t>
      </w:r>
      <w:r w:rsidRPr="00984342">
        <w:t>(4), pp.537-552.</w:t>
      </w:r>
    </w:p>
    <w:p w14:paraId="0111A9A5" w14:textId="77777777" w:rsidR="000E3D65" w:rsidRDefault="000E3D65">
      <w:r w:rsidRPr="00AD2F9E">
        <w:t>Müller, M., Wolfe, S.D., Gaffney, C., Gogishvili, D., Hug, M. and Leick, A., 2021. An evaluation of the sustainability of the Olympic Games. </w:t>
      </w:r>
      <w:r w:rsidRPr="00AD2F9E">
        <w:rPr>
          <w:i/>
          <w:iCs/>
        </w:rPr>
        <w:t>Nature sustainability</w:t>
      </w:r>
      <w:r w:rsidRPr="00AD2F9E">
        <w:t>, </w:t>
      </w:r>
      <w:r w:rsidRPr="00AD2F9E">
        <w:rPr>
          <w:i/>
          <w:iCs/>
        </w:rPr>
        <w:t>4</w:t>
      </w:r>
      <w:r w:rsidRPr="00AD2F9E">
        <w:t>(4), pp.340-348.</w:t>
      </w:r>
    </w:p>
    <w:p w14:paraId="1DA5CCBA" w14:textId="77777777" w:rsidR="000E3D65" w:rsidRDefault="000E3D65">
      <w:r w:rsidRPr="006E63B9">
        <w:t>Richards, G., King, B. and Yeung, E., 2020. Experiencing culture in attractions, events and tour settings. </w:t>
      </w:r>
      <w:r w:rsidRPr="006E63B9">
        <w:rPr>
          <w:i/>
          <w:iCs/>
        </w:rPr>
        <w:t>Tourism Management</w:t>
      </w:r>
      <w:r w:rsidRPr="006E63B9">
        <w:t>, </w:t>
      </w:r>
      <w:r w:rsidRPr="006E63B9">
        <w:rPr>
          <w:i/>
          <w:iCs/>
        </w:rPr>
        <w:t>79</w:t>
      </w:r>
      <w:r w:rsidRPr="006E63B9">
        <w:t>, p.104104.</w:t>
      </w:r>
    </w:p>
    <w:p w14:paraId="7CABAE5F" w14:textId="77777777" w:rsidR="000E3D65" w:rsidRDefault="000E3D65">
      <w:r w:rsidRPr="00AD2F9E">
        <w:t>Rogers, T. and Wynn-Moylan, P., 2022. </w:t>
      </w:r>
      <w:r w:rsidRPr="00AD2F9E">
        <w:rPr>
          <w:i/>
          <w:iCs/>
        </w:rPr>
        <w:t>Conferences and conventions: A global industry</w:t>
      </w:r>
      <w:r w:rsidRPr="00AD2F9E">
        <w:t>. Routledge.</w:t>
      </w:r>
    </w:p>
    <w:p w14:paraId="614D5DB2" w14:textId="77777777" w:rsidR="000E3D65" w:rsidRPr="00984342" w:rsidRDefault="000E3D65" w:rsidP="00984342">
      <w:r w:rsidRPr="00984342">
        <w:t>Shang, H., Chen, R. and Li, Z., 2020. Dynamic sustainability capabilities and corporate sustainability performance: The mediating effect of resource management capabilities. </w:t>
      </w:r>
      <w:r w:rsidRPr="00984342">
        <w:rPr>
          <w:i/>
          <w:iCs/>
        </w:rPr>
        <w:t>Sustainable Development</w:t>
      </w:r>
      <w:r w:rsidRPr="00984342">
        <w:t>, </w:t>
      </w:r>
      <w:r w:rsidRPr="00984342">
        <w:rPr>
          <w:i/>
          <w:iCs/>
        </w:rPr>
        <w:t>28</w:t>
      </w:r>
      <w:r w:rsidRPr="00984342">
        <w:t>(4), pp.595-612.</w:t>
      </w:r>
    </w:p>
    <w:p w14:paraId="70105C8A" w14:textId="77777777" w:rsidR="000E3D65" w:rsidRDefault="000E3D65">
      <w:r w:rsidRPr="00AD2F9E">
        <w:t>Wibeck, V., Eliasson, K. and Neset, T.S., 2022. Co-creation research for transformative times: Facilitating foresight capacity in view of global sustainability challenges. </w:t>
      </w:r>
      <w:r w:rsidRPr="00AD2F9E">
        <w:rPr>
          <w:i/>
          <w:iCs/>
        </w:rPr>
        <w:t>Environmental Science &amp; Policy</w:t>
      </w:r>
      <w:r w:rsidRPr="00AD2F9E">
        <w:t>, </w:t>
      </w:r>
      <w:r w:rsidRPr="00AD2F9E">
        <w:rPr>
          <w:i/>
          <w:iCs/>
        </w:rPr>
        <w:t>128</w:t>
      </w:r>
      <w:r w:rsidRPr="00AD2F9E">
        <w:t>, pp.290-298.</w:t>
      </w:r>
    </w:p>
    <w:p w14:paraId="3EBB0308" w14:textId="77777777" w:rsidR="000E3D65" w:rsidRDefault="000E3D65" w:rsidP="00984342">
      <w:r w:rsidRPr="00984342">
        <w:t>Yung, R., Le, T.H., Moyle, B. and Arcodia, C., 2022. Towards a typology of virtual events. </w:t>
      </w:r>
      <w:r w:rsidRPr="00984342">
        <w:rPr>
          <w:i/>
          <w:iCs/>
        </w:rPr>
        <w:t>Tourism Management</w:t>
      </w:r>
      <w:r w:rsidRPr="00984342">
        <w:t>, </w:t>
      </w:r>
      <w:r w:rsidRPr="00984342">
        <w:rPr>
          <w:i/>
          <w:iCs/>
        </w:rPr>
        <w:t>92</w:t>
      </w:r>
      <w:r w:rsidRPr="00984342">
        <w:t>, p.104560.</w:t>
      </w:r>
    </w:p>
    <w:p w14:paraId="27702F23" w14:textId="77777777" w:rsidR="000E3D65" w:rsidRDefault="000E3D65">
      <w:r w:rsidRPr="006E63B9">
        <w:t>Zhang, X., Yang, Y., Qiao, S. and Zhang, Z., 2022. Responsive and responsible: Customizing management responses to online traveler reviews. </w:t>
      </w:r>
      <w:r w:rsidRPr="006E63B9">
        <w:rPr>
          <w:i/>
          <w:iCs/>
        </w:rPr>
        <w:t>Journal of Travel Research</w:t>
      </w:r>
      <w:r w:rsidRPr="006E63B9">
        <w:t>, </w:t>
      </w:r>
      <w:r w:rsidRPr="006E63B9">
        <w:rPr>
          <w:i/>
          <w:iCs/>
        </w:rPr>
        <w:t>61</w:t>
      </w:r>
      <w:r w:rsidRPr="006E63B9">
        <w:t>(1), pp.120-135.</w:t>
      </w:r>
    </w:p>
    <w:sectPr w:rsidR="000E3D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225134"/>
    <w:multiLevelType w:val="hybridMultilevel"/>
    <w:tmpl w:val="E63C0FCA"/>
    <w:lvl w:ilvl="0" w:tplc="11F2C518">
      <w:start w:val="1"/>
      <w:numFmt w:val="bullet"/>
      <w:lvlText w:val=""/>
      <w:lvlJc w:val="left"/>
      <w:pPr>
        <w:tabs>
          <w:tab w:val="num" w:pos="720"/>
        </w:tabs>
        <w:ind w:left="720" w:hanging="360"/>
      </w:pPr>
      <w:rPr>
        <w:rFonts w:ascii="Symbol" w:hAnsi="Symbol" w:hint="default"/>
      </w:rPr>
    </w:lvl>
    <w:lvl w:ilvl="1" w:tplc="A45CD5CE" w:tentative="1">
      <w:start w:val="1"/>
      <w:numFmt w:val="bullet"/>
      <w:lvlText w:val=""/>
      <w:lvlJc w:val="left"/>
      <w:pPr>
        <w:tabs>
          <w:tab w:val="num" w:pos="1440"/>
        </w:tabs>
        <w:ind w:left="1440" w:hanging="360"/>
      </w:pPr>
      <w:rPr>
        <w:rFonts w:ascii="Symbol" w:hAnsi="Symbol" w:hint="default"/>
      </w:rPr>
    </w:lvl>
    <w:lvl w:ilvl="2" w:tplc="BFF487FC" w:tentative="1">
      <w:start w:val="1"/>
      <w:numFmt w:val="bullet"/>
      <w:lvlText w:val=""/>
      <w:lvlJc w:val="left"/>
      <w:pPr>
        <w:tabs>
          <w:tab w:val="num" w:pos="2160"/>
        </w:tabs>
        <w:ind w:left="2160" w:hanging="360"/>
      </w:pPr>
      <w:rPr>
        <w:rFonts w:ascii="Symbol" w:hAnsi="Symbol" w:hint="default"/>
      </w:rPr>
    </w:lvl>
    <w:lvl w:ilvl="3" w:tplc="5DE6D0AE" w:tentative="1">
      <w:start w:val="1"/>
      <w:numFmt w:val="bullet"/>
      <w:lvlText w:val=""/>
      <w:lvlJc w:val="left"/>
      <w:pPr>
        <w:tabs>
          <w:tab w:val="num" w:pos="2880"/>
        </w:tabs>
        <w:ind w:left="2880" w:hanging="360"/>
      </w:pPr>
      <w:rPr>
        <w:rFonts w:ascii="Symbol" w:hAnsi="Symbol" w:hint="default"/>
      </w:rPr>
    </w:lvl>
    <w:lvl w:ilvl="4" w:tplc="5B20612A" w:tentative="1">
      <w:start w:val="1"/>
      <w:numFmt w:val="bullet"/>
      <w:lvlText w:val=""/>
      <w:lvlJc w:val="left"/>
      <w:pPr>
        <w:tabs>
          <w:tab w:val="num" w:pos="3600"/>
        </w:tabs>
        <w:ind w:left="3600" w:hanging="360"/>
      </w:pPr>
      <w:rPr>
        <w:rFonts w:ascii="Symbol" w:hAnsi="Symbol" w:hint="default"/>
      </w:rPr>
    </w:lvl>
    <w:lvl w:ilvl="5" w:tplc="21562C7A" w:tentative="1">
      <w:start w:val="1"/>
      <w:numFmt w:val="bullet"/>
      <w:lvlText w:val=""/>
      <w:lvlJc w:val="left"/>
      <w:pPr>
        <w:tabs>
          <w:tab w:val="num" w:pos="4320"/>
        </w:tabs>
        <w:ind w:left="4320" w:hanging="360"/>
      </w:pPr>
      <w:rPr>
        <w:rFonts w:ascii="Symbol" w:hAnsi="Symbol" w:hint="default"/>
      </w:rPr>
    </w:lvl>
    <w:lvl w:ilvl="6" w:tplc="BC08F972" w:tentative="1">
      <w:start w:val="1"/>
      <w:numFmt w:val="bullet"/>
      <w:lvlText w:val=""/>
      <w:lvlJc w:val="left"/>
      <w:pPr>
        <w:tabs>
          <w:tab w:val="num" w:pos="5040"/>
        </w:tabs>
        <w:ind w:left="5040" w:hanging="360"/>
      </w:pPr>
      <w:rPr>
        <w:rFonts w:ascii="Symbol" w:hAnsi="Symbol" w:hint="default"/>
      </w:rPr>
    </w:lvl>
    <w:lvl w:ilvl="7" w:tplc="237248F8" w:tentative="1">
      <w:start w:val="1"/>
      <w:numFmt w:val="bullet"/>
      <w:lvlText w:val=""/>
      <w:lvlJc w:val="left"/>
      <w:pPr>
        <w:tabs>
          <w:tab w:val="num" w:pos="5760"/>
        </w:tabs>
        <w:ind w:left="5760" w:hanging="360"/>
      </w:pPr>
      <w:rPr>
        <w:rFonts w:ascii="Symbol" w:hAnsi="Symbol" w:hint="default"/>
      </w:rPr>
    </w:lvl>
    <w:lvl w:ilvl="8" w:tplc="B8148132" w:tentative="1">
      <w:start w:val="1"/>
      <w:numFmt w:val="bullet"/>
      <w:lvlText w:val=""/>
      <w:lvlJc w:val="left"/>
      <w:pPr>
        <w:tabs>
          <w:tab w:val="num" w:pos="6480"/>
        </w:tabs>
        <w:ind w:left="6480" w:hanging="360"/>
      </w:pPr>
      <w:rPr>
        <w:rFonts w:ascii="Symbol" w:hAnsi="Symbol" w:hint="default"/>
      </w:rPr>
    </w:lvl>
  </w:abstractNum>
  <w:num w:numId="1" w16cid:durableId="1866551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a2MLG0MDYzNDK1NLBU0lEKTi0uzszPAykwrAUAVgQR0ywAAAA="/>
  </w:docVars>
  <w:rsids>
    <w:rsidRoot w:val="00984342"/>
    <w:rsid w:val="00012B8F"/>
    <w:rsid w:val="000E3D65"/>
    <w:rsid w:val="001D55D6"/>
    <w:rsid w:val="004B3B72"/>
    <w:rsid w:val="0051653D"/>
    <w:rsid w:val="00597939"/>
    <w:rsid w:val="00646CE4"/>
    <w:rsid w:val="006B589A"/>
    <w:rsid w:val="006E4CA3"/>
    <w:rsid w:val="006E63B9"/>
    <w:rsid w:val="007E7809"/>
    <w:rsid w:val="00984342"/>
    <w:rsid w:val="00A901E9"/>
    <w:rsid w:val="00AA4F5C"/>
    <w:rsid w:val="00AD2F9E"/>
    <w:rsid w:val="00CA3BA3"/>
    <w:rsid w:val="00EC08A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500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559723">
      <w:bodyDiv w:val="1"/>
      <w:marLeft w:val="0"/>
      <w:marRight w:val="0"/>
      <w:marTop w:val="0"/>
      <w:marBottom w:val="0"/>
      <w:divBdr>
        <w:top w:val="none" w:sz="0" w:space="0" w:color="auto"/>
        <w:left w:val="none" w:sz="0" w:space="0" w:color="auto"/>
        <w:bottom w:val="none" w:sz="0" w:space="0" w:color="auto"/>
        <w:right w:val="none" w:sz="0" w:space="0" w:color="auto"/>
      </w:divBdr>
    </w:div>
    <w:div w:id="416022944">
      <w:bodyDiv w:val="1"/>
      <w:marLeft w:val="0"/>
      <w:marRight w:val="0"/>
      <w:marTop w:val="0"/>
      <w:marBottom w:val="0"/>
      <w:divBdr>
        <w:top w:val="none" w:sz="0" w:space="0" w:color="auto"/>
        <w:left w:val="none" w:sz="0" w:space="0" w:color="auto"/>
        <w:bottom w:val="none" w:sz="0" w:space="0" w:color="auto"/>
        <w:right w:val="none" w:sz="0" w:space="0" w:color="auto"/>
      </w:divBdr>
    </w:div>
    <w:div w:id="495417158">
      <w:bodyDiv w:val="1"/>
      <w:marLeft w:val="0"/>
      <w:marRight w:val="0"/>
      <w:marTop w:val="0"/>
      <w:marBottom w:val="0"/>
      <w:divBdr>
        <w:top w:val="none" w:sz="0" w:space="0" w:color="auto"/>
        <w:left w:val="none" w:sz="0" w:space="0" w:color="auto"/>
        <w:bottom w:val="none" w:sz="0" w:space="0" w:color="auto"/>
        <w:right w:val="none" w:sz="0" w:space="0" w:color="auto"/>
      </w:divBdr>
    </w:div>
    <w:div w:id="602423844">
      <w:bodyDiv w:val="1"/>
      <w:marLeft w:val="0"/>
      <w:marRight w:val="0"/>
      <w:marTop w:val="0"/>
      <w:marBottom w:val="0"/>
      <w:divBdr>
        <w:top w:val="none" w:sz="0" w:space="0" w:color="auto"/>
        <w:left w:val="none" w:sz="0" w:space="0" w:color="auto"/>
        <w:bottom w:val="none" w:sz="0" w:space="0" w:color="auto"/>
        <w:right w:val="none" w:sz="0" w:space="0" w:color="auto"/>
      </w:divBdr>
    </w:div>
    <w:div w:id="696852318">
      <w:bodyDiv w:val="1"/>
      <w:marLeft w:val="0"/>
      <w:marRight w:val="0"/>
      <w:marTop w:val="0"/>
      <w:marBottom w:val="0"/>
      <w:divBdr>
        <w:top w:val="none" w:sz="0" w:space="0" w:color="auto"/>
        <w:left w:val="none" w:sz="0" w:space="0" w:color="auto"/>
        <w:bottom w:val="none" w:sz="0" w:space="0" w:color="auto"/>
        <w:right w:val="none" w:sz="0" w:space="0" w:color="auto"/>
      </w:divBdr>
      <w:divsChild>
        <w:div w:id="594022368">
          <w:marLeft w:val="547"/>
          <w:marRight w:val="0"/>
          <w:marTop w:val="0"/>
          <w:marBottom w:val="160"/>
          <w:divBdr>
            <w:top w:val="none" w:sz="0" w:space="0" w:color="auto"/>
            <w:left w:val="none" w:sz="0" w:space="0" w:color="auto"/>
            <w:bottom w:val="none" w:sz="0" w:space="0" w:color="auto"/>
            <w:right w:val="none" w:sz="0" w:space="0" w:color="auto"/>
          </w:divBdr>
        </w:div>
        <w:div w:id="721635350">
          <w:marLeft w:val="547"/>
          <w:marRight w:val="0"/>
          <w:marTop w:val="0"/>
          <w:marBottom w:val="160"/>
          <w:divBdr>
            <w:top w:val="none" w:sz="0" w:space="0" w:color="auto"/>
            <w:left w:val="none" w:sz="0" w:space="0" w:color="auto"/>
            <w:bottom w:val="none" w:sz="0" w:space="0" w:color="auto"/>
            <w:right w:val="none" w:sz="0" w:space="0" w:color="auto"/>
          </w:divBdr>
        </w:div>
        <w:div w:id="396127643">
          <w:marLeft w:val="547"/>
          <w:marRight w:val="0"/>
          <w:marTop w:val="0"/>
          <w:marBottom w:val="160"/>
          <w:divBdr>
            <w:top w:val="none" w:sz="0" w:space="0" w:color="auto"/>
            <w:left w:val="none" w:sz="0" w:space="0" w:color="auto"/>
            <w:bottom w:val="none" w:sz="0" w:space="0" w:color="auto"/>
            <w:right w:val="none" w:sz="0" w:space="0" w:color="auto"/>
          </w:divBdr>
        </w:div>
        <w:div w:id="2042780560">
          <w:marLeft w:val="547"/>
          <w:marRight w:val="0"/>
          <w:marTop w:val="0"/>
          <w:marBottom w:val="160"/>
          <w:divBdr>
            <w:top w:val="none" w:sz="0" w:space="0" w:color="auto"/>
            <w:left w:val="none" w:sz="0" w:space="0" w:color="auto"/>
            <w:bottom w:val="none" w:sz="0" w:space="0" w:color="auto"/>
            <w:right w:val="none" w:sz="0" w:space="0" w:color="auto"/>
          </w:divBdr>
        </w:div>
        <w:div w:id="1408041837">
          <w:marLeft w:val="547"/>
          <w:marRight w:val="0"/>
          <w:marTop w:val="0"/>
          <w:marBottom w:val="160"/>
          <w:divBdr>
            <w:top w:val="none" w:sz="0" w:space="0" w:color="auto"/>
            <w:left w:val="none" w:sz="0" w:space="0" w:color="auto"/>
            <w:bottom w:val="none" w:sz="0" w:space="0" w:color="auto"/>
            <w:right w:val="none" w:sz="0" w:space="0" w:color="auto"/>
          </w:divBdr>
        </w:div>
        <w:div w:id="424694305">
          <w:marLeft w:val="547"/>
          <w:marRight w:val="0"/>
          <w:marTop w:val="0"/>
          <w:marBottom w:val="160"/>
          <w:divBdr>
            <w:top w:val="none" w:sz="0" w:space="0" w:color="auto"/>
            <w:left w:val="none" w:sz="0" w:space="0" w:color="auto"/>
            <w:bottom w:val="none" w:sz="0" w:space="0" w:color="auto"/>
            <w:right w:val="none" w:sz="0" w:space="0" w:color="auto"/>
          </w:divBdr>
        </w:div>
        <w:div w:id="1212500956">
          <w:marLeft w:val="547"/>
          <w:marRight w:val="0"/>
          <w:marTop w:val="0"/>
          <w:marBottom w:val="160"/>
          <w:divBdr>
            <w:top w:val="none" w:sz="0" w:space="0" w:color="auto"/>
            <w:left w:val="none" w:sz="0" w:space="0" w:color="auto"/>
            <w:bottom w:val="none" w:sz="0" w:space="0" w:color="auto"/>
            <w:right w:val="none" w:sz="0" w:space="0" w:color="auto"/>
          </w:divBdr>
        </w:div>
        <w:div w:id="1067995773">
          <w:marLeft w:val="547"/>
          <w:marRight w:val="0"/>
          <w:marTop w:val="0"/>
          <w:marBottom w:val="160"/>
          <w:divBdr>
            <w:top w:val="none" w:sz="0" w:space="0" w:color="auto"/>
            <w:left w:val="none" w:sz="0" w:space="0" w:color="auto"/>
            <w:bottom w:val="none" w:sz="0" w:space="0" w:color="auto"/>
            <w:right w:val="none" w:sz="0" w:space="0" w:color="auto"/>
          </w:divBdr>
        </w:div>
      </w:divsChild>
    </w:div>
    <w:div w:id="1400250970">
      <w:bodyDiv w:val="1"/>
      <w:marLeft w:val="0"/>
      <w:marRight w:val="0"/>
      <w:marTop w:val="0"/>
      <w:marBottom w:val="0"/>
      <w:divBdr>
        <w:top w:val="none" w:sz="0" w:space="0" w:color="auto"/>
        <w:left w:val="none" w:sz="0" w:space="0" w:color="auto"/>
        <w:bottom w:val="none" w:sz="0" w:space="0" w:color="auto"/>
        <w:right w:val="none" w:sz="0" w:space="0" w:color="auto"/>
      </w:divBdr>
    </w:div>
    <w:div w:id="1582789429">
      <w:bodyDiv w:val="1"/>
      <w:marLeft w:val="0"/>
      <w:marRight w:val="0"/>
      <w:marTop w:val="0"/>
      <w:marBottom w:val="0"/>
      <w:divBdr>
        <w:top w:val="none" w:sz="0" w:space="0" w:color="auto"/>
        <w:left w:val="none" w:sz="0" w:space="0" w:color="auto"/>
        <w:bottom w:val="none" w:sz="0" w:space="0" w:color="auto"/>
        <w:right w:val="none" w:sz="0" w:space="0" w:color="auto"/>
      </w:divBdr>
    </w:div>
    <w:div w:id="1862206811">
      <w:bodyDiv w:val="1"/>
      <w:marLeft w:val="0"/>
      <w:marRight w:val="0"/>
      <w:marTop w:val="0"/>
      <w:marBottom w:val="0"/>
      <w:divBdr>
        <w:top w:val="none" w:sz="0" w:space="0" w:color="auto"/>
        <w:left w:val="none" w:sz="0" w:space="0" w:color="auto"/>
        <w:bottom w:val="none" w:sz="0" w:space="0" w:color="auto"/>
        <w:right w:val="none" w:sz="0" w:space="0" w:color="auto"/>
      </w:divBdr>
    </w:div>
    <w:div w:id="1902591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2024-10-11T03:49:00Z</dcterms:created>
  <dcterms:modified xsi:type="dcterms:W3CDTF">2024-10-16T22:20:00Z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db90cc39eff5216fb1821eb3427e73424fe2f7a1ef5b24ae6f4a2659e7a832e3</vt:lpwstr>
  </property>
</Properties>
</file>