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B04F98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w:t>
            </w:r>
            <w:r w:rsidR="0038496F">
              <w:rPr>
                <w:b/>
                <w:color w:val="auto"/>
                <w:sz w:val="32"/>
              </w:rPr>
              <w:t>Jack Abdi Such</w:t>
            </w:r>
            <w:r>
              <w:rPr>
                <w:b/>
                <w:color w:val="auto"/>
                <w:sz w:val="32"/>
              </w:rPr>
              <w:t>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B90ED49" w:rsidR="00575A8F" w:rsidRDefault="00575A8F" w:rsidP="00E6298B">
            <w:pPr>
              <w:overflowPunct/>
              <w:autoSpaceDE/>
              <w:autoSpaceDN/>
              <w:adjustRightInd/>
              <w:ind w:right="107"/>
              <w:textAlignment w:val="auto"/>
              <w:rPr>
                <w:b/>
                <w:color w:val="auto"/>
                <w:sz w:val="32"/>
              </w:rPr>
            </w:pPr>
            <w:r>
              <w:rPr>
                <w:b/>
                <w:color w:val="auto"/>
                <w:sz w:val="32"/>
              </w:rPr>
              <w:t>________</w:t>
            </w:r>
            <w:r w:rsidR="006B763E">
              <w:rPr>
                <w:rFonts w:ascii="Tahoma" w:hAnsi="Tahoma" w:cs="Tahoma"/>
                <w:b/>
                <w:bCs/>
                <w:sz w:val="21"/>
                <w:szCs w:val="21"/>
              </w:rPr>
              <w:t xml:space="preserve"> </w:t>
            </w:r>
            <w:r w:rsidR="006B763E">
              <w:rPr>
                <w:rFonts w:ascii="Tahoma" w:hAnsi="Tahoma" w:cs="Tahoma"/>
                <w:b/>
                <w:bCs/>
                <w:sz w:val="21"/>
                <w:szCs w:val="21"/>
              </w:rPr>
              <w:t>2319914</w:t>
            </w:r>
            <w:r>
              <w:rPr>
                <w:b/>
                <w:color w:val="auto"/>
                <w:sz w:val="32"/>
              </w:rPr>
              <w:t>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66D4F56B" w:rsidR="00FF7784" w:rsidRDefault="002702F7" w:rsidP="00E6298B">
      <w:pPr>
        <w:ind w:right="107"/>
        <w:jc w:val="both"/>
        <w:rPr>
          <w:sz w:val="24"/>
          <w:szCs w:val="24"/>
        </w:rPr>
      </w:pPr>
      <w:r>
        <w:rPr>
          <w:sz w:val="24"/>
          <w:szCs w:val="24"/>
        </w:rPr>
        <w:t xml:space="preserve">During the six months of training as a Police Constable, managing stress and developing resilience has been key and this carries on through past training to being out on division. Within training, having so much information given to you and having an expectation to retain it is always going to be stressful. However, to combat this, it was vital to me and many others to have our own methods of coping with these challenges and allowing our minds to focus on other things. So, in this section, I will be discussing the methods I used to help with stress levels during training. </w:t>
      </w:r>
    </w:p>
    <w:p w14:paraId="041B972F" w14:textId="77777777" w:rsidR="002702F7" w:rsidRDefault="002702F7" w:rsidP="00E6298B">
      <w:pPr>
        <w:ind w:right="107"/>
        <w:jc w:val="both"/>
        <w:rPr>
          <w:sz w:val="24"/>
          <w:szCs w:val="24"/>
        </w:rPr>
      </w:pPr>
    </w:p>
    <w:p w14:paraId="1F7B9559" w14:textId="14A96509" w:rsidR="002702F7" w:rsidRDefault="002702F7" w:rsidP="00E6298B">
      <w:pPr>
        <w:ind w:right="107"/>
        <w:jc w:val="both"/>
        <w:rPr>
          <w:sz w:val="24"/>
          <w:szCs w:val="24"/>
        </w:rPr>
      </w:pPr>
      <w:r>
        <w:rPr>
          <w:sz w:val="24"/>
          <w:szCs w:val="24"/>
        </w:rPr>
        <w:t xml:space="preserve">Firstly, I have always been interested in playing football, whether that be playing it or watching it. During the summer before starting with South Wales Police in September, I, with three other friends, set up a football club. We decided to do this because we all had recently returned home from university and wanted to have a set reason to always see each other whilst we all made progress in other walks of life. In retrospect, this was one of the best decisions </w:t>
      </w:r>
      <w:r w:rsidR="00F4313F">
        <w:rPr>
          <w:sz w:val="24"/>
          <w:szCs w:val="24"/>
        </w:rPr>
        <w:t xml:space="preserve">I made because it allowed me to have something to look forward to. What I mean by this is that if I were having a bad week in work and I was not enjoying what we were doing or I was struggling to understand, I knew that come Saturday I would be able to just do something I loved. I recall one Friday when we were doing a practical scenario and I did not do very well but as soon as it got to Saturday, I was no longer thinking about that, and I could then go into the new work with a fresh mindset. </w:t>
      </w:r>
    </w:p>
    <w:p w14:paraId="289A3A31" w14:textId="77777777" w:rsidR="00F4313F" w:rsidRDefault="00F4313F" w:rsidP="00E6298B">
      <w:pPr>
        <w:ind w:right="107"/>
        <w:jc w:val="both"/>
        <w:rPr>
          <w:sz w:val="24"/>
          <w:szCs w:val="24"/>
        </w:rPr>
      </w:pPr>
    </w:p>
    <w:p w14:paraId="7D160EA1" w14:textId="47EB1B15" w:rsidR="00F4313F" w:rsidRDefault="00F4313F" w:rsidP="00E6298B">
      <w:pPr>
        <w:ind w:right="107"/>
        <w:jc w:val="both"/>
        <w:rPr>
          <w:sz w:val="24"/>
          <w:szCs w:val="24"/>
        </w:rPr>
      </w:pPr>
      <w:r>
        <w:rPr>
          <w:sz w:val="24"/>
          <w:szCs w:val="24"/>
        </w:rPr>
        <w:t xml:space="preserve">Another reason it was nice to have this hobby was to be able to do something that it is completely unrelated to work. Being in training school made me think about policing and the job in general most (if not all) of the time. However, I noticed a difference in this when I began playing football as once I was on the pitch or talking to a friend about playing, work was no longer in the forefront of my thoughts. I do believe it was good to think about work quite frequently, I also believe that having other things to think about substantially reduced my stress levels. </w:t>
      </w:r>
    </w:p>
    <w:p w14:paraId="005257A1" w14:textId="77777777" w:rsidR="00F4313F" w:rsidRDefault="00F4313F" w:rsidP="00E6298B">
      <w:pPr>
        <w:ind w:right="107"/>
        <w:jc w:val="both"/>
        <w:rPr>
          <w:sz w:val="24"/>
          <w:szCs w:val="24"/>
        </w:rPr>
      </w:pPr>
    </w:p>
    <w:p w14:paraId="649D3631" w14:textId="60E553D6" w:rsidR="00F4313F" w:rsidRDefault="00F4313F" w:rsidP="00E6298B">
      <w:pPr>
        <w:ind w:right="107"/>
        <w:jc w:val="both"/>
        <w:rPr>
          <w:sz w:val="24"/>
          <w:szCs w:val="24"/>
        </w:rPr>
      </w:pPr>
      <w:r>
        <w:rPr>
          <w:sz w:val="24"/>
          <w:szCs w:val="24"/>
        </w:rPr>
        <w:t xml:space="preserve">During my time in training, I also began playing for South Wales Police football team. Joining this team gave me a whole new perspective on policing as I began to meet so many different people from an array of departments. Whilst in training, everyone (for the most part) has the same amount of </w:t>
      </w:r>
      <w:r w:rsidR="003A2857">
        <w:rPr>
          <w:sz w:val="24"/>
          <w:szCs w:val="24"/>
        </w:rPr>
        <w:t>experience,</w:t>
      </w:r>
      <w:r>
        <w:rPr>
          <w:sz w:val="24"/>
          <w:szCs w:val="24"/>
        </w:rPr>
        <w:t xml:space="preserve"> so they are unable to provide any </w:t>
      </w:r>
      <w:r w:rsidR="003A2857">
        <w:rPr>
          <w:sz w:val="24"/>
          <w:szCs w:val="24"/>
        </w:rPr>
        <w:t xml:space="preserve">information surrounding the job. However, from people I’ve met on the team, I have been able to speak to constables on response teams, Sergeants in detective teams and even Chiefs who have overlooked major </w:t>
      </w:r>
      <w:r w:rsidR="003A2857">
        <w:rPr>
          <w:sz w:val="24"/>
          <w:szCs w:val="24"/>
        </w:rPr>
        <w:lastRenderedPageBreak/>
        <w:t>crime squads. Not only have they divulged their experiences, but they have also listened to my stresses and worries and provided guidance or answers for the countless number of questions I had surrounding policing. This massively helped with my stresses about going out to division as it gave me a better idea of what to expect.</w:t>
      </w:r>
    </w:p>
    <w:p w14:paraId="77800F35" w14:textId="77777777" w:rsidR="003A2857" w:rsidRDefault="003A2857" w:rsidP="00E6298B">
      <w:pPr>
        <w:ind w:right="107"/>
        <w:jc w:val="both"/>
        <w:rPr>
          <w:sz w:val="24"/>
          <w:szCs w:val="24"/>
        </w:rPr>
      </w:pPr>
    </w:p>
    <w:p w14:paraId="12FEDB43" w14:textId="16D6F9A6" w:rsidR="003A2857" w:rsidRDefault="003A2857" w:rsidP="00E6298B">
      <w:pPr>
        <w:ind w:right="107"/>
        <w:jc w:val="both"/>
        <w:rPr>
          <w:sz w:val="24"/>
          <w:szCs w:val="24"/>
        </w:rPr>
      </w:pPr>
      <w:r>
        <w:rPr>
          <w:sz w:val="24"/>
          <w:szCs w:val="24"/>
        </w:rPr>
        <w:t xml:space="preserve">Another way of managing my stress was a method I used to revise for the two exams that were at the start and end of the course. Exams are never nice for anyone and if you don’t create strategies to manage your time effectively and efficiently then it can become overwhelming from my experience. In order to battle the stresses that loom during exam season, I would always make sure to do my revision in short and fast bursts. However, I understand that although this worked for me, it may have the complete opposite effect on somebody else. </w:t>
      </w:r>
      <w:r w:rsidR="00546B75">
        <w:rPr>
          <w:sz w:val="24"/>
          <w:szCs w:val="24"/>
        </w:rPr>
        <w:t xml:space="preserve">I believe this worked for me as I was able to take things one topic at a time and do that for half an hour or so before taking a short break before coming back to do another topic. For example, I may look over burglary for half an hour before taking a break and then looking over fraud for my next stint. This kept things fresh and helped me feel less fatigued during what can be an extremely boring and stressful time. </w:t>
      </w:r>
      <w:r w:rsidR="00904B06">
        <w:rPr>
          <w:sz w:val="24"/>
          <w:szCs w:val="24"/>
        </w:rPr>
        <w:t xml:space="preserve">By the time it came to the exam, I had to just tell myself that I had done everything I possible could and there’s no need to worry. </w:t>
      </w:r>
    </w:p>
    <w:p w14:paraId="79191D1E" w14:textId="77777777" w:rsidR="00904B06" w:rsidRDefault="00904B06" w:rsidP="00E6298B">
      <w:pPr>
        <w:ind w:right="107"/>
        <w:jc w:val="both"/>
        <w:rPr>
          <w:sz w:val="24"/>
          <w:szCs w:val="24"/>
        </w:rPr>
      </w:pPr>
    </w:p>
    <w:p w14:paraId="3BF3B62A" w14:textId="2067A25E" w:rsidR="00882693" w:rsidRDefault="00904B06" w:rsidP="00E6298B">
      <w:pPr>
        <w:ind w:right="107"/>
        <w:jc w:val="both"/>
        <w:rPr>
          <w:sz w:val="24"/>
          <w:szCs w:val="24"/>
        </w:rPr>
      </w:pPr>
      <w:r>
        <w:rPr>
          <w:sz w:val="24"/>
          <w:szCs w:val="24"/>
        </w:rPr>
        <w:t xml:space="preserve">Finally, I found spending time relaxing at home with my family and my girlfriend to be one of the best helps in reducing stress for me. This is due to a number of reasons. If I had a bad day at work, I always knew I could come home to people that I could talk to about it and they would just listen to whatever problems it is that I had that day. Even if I would repeat myself across multiple days, they would always just listen and offer support if I ever needed it which helped greatly. On the flip side to this, they also understood my boundaries and if I came home from work and didn’t want to talk, they would leave me to it until I was ready to speak. </w:t>
      </w:r>
      <w:r w:rsidR="00882693">
        <w:rPr>
          <w:sz w:val="24"/>
          <w:szCs w:val="24"/>
        </w:rPr>
        <w:t>Having that support network at home was helpful to me as it allowed me to speak freely about my problems without fear of judgement. Being able to disclose your problems onto someone else really made me feel like the burden of my issue was slightly lifted without it sometimes even being solved. None of them work for the police or understand the role I do but they still are able to sympathise with the intensity that the job requires on a daily basis.</w:t>
      </w:r>
    </w:p>
    <w:p w14:paraId="056A013C" w14:textId="77777777" w:rsidR="00904B06" w:rsidRDefault="00904B06" w:rsidP="00E6298B">
      <w:pPr>
        <w:ind w:right="107"/>
        <w:jc w:val="both"/>
        <w:rPr>
          <w:sz w:val="24"/>
          <w:szCs w:val="24"/>
        </w:rPr>
      </w:pPr>
    </w:p>
    <w:p w14:paraId="79DF6AF0" w14:textId="63ADCAB6" w:rsidR="00904B06" w:rsidRDefault="007033E6" w:rsidP="00E6298B">
      <w:pPr>
        <w:ind w:right="107"/>
        <w:jc w:val="both"/>
        <w:rPr>
          <w:sz w:val="24"/>
          <w:szCs w:val="24"/>
        </w:rPr>
      </w:pPr>
      <w:r>
        <w:rPr>
          <w:sz w:val="24"/>
          <w:szCs w:val="24"/>
        </w:rPr>
        <w:t>973 Words</w:t>
      </w:r>
    </w:p>
    <w:p w14:paraId="746D4ED7" w14:textId="77777777" w:rsidR="00904B06" w:rsidRDefault="00904B06" w:rsidP="00E6298B">
      <w:pPr>
        <w:ind w:right="107"/>
        <w:jc w:val="both"/>
        <w:rPr>
          <w:sz w:val="24"/>
          <w:szCs w:val="24"/>
        </w:rPr>
      </w:pPr>
    </w:p>
    <w:p w14:paraId="1CA5F3AF" w14:textId="77777777" w:rsidR="003A2857" w:rsidRPr="00270EEB" w:rsidRDefault="003A2857"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71967F1" w14:textId="77777777" w:rsidR="00225166" w:rsidRDefault="00225166" w:rsidP="00225166">
      <w:pPr>
        <w:pStyle w:val="NormalWeb"/>
        <w:spacing w:before="0" w:beforeAutospacing="0" w:after="0" w:afterAutospacing="0"/>
        <w:rPr>
          <w:color w:val="000000"/>
        </w:rPr>
      </w:pPr>
      <w:r>
        <w:rPr>
          <w:rFonts w:ascii="Arial" w:hAnsi="Arial" w:cs="Arial"/>
          <w:color w:val="000000"/>
          <w:sz w:val="22"/>
          <w:szCs w:val="22"/>
        </w:rPr>
        <w:t>Communication within the role of a Police Officer is crucial. Whilst being out in a uniformed role dealing with members of the public every day, It has shown me just how important it is to be able to communicate properly with people. As everyone reacts differently when attempting to communicate, it is vital that we are able to analyse the situation and know when we may need to switch up our methods to receive the best outcome in that particular scenario. For example, some people who have had more dealings with the police (nominals) will often react with more hostility toward police than someone who has never been dealt with by the police before. In situations of hostility, it is important to try to come into the conversation in a calm and composed manner so as to not escalate the situation. A study conducted by (Wall, 2019), looked into a range of theories surrounding the way in which police deal with atmospheres during crowds and protests. One theory included ‘Betari’s box.’ Betari’s box is a method of conflict resolution which has been widely looked at for many years and is especially prevalent in the role that we do. From a policing point of view, this method is reliant on the actions of the officer and how they approach a situation. Betari’s box suggests that the attitude and behaviour we display toward another has a direct impact on the way in which they will then react back. From a personal policing standpoint, there have been many occasions where we have been to a call involving people shouting or arguing which could have been escalated by us turning up and matching the behaviour that they were displaying. However, going into the situation in a calm and composed manner can often have the desired effect of reducing the hostility and regaining order of that incident. During this essay, I am going to be delving deeper into a specific incident I have attended and analysing ways in which I communicated with all the parties involved to resolve the situation. </w:t>
      </w:r>
    </w:p>
    <w:p w14:paraId="24B58A67" w14:textId="77777777" w:rsidR="00225166" w:rsidRDefault="00225166" w:rsidP="00225166"/>
    <w:p w14:paraId="638B6303" w14:textId="77777777" w:rsidR="00225166" w:rsidRDefault="00225166" w:rsidP="00225166">
      <w:pPr>
        <w:pStyle w:val="NormalWeb"/>
        <w:spacing w:before="0" w:beforeAutospacing="0" w:after="0" w:afterAutospacing="0"/>
        <w:rPr>
          <w:color w:val="000000"/>
        </w:rPr>
      </w:pPr>
      <w:r>
        <w:rPr>
          <w:rFonts w:ascii="Arial" w:hAnsi="Arial" w:cs="Arial"/>
          <w:color w:val="000000"/>
          <w:sz w:val="22"/>
          <w:szCs w:val="22"/>
        </w:rPr>
        <w:t xml:space="preserve">When dealing with conflict, this can often be split up into four compartments which can make it easier to deal with. These are known as the four C’s - </w:t>
      </w:r>
      <w:r>
        <w:rPr>
          <w:rFonts w:ascii="Arial" w:hAnsi="Arial" w:cs="Arial"/>
          <w:color w:val="040C28"/>
          <w:sz w:val="22"/>
          <w:szCs w:val="22"/>
        </w:rPr>
        <w:t>Connect Regularly, Communicate Openly, Collaborate more effectively, and Correct the confusion/Queries</w:t>
      </w:r>
      <w:r>
        <w:rPr>
          <w:rFonts w:ascii="Arial" w:hAnsi="Arial" w:cs="Arial"/>
          <w:color w:val="4D5156"/>
          <w:sz w:val="22"/>
          <w:szCs w:val="22"/>
        </w:rPr>
        <w:t>. As long as you have completed these four stages competently, you can confidently say that a situation has been dealt with. </w:t>
      </w:r>
    </w:p>
    <w:p w14:paraId="756262DF" w14:textId="77777777" w:rsidR="00225166" w:rsidRDefault="00225166" w:rsidP="00225166"/>
    <w:p w14:paraId="5A77FDB8"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 xml:space="preserve">The incident which I would like to highlight during this essay is a call I attended during one of my first weeks as a uniformed police officer. The call that we received was for an ongoing domestic and </w:t>
      </w:r>
      <w:r>
        <w:rPr>
          <w:rFonts w:ascii="Arial" w:hAnsi="Arial" w:cs="Arial"/>
          <w:color w:val="4D5156"/>
          <w:sz w:val="22"/>
          <w:szCs w:val="22"/>
        </w:rPr>
        <w:lastRenderedPageBreak/>
        <w:t>upon arriving at the property, shouting and banging could be heard from outside of the property. Before entering the property, I ensured to shout that the police had arrived as I did not want to startle however was inside at the time. Upon knocking, a lady came to the door and looked surprised at myself and my colleague. I explained that we were here due to receiving a call from someone regarding a domestic. However, it was at this point that we realised that there was a language barrier between us and this lady. We asked to come into the house and in the living room there was a male. Upon speaking to this male, it was evident that he too did not speak fluent english. Knowing how to deal with situations like this is crucial as within the UK, there is a large percentage who do not speak english. A study conducted by (Goal &amp; Matras, 2013) concluded that within the UK alone, there were over 850,000 people who claimed they are unable to speak english. A more targeted statistic suggests that in Cardiff and the immediate surrounding areas, between 10-20% of people claim they are unable to speak the language fluently. So, as police, that is our job to know how to deal with this. </w:t>
      </w:r>
    </w:p>
    <w:p w14:paraId="484D6DA9"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Back to the call I was attending and due to the element of potential domestic calls, we as a force (South Wales Police) take this very seriously and are always determined to find out the truth on ongoing events to take the necessary course of positive action for our victims. So, in order to be able to speak to both parties, I asked the male to follow my colleague into a different room whilst I stayed and spoke with the female to ascertain what had gone on. As there was a potential that someone may have been assaulted or other offences may have been committed, I ensured that I was always ready and vigilant at the potential of there being another escalation. However, looking back to the method of Betari’s box, since me and my colleague had entered, both the male and the female were calm and matched our demeanour. </w:t>
      </w:r>
    </w:p>
    <w:p w14:paraId="5D74C2DC" w14:textId="77777777" w:rsidR="00225166" w:rsidRDefault="00225166" w:rsidP="00225166"/>
    <w:p w14:paraId="63646349"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Once I began speaking to the woman, I was attempting to ask her quite basic questions to allow her to tell me what had happened. This is due to her English ability not being great. If I began asking complex questions, this would have confused her and I would not have been able to find out what had gone on. She began explaining to me that she had gotten into an argument with her husband over money and this became quite heated. However, she has then disclosed to myself that he had struck heer across the face twice and kicked her on the floor. Once she had disclosed this, I knew that we would have to take positive action and arrest her partner due to these allegations. I explained this to the female and had to reiterate what I meant a few times  before she understood and agreed. </w:t>
      </w:r>
    </w:p>
    <w:p w14:paraId="1D41E0E8" w14:textId="77777777" w:rsidR="00225166" w:rsidRDefault="00225166" w:rsidP="00225166"/>
    <w:p w14:paraId="035DE1A7"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I then went and spoke to my colleague and discussed with him everything that had been disclosed to me by the victim. He agreed with me that this was a necessary course of action and so we went to speak to the gentlemen. One method of conflict management that I use when looking to arrest someone is the Thomas-Kilmann method. This method of conflict management identifies that you can react to conflict in an assertive or cooperative manner depending on the actions of the other person. So, in this instance of the call I attended, if the male were to act in a competing manner when being told of his arrest, it would be best to deal with this in a more assertive manner. However, if the male was going to be accommodating to the fact of his arrest, I would be able to cooperate with him more (Shell, 2001). As an officer, it is up to you to use your judgement and be able to justify any force or assertiveness used against someone that you are arresting. In this instance, I explained to the male that there had been an allegation made against him of assault and that he was going to be arrested on suspicion of Assault by Beating. He reacted quite calmly to this and agreed that he was going to come with us. As a result of this, I allowed him time to gather some belongings (phone, wallet etc) before placing him into the back of our police vehicle. However, if he had shown any aggression, I would have placed him into handcuffs and justified it to protect the safety of the victim and officers who attended. I know that I would have been able to justify this under section 117 of the Police and Criminal Evidence Act 1984 as this would have been considered reasonable force.</w:t>
      </w:r>
    </w:p>
    <w:p w14:paraId="43A66E14" w14:textId="77777777" w:rsidR="00225166" w:rsidRDefault="00225166" w:rsidP="00225166"/>
    <w:p w14:paraId="62D9C7C3"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 xml:space="preserve">Upon speaking to the male who had been accused, he did confess to hitting his girlfriend. However, he claimed that she made him angry due to her always spending their money and now they are not able to pay for their home to live in. This a clear example of the drama triangle taking place within </w:t>
      </w:r>
      <w:r>
        <w:rPr>
          <w:rFonts w:ascii="Arial" w:hAnsi="Arial" w:cs="Arial"/>
          <w:color w:val="4D5156"/>
          <w:sz w:val="22"/>
          <w:szCs w:val="22"/>
        </w:rPr>
        <w:lastRenderedPageBreak/>
        <w:t>this relationship. Often seen in dysfunctional relationships, the drama triangle represents three different sides in which we may relate to. The first role being the victim. This male that I had been dealing with identified himself as the victim when he said that he was angry due to his girlfriend spending all of the money they needed to pay for their rent. However, he easily slips into the persecutor side of the triangle when he admits to us that yes he has actually assaulted her in this instance. The third and final side of the triangle is that of the rescuer. This is the person who comes in to save the victim from the situation that they are in (Lac &amp; Donaldson, 2020). During my time with the male, he also became the rescuer of the situation as he identified himself as the one who has to work hard in order to get the money back that they need for rent. This theory, developed by Stephen Karpman in 1968, highlights the ways in which people can flip between roles in such a short time within the confines of a relationship. This example is firsthand experience from myself of how it can appear damaging to a relationship. </w:t>
      </w:r>
    </w:p>
    <w:p w14:paraId="57D15D27" w14:textId="77777777" w:rsidR="00225166" w:rsidRDefault="00225166" w:rsidP="00225166"/>
    <w:p w14:paraId="15EF8ECA"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Following on from this, the female did agree to give a statement to police in relation to the assault and this was taken by myself. However, it was evident from herself too that she was stuck in the cycle of switching roles. To begin with, she saw herself as the victim in this which was correct to think. However, she began to blame herself for the financial aspect of this and believed that she deserved to be assaulted which saw her slipping into that persecutor role of the triangle. Finally, she believed that if she was able to speak with her partner, they would be able to resolve the situation. This showed her converting into the rescuer role. </w:t>
      </w:r>
    </w:p>
    <w:p w14:paraId="2245AB42" w14:textId="77777777" w:rsidR="00225166" w:rsidRDefault="00225166" w:rsidP="00225166"/>
    <w:p w14:paraId="65C7CE94"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A study conducted by (Phillips &amp; Cheston, 1979) highlights a simple four step method to conflict resolution known as the LEAD model. This stands for Listen, Empathise, Acknowledge and Do something. In relation to policing an incident, it is crucial that we hit all of these four points. It is important that we listen to all parties involved to really gather an understanding of what happened at any given call. This allows us to make the right decisions and initiate a plan for our victims. If we do not listen properly and make the wrong decision, this can have negative implications on the situation moving forward. Empathising when at a call is highly important as we do not know or understand the situation some victims are going through in their current state. As a police officer, we deal with these sorts of calls everyday and see similar situations. However, for the people who may have never dealt with police before, it can be quite intimidating. In this case as well, the language barrier between myself and the victim meant I had to be extremely patient when trying to speak with her. Acknowledging is important in policing as we are there essentially to acknowledge if any offences have been committed through what is being disclosed to us. If it was disclosed to us that this was a verbal argument only, we would have no grounds to be arresting anyone as no offences had been committed. Finally, as discussed before, during domestic calls we are bound through force policy to be taking positive action. With what was disclosed, it was an easy decision for us to make that he would be arrested. However, if this had been a verbal argument only, although there had been no offences committed, we needed to take mitigating action to prevent a further breach of the peace. During domestic calls, this is done by informing one of the parties that they are to leave the property and go somewhere to allow the situation to deescalate. This often works as people become calmer once leaving and returning following a period of time. </w:t>
      </w:r>
    </w:p>
    <w:p w14:paraId="3D4CE82C" w14:textId="77777777" w:rsidR="00225166" w:rsidRDefault="00225166" w:rsidP="00225166"/>
    <w:p w14:paraId="4A73A2BF"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To conclude, it is crucial that we, as police, undergo methods of conflict management as this is a high risk job that involves a large element of conflict. Without the ability to talk to people and assess a situation, it would result in a much higher rate of physical conflict and use of force against members of the public. We as a force are trying to keep these numbers as low as possible to maintain a good relationship with the public and show our fairness. However, when protecting ourselves and victims, we understand when and how to distribute assertiveness to keep people safe from harm. </w:t>
      </w:r>
    </w:p>
    <w:p w14:paraId="51374D28" w14:textId="77777777" w:rsidR="00225166" w:rsidRDefault="00225166" w:rsidP="00225166"/>
    <w:p w14:paraId="5197D438" w14:textId="77777777" w:rsidR="00225166" w:rsidRDefault="00225166" w:rsidP="00225166">
      <w:pPr>
        <w:pStyle w:val="NormalWeb"/>
        <w:spacing w:before="0" w:beforeAutospacing="0" w:after="0" w:afterAutospacing="0"/>
        <w:rPr>
          <w:color w:val="000000"/>
        </w:rPr>
      </w:pPr>
      <w:r>
        <w:rPr>
          <w:rFonts w:ascii="Arial" w:hAnsi="Arial" w:cs="Arial"/>
          <w:color w:val="4D5156"/>
          <w:sz w:val="22"/>
          <w:szCs w:val="22"/>
        </w:rPr>
        <w:t>2107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3EBBD3F" w14:textId="77777777" w:rsidR="0081792E" w:rsidRDefault="0081792E" w:rsidP="0081792E">
      <w:pPr>
        <w:pStyle w:val="NormalWeb"/>
        <w:spacing w:before="0" w:beforeAutospacing="0" w:after="0" w:afterAutospacing="0"/>
        <w:rPr>
          <w:color w:val="000000"/>
        </w:rPr>
      </w:pPr>
      <w:r>
        <w:rPr>
          <w:rFonts w:ascii="Arial" w:hAnsi="Arial" w:cs="Arial"/>
          <w:color w:val="000000"/>
          <w:sz w:val="22"/>
          <w:szCs w:val="22"/>
        </w:rPr>
        <w:t>When considering the victim’s codes of practice, it has been highlighted all throughout officer training and since being in a uniformed role that we are there to give the best service to our victim. These codes of practice ensure that (if followed) our victim’s get the best service possible when going through a distressing time of their life. The codes of practice were first introduced into policing following the Domestic Violence, Crimes and Victims act in 2004. Since then, it has been reviewed often to update the policy and has been kept the same since 2021. These victim codes were brought in following a period of negativity surrounding the police and their treatment of victims. These codes were brought in to “</w:t>
      </w:r>
      <w:r>
        <w:rPr>
          <w:rFonts w:ascii="Arial" w:hAnsi="Arial" w:cs="Arial"/>
          <w:color w:val="040C28"/>
          <w:sz w:val="22"/>
          <w:szCs w:val="22"/>
        </w:rPr>
        <w:t>transform the role of the victim within the criminal justice system, prioritising their needs and facilitating a cultural shift in the way they are treated” (The victim’s code, 2022). During this essay, I am going to be critically exploring an incident in which I would be the lead investigating officer. As a newly trained officer, this was a daunting experience as I had never done this before. However, I ensured that no matter what I was doing, it was always going to be victim led. I will chronologically be dissecting each code of practice and highlighting how I conducted it during my investigation. </w:t>
      </w:r>
    </w:p>
    <w:p w14:paraId="35C81FEF" w14:textId="77777777" w:rsidR="0081792E" w:rsidRDefault="0081792E" w:rsidP="0081792E"/>
    <w:p w14:paraId="597DEC03"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 xml:space="preserve">The incident I am referring to during this essay is a case of Domestic Violence where I led the investigation and took all of the statements from our victim. As well as this, I conducted an investigation into potential CCTV opportunities and took multiple witness statements which then contributed to a case file. The first code of practice is the right to understand and be understood. In this instance, the victim was a female who had called the police to report a domestic assault from her partner. Upon arriving at her home, she informed me that this assault did not take place in the house but in a nearby shop. She then disclosed to myself that she had been hit by her partner which led her to leave the shop and come home and subsequently phone the police. In order to know exactly what she meant, I asked her to describe in detail what she meant by he had hit her and she motioned a strike to her cheek saying that it was like that. From this, I was able to explain that this was in fact an assault and we would need to be taking positive action by arresting her boyfriend on suspicion of assault by beating. So, this code was complied with as I understood what </w:t>
      </w:r>
      <w:r>
        <w:rPr>
          <w:rFonts w:ascii="Arial" w:hAnsi="Arial" w:cs="Arial"/>
          <w:color w:val="040C28"/>
          <w:sz w:val="22"/>
          <w:szCs w:val="22"/>
        </w:rPr>
        <w:lastRenderedPageBreak/>
        <w:t>had happened and clarified with her and she understood that we would need to arrest her boyfriend for questioning. </w:t>
      </w:r>
    </w:p>
    <w:p w14:paraId="4ED42746" w14:textId="77777777" w:rsidR="0081792E" w:rsidRDefault="0081792E" w:rsidP="0081792E"/>
    <w:p w14:paraId="3BF38FC2"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The second code of practice refers to the right of an intermediary. Thai means if there were any communication barriers, we would be able to provide them with an interpreter or a communication specialist in order to allow them the best service to explain what has happened to them. It is always considered that possibly the quality of evidence may be diminished due to factors such as age or health. However, in this instance, I deemed it unnecessary for an intermediary to be needed. I put this across to the victim to ascertain if they wished to have one and they declined. </w:t>
      </w:r>
    </w:p>
    <w:p w14:paraId="09DECB77" w14:textId="77777777" w:rsidR="0081792E" w:rsidRDefault="0081792E" w:rsidP="0081792E"/>
    <w:p w14:paraId="43303A5E"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The third code of practice represents the victim’s right to know information regarding the allegation of a crime. Upon reporting, our victim was handed a crime reference number, my details as the officer in charge of the case and further information into the next steps. My victim was worried about what to do with herself and her children following this as she did not wish to live with her partner anymore. As an officer, I ensured I gathered the correct information to put the victim in contact with the housing association which sorted emergency accommodation for her and her children within one week of the offence. A harrowing study by the National Police Chief’s Council showed that during April 2022 - March 2023, there were a staggering 242 domestic related deaths. For us as police officers, this is why it is so important to listen to the victim’s needs and supply them with all of the help and access they need to ensure their safety as that is paramount to us (NPCC,2024). </w:t>
      </w:r>
    </w:p>
    <w:p w14:paraId="2C3C1373" w14:textId="77777777" w:rsidR="0081792E" w:rsidRDefault="0081792E" w:rsidP="0081792E"/>
    <w:p w14:paraId="17C2DA74"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Our Initial Victim Needs Assessment is the fourth right entitlement for victims. This is completed as a form by officers and allows us to determine whether or not the victim will need extra support and then establish what type of support the victim will require. Victim’s who are classed as vulnerable or intimidated will be entitled to an enhanced rights service. In this case, from completing this assessment, it was established that my victim would be receiving an enhanced service under the victim codes due to her vulnerability within her situation of being intimidated by her partner and also having young children. On top of this, a Domestic Assault Sexual Harassment from was filled out by myself followign the victim’s answers to the 27 questions. Following this, the victim was placed at a high risk with our domestic assault team which meant they would be in contact to offer support. The week following the initial call, I contacted my victim who informed me that so many services had been in contact with her providing different types of support that she needed during that time. This shows the initial safeguarding provides the victim with the help they need to deal with the times following their contact to police. </w:t>
      </w:r>
    </w:p>
    <w:p w14:paraId="2943460B" w14:textId="77777777" w:rsidR="0081792E" w:rsidRDefault="0081792E" w:rsidP="0081792E"/>
    <w:p w14:paraId="14E2ECCA"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Right 5 details the right to compensation for victims should their injuries require them to spend time off from or affect them physically or mentally. However, upon explaining this to the victim, they informed me that they did not wish to put an application for this into the courts. </w:t>
      </w:r>
    </w:p>
    <w:p w14:paraId="60A2BE39" w14:textId="77777777" w:rsidR="0081792E" w:rsidRDefault="0081792E" w:rsidP="0081792E"/>
    <w:p w14:paraId="5E687D6D"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 xml:space="preserve">Right 6 for our victim’s is one of the most important as it keeps them up to date with the entire investigation. This is the right for the victim to be updated. During the initial contact with my victim, I made sure to inform her that during the initial phase of this investigation, I was going to be ringing her with weekly updates or possibly in between should there be any big updates. For example, I informed the victim that the suspect was stopped by traffic officers forty five minutes following the initial call and he was then arrested. The day after, I spoke with the victim to inform her that her partner had been interviewed by our team and had now been released on bail. However, with bail conditions, we have always seen an issue in the UK of conditions being breached or offences whilst on bail. There was an attempt to tackle this in 1994 where the Criminal Justice and Public Order Act 1994 introduced legislation that allowed for there to be conditions placed on police bail to attempt to reduce offences whilst on bail. However, a study from (Hucklesby &amp; Marshall, 2000) showed that this made little to no change and the number of people being remanded in custody was lower whilst the number of people out on bail was higher. In relation to this case, although the subject had conditions placed on himself not to go to the home address of my victim, I did not feel as though that was enough protection for her and her children. This is why she was urged to contact the housing association and was subsequently placed on the emergency housing list. However, as all </w:t>
      </w:r>
      <w:r>
        <w:rPr>
          <w:rFonts w:ascii="Arial" w:hAnsi="Arial" w:cs="Arial"/>
          <w:color w:val="040C28"/>
          <w:sz w:val="22"/>
          <w:szCs w:val="22"/>
        </w:rPr>
        <w:lastRenderedPageBreak/>
        <w:t>victims are, she was informed to contact police if she knew that the subject was in breach of any of his conditions that she was also made aware of. </w:t>
      </w:r>
    </w:p>
    <w:p w14:paraId="69A0ADF0" w14:textId="77777777" w:rsidR="0081792E" w:rsidRDefault="0081792E" w:rsidP="0081792E"/>
    <w:p w14:paraId="543DCD3E"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The victim has been updated recently that the CPS have decided to charge the subject with the offence of Assault by Beating and now the victim has been made aware that they will be called to court in future should it get to that. Whilst taking the victim’s initial statement, I Informed her that making the complaint may entail going to court which is not something the victim wished to do due to intimidation of being in a court. So,I explained our method of special measures to her. Special measures is an application that can be made to the courts for victims or witnesses who are hesitant to testify in cases due to a number of reasons. So, to combat this, a series of things can be done to help with any fears they may have. For example, testifying may be done through a live link to stop the victim having to attend the courtroom. As well as this, screens may be used so the victim may not have to see the court. There are even cases where a pre recorded cross examination can be admitted into court. However, these special measures have to be accepted by the courts to be used. My victim was unsure of which special measures she wished to use but since then she has said that she is willing to step up and testify in the courtroom. A study was conducted in 1997 by (Cretney &amp; Davis, 1997) who looked into whether the courts were failing many victims of domestic assault. Their study concluded that many victims just did not have the courage to stand up in front of the courts and speak about the horrible experience they had gone through. This allowed many perpetrators of Domestic Assault (and other crimes) to get away with what they had done due to there being no credible witness/victim. This is why the Youth Justice and Criminal Evidence Act 1999 saw it published that these special measures would be brought in to support our victims through the daunting court processes. </w:t>
      </w:r>
    </w:p>
    <w:p w14:paraId="61F7A36E" w14:textId="77777777" w:rsidR="0081792E" w:rsidRDefault="0081792E" w:rsidP="0081792E"/>
    <w:p w14:paraId="74459FFB"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I also felt as though it was important to update my victim of any evidence gathered. This was especially important when I located CCTV from the shop which actually caught the incident on camera. This was important to note because it meant that we now had overwhelming evidence of the offence being committed rather than just two words that contradict each other. </w:t>
      </w:r>
    </w:p>
    <w:p w14:paraId="2E17450A" w14:textId="77777777" w:rsidR="0081792E" w:rsidRDefault="0081792E" w:rsidP="0081792E"/>
    <w:p w14:paraId="4DC056FD"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The last right on the codes of practice is a victim’s right to a victim personal statement (VPS). These statements are often overlooked by victim’s but they can show the court the true impact that a crime had on that person. I explained to my victim that a VPS is their chance to highlight exactly how that person made them feel when they hurt them and what effects it has had on them since. My victim was willing to provide a VPS and this then documented how she felt at the time of the incident, the days following it and even the weeks following it. This statement will now highlight to the courts just how much this crime had an impact on the victim. </w:t>
      </w:r>
    </w:p>
    <w:p w14:paraId="66D61740" w14:textId="77777777" w:rsidR="0081792E" w:rsidRDefault="0081792E" w:rsidP="0081792E"/>
    <w:p w14:paraId="3E46EF4E"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Overall, I felt as though my investigation was entirely victim led and I informed her of every step and made sure she understood the process. Being critical, I can say that the speed of the investigation following the initial “Golden Hour” investigation was not as quick as I would have liked. However, this was the first time I had taken charge of an investigation and speed will come through practice. </w:t>
      </w:r>
    </w:p>
    <w:p w14:paraId="4257633F" w14:textId="77777777" w:rsidR="0081792E" w:rsidRDefault="0081792E" w:rsidP="0081792E"/>
    <w:p w14:paraId="2D872E8C"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Word count 1903</w:t>
      </w:r>
    </w:p>
    <w:p w14:paraId="36116F5A" w14:textId="77777777" w:rsidR="0081792E" w:rsidRDefault="0081792E" w:rsidP="0081792E">
      <w:pPr>
        <w:spacing w:after="240"/>
      </w:pPr>
    </w:p>
    <w:p w14:paraId="092E2C38" w14:textId="77777777" w:rsidR="00AB6A95" w:rsidRDefault="00AB6A95" w:rsidP="28A9B94D">
      <w:pPr>
        <w:spacing w:line="259" w:lineRule="auto"/>
        <w:ind w:right="107"/>
        <w:jc w:val="both"/>
        <w:rPr>
          <w:sz w:val="24"/>
          <w:szCs w:val="24"/>
        </w:rPr>
      </w:pPr>
    </w:p>
    <w:p w14:paraId="30BD4AD4" w14:textId="77777777" w:rsidR="00AB6A95" w:rsidRDefault="00AB6A95" w:rsidP="28A9B94D">
      <w:pPr>
        <w:spacing w:line="259" w:lineRule="auto"/>
        <w:ind w:right="107"/>
        <w:jc w:val="both"/>
        <w:rPr>
          <w:sz w:val="24"/>
          <w:szCs w:val="24"/>
        </w:rPr>
      </w:pPr>
    </w:p>
    <w:p w14:paraId="51100626" w14:textId="77777777" w:rsidR="00AB6A95" w:rsidRDefault="00AB6A95" w:rsidP="28A9B94D">
      <w:pPr>
        <w:spacing w:line="259" w:lineRule="auto"/>
        <w:ind w:right="107"/>
        <w:jc w:val="both"/>
        <w:rPr>
          <w:sz w:val="24"/>
          <w:szCs w:val="24"/>
        </w:rPr>
      </w:pPr>
    </w:p>
    <w:p w14:paraId="257B4122" w14:textId="77777777" w:rsidR="00AB6A95" w:rsidRDefault="00AB6A95" w:rsidP="28A9B94D">
      <w:pPr>
        <w:spacing w:line="259" w:lineRule="auto"/>
        <w:ind w:right="107"/>
        <w:jc w:val="both"/>
        <w:rPr>
          <w:sz w:val="24"/>
          <w:szCs w:val="24"/>
        </w:rPr>
      </w:pPr>
    </w:p>
    <w:p w14:paraId="02F542C2" w14:textId="77777777" w:rsidR="00AB6A95" w:rsidRDefault="00AB6A95" w:rsidP="28A9B94D">
      <w:pPr>
        <w:spacing w:line="259" w:lineRule="auto"/>
        <w:ind w:right="107"/>
        <w:jc w:val="both"/>
        <w:rPr>
          <w:sz w:val="24"/>
          <w:szCs w:val="24"/>
        </w:rPr>
      </w:pPr>
    </w:p>
    <w:p w14:paraId="4DAA938A" w14:textId="77777777" w:rsidR="00AB6A95" w:rsidRDefault="00AB6A95" w:rsidP="28A9B94D">
      <w:pPr>
        <w:spacing w:line="259" w:lineRule="auto"/>
        <w:ind w:right="107"/>
        <w:jc w:val="both"/>
        <w:rPr>
          <w:sz w:val="24"/>
          <w:szCs w:val="24"/>
        </w:rPr>
      </w:pPr>
    </w:p>
    <w:p w14:paraId="09319D5D" w14:textId="77777777" w:rsidR="00AB6A95" w:rsidRDefault="00AB6A95" w:rsidP="28A9B94D">
      <w:pPr>
        <w:spacing w:line="259" w:lineRule="auto"/>
        <w:ind w:right="107"/>
        <w:jc w:val="both"/>
        <w:rPr>
          <w:sz w:val="24"/>
          <w:szCs w:val="24"/>
        </w:rPr>
      </w:pPr>
    </w:p>
    <w:p w14:paraId="6266486F" w14:textId="77777777" w:rsidR="00AB6A95" w:rsidRDefault="00AB6A95" w:rsidP="28A9B94D">
      <w:pPr>
        <w:spacing w:line="259" w:lineRule="auto"/>
        <w:ind w:right="107"/>
        <w:jc w:val="both"/>
        <w:rPr>
          <w:sz w:val="24"/>
          <w:szCs w:val="24"/>
        </w:rPr>
      </w:pPr>
    </w:p>
    <w:p w14:paraId="56482728" w14:textId="77777777" w:rsidR="00AB6A95" w:rsidRDefault="00AB6A95" w:rsidP="28A9B94D">
      <w:pPr>
        <w:spacing w:line="259" w:lineRule="auto"/>
        <w:ind w:right="107"/>
        <w:jc w:val="both"/>
        <w:rPr>
          <w:sz w:val="24"/>
          <w:szCs w:val="24"/>
        </w:rPr>
      </w:pPr>
    </w:p>
    <w:p w14:paraId="11B1AAFD" w14:textId="08F5BC5E"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F921661" w14:textId="77777777" w:rsidR="007033E6" w:rsidRDefault="007033E6" w:rsidP="007033E6">
      <w:pPr>
        <w:pStyle w:val="NormalWeb"/>
        <w:spacing w:before="0" w:beforeAutospacing="0" w:after="0" w:afterAutospacing="0"/>
        <w:rPr>
          <w:color w:val="000000"/>
        </w:rPr>
      </w:pPr>
      <w:r>
        <w:rPr>
          <w:rFonts w:ascii="Arial" w:hAnsi="Arial" w:cs="Arial"/>
          <w:color w:val="000000"/>
          <w:sz w:val="22"/>
          <w:szCs w:val="22"/>
        </w:rPr>
        <w:t>The National Decision Making model (NDM) is something that we, as officers, use everyday in policing which allows us to risk assess our decisions to ensure we are making the right ones. (Miller, 2022) stated in an article surrounding decisions in policing that, “</w:t>
      </w:r>
      <w:r>
        <w:rPr>
          <w:rFonts w:ascii="Arial" w:hAnsi="Arial" w:cs="Arial"/>
          <w:color w:val="4D5156"/>
          <w:sz w:val="22"/>
          <w:szCs w:val="22"/>
        </w:rPr>
        <w:t>The NDM has some obvious benefits, including acting as a clear prompt to consider multiple relevant facets of a decision and its role in recording of a defensible basis for decisions.” This does bear true still any decision that can be justified in all six areas of the NDM will provide no backlash on the officer. During this essay, I am going to be dissecting decisions I made during an investigation and justifying them all through use of the NDM to explain why they were conducted. </w:t>
      </w:r>
    </w:p>
    <w:p w14:paraId="32715863" w14:textId="77777777" w:rsidR="007033E6" w:rsidRDefault="007033E6" w:rsidP="007033E6"/>
    <w:p w14:paraId="41589CF1"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Firstly, as an investigator, disclosure of information to all relevant parties is crucial and if not adhered to, can sometimes undermine a case. The Criminal Procedure and Investigations Act of 1996 highlights the standards and procedures by which investigators must record and retain any information they acquire in a case. Specifically, Section 23 of this act sets out how police officers must record, retain and reveal information to the prosecutor which may be relevant to the investigation. The defence then has access to this information as well. This is widely known as disclosure. In recent times, there have been a number of cases that have been thrown out of court due to police not disclosing key evidence to the defence. </w:t>
      </w:r>
    </w:p>
    <w:p w14:paraId="7F898E42" w14:textId="77777777" w:rsidR="007033E6" w:rsidRDefault="007033E6" w:rsidP="007033E6"/>
    <w:p w14:paraId="5B236978"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The case that I investigated was an assault which occurred during a rugby match between two players of opposing teams. During this case, witness and victim statements were obtained, a referee's report was published and the subject was subsequently brought in to conduct a voluntary attendance interview. However, due to the necessity to disclose information, it was unable to gain any charge for the subject as a counter complaint gave a defence to the victim’s initial statement. </w:t>
      </w:r>
    </w:p>
    <w:p w14:paraId="78920538" w14:textId="77777777" w:rsidR="007033E6" w:rsidRDefault="007033E6" w:rsidP="007033E6"/>
    <w:p w14:paraId="14DF3360"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lastRenderedPageBreak/>
        <w:t>The first section of the NDM is the Code of Ethics. This is at the centre of all decisions made in policing and these can be put down to some core principles. The first one being courage. As an office, you need to have courage as your decision has a huge impact on the lives of others. You need to be able to make decisions confidently and be accountable for the outcome no matter what it is. You must also be willing to stand up against what you see that brings the police reputation into disrepute. The next aspect is respect and empathy. You need to be able to listen to the views of others and understand the views that they may hold. Being able to understand the challenges that people go through in daily life is also key as in this job, we deal with a variety of people from a range of backgrounds. Finally, public service. Having an ethical view of public service means always working in the public interest and conducting our work with pride when dealing with the public who come to us for help. Some of the qualities that provide a good backbone for ethical behaviour in policing are fairness, respect, recognising the opportunity to learn and having the ability to challenge unacceptable behaviour.</w:t>
      </w:r>
    </w:p>
    <w:p w14:paraId="51C2B16E" w14:textId="77777777" w:rsidR="007033E6" w:rsidRDefault="007033E6" w:rsidP="007033E6"/>
    <w:p w14:paraId="351DB4B5"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The next part of the NDM is the ability to gather information and intelligence. Without doing this, it makes it impossible to be able to investigate an incident and arrive at the right outcome. So, in this case, upon hearing that there had been a recent assault, I looked at the initial call to ascertain what had actually happened. In this instance, it was called in saying that a boy had been punched and had his nose broken whilst at rugby. However, that boy had now gone to hospital and the match had been abandoned. So, I began by looking at the two boys involved and finding if they had any previous history of offences. Upon completing this, I then got into contact with both coaches of either rugby team who then provided me with names of witnesses to provide statements. Before doing this, I wanted to visit with the victim to understand their view on the events and gather a statement from them. They described a fight ongoing between two teams and he was then punched seemingly out of nowhere which managed to break his nose. He stated that he had not thrown any punches back and he was a victim of an assault. The vicitm also described this as an unprovoked attack. Photographs were obtained of the victim’s nose which could then be used as part of the investigation.</w:t>
      </w:r>
    </w:p>
    <w:p w14:paraId="4FAA653C" w14:textId="77777777" w:rsidR="007033E6" w:rsidRDefault="007033E6" w:rsidP="007033E6"/>
    <w:p w14:paraId="56FA94B3"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Upon obtaining witness statements from the coaches and the referee of the game, it was clear that they all corroborated the same story of the victim being assaulted by the same subject. I enquired into any CCTV present covering the area or any body cams from the referee. However, this came up as a negative. </w:t>
      </w:r>
    </w:p>
    <w:p w14:paraId="66277210" w14:textId="77777777" w:rsidR="007033E6" w:rsidRDefault="007033E6" w:rsidP="007033E6"/>
    <w:p w14:paraId="124FC441"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The next stage of the NDM is to assess threat and risk and develop a working strategy. Upon obtaining all of the evidence required to make judgement on the case, it was evident that the repeatedly named subject was going to need to be questioned. However, due to the nature of the crime and where it took place, it was a decision of whether there was a necessity to arrest the subject. Under Section 24 (3B) it states that “If an offence has been committed, an officer may arrest anyone whom he has reasonable grounds for suspecting to be guilty of it.” Although I had reasonable grounds to suspect him to have committed an offence, this must marry with at least one of the arrest necessities under Police and Criminal Evidence Act (PACE) code G. In this instance, I did not feel as though it did, which is why I made the decision to ask the subject to attend on a voluntary basis. (Pearson et al., 2018) conducted a study which argued that since the amendment of PACE which introduced S24 of arrest powers, police officers have been conducting too many arrests without the consideration for alternatives. In some instances, out of court disposals or voluntary attendance can be the most beneficial outcome as I suggest it was here in my case. I did not believe that the victim was in any risk of harm or threat from the subject due to them not knowing each other and living in locations more than half an hour apart. </w:t>
      </w:r>
    </w:p>
    <w:p w14:paraId="1928AF6F" w14:textId="77777777" w:rsidR="007033E6" w:rsidRDefault="007033E6" w:rsidP="007033E6"/>
    <w:p w14:paraId="48DEE32E"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Considering the powers and policies we have in place is next and here is where we can determine which powers we can use to get the best evidence from this case. In many cases, seizure powers may be used in order to get the most evidence. However, this did not apply in this case due to the nature of it. </w:t>
      </w:r>
    </w:p>
    <w:p w14:paraId="29BE3BD8" w14:textId="77777777" w:rsidR="007033E6" w:rsidRDefault="007033E6" w:rsidP="007033E6"/>
    <w:p w14:paraId="020AA909"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lastRenderedPageBreak/>
        <w:t>During the interview of the subject, he raised an issue of self defence and despite me presenting all the evidence and witness statements saying otherwise, the subject was certain. They claimed that it was the victim who instigated the fight and he was just defending himself following being punched. As discussed before, this is where it becomes important in the realms of disclosure that this is documented by myself. As this is information which undermines the prosecution, it has to be disclosed for all parties to see and use. Furthermore, the subject presented a black eye in the interview so this was photographed and documented as well to ensure everything has been disclosed. In an article written by (Thomas, 2021), it was revealed that in the year 2020-21, 1,648 court cases collapsed due to disclosure failures in the UK alone. The more worrying factor is that this was double the number that occurred in 2015-16. This is why it becomes important to disclose any information that may undermine the case otherwise this may be in breach of the Criminal Procedure and Investigations Act.</w:t>
      </w:r>
    </w:p>
    <w:p w14:paraId="6E037065" w14:textId="77777777" w:rsidR="007033E6" w:rsidRDefault="007033E6" w:rsidP="007033E6"/>
    <w:p w14:paraId="14FBC064"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The next consideration in the NDM is Identifying your options and contingencies. WIthin this case, I had to identify my options and balance them out to try and make the correct one. For example, my choice not to arrest the subject was one which could potentially have been done a number of ways. </w:t>
      </w:r>
    </w:p>
    <w:p w14:paraId="191083E3" w14:textId="77777777" w:rsidR="007033E6" w:rsidRDefault="007033E6" w:rsidP="007033E6"/>
    <w:p w14:paraId="29A060DA"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Following the interview of the subject, I then had to decide what options were available to me from that point and came to the conclusion that it was best to see advice from the CPS. Due to the information I had received and a lack of previous convictions, I was inclined to opt for an out of court disposal for the subject. This would involve the subject not having to attend court and the matter being dealt with through something like an educational course or community service. However, due to the nature of the injury and the introduction of a defence, I thought best to seek CPS advice and then go from there. As wella s this, I would always like to be sure of my decision and because I was not in this instance, I decided that the advice was needed. </w:t>
      </w:r>
    </w:p>
    <w:p w14:paraId="08B04651" w14:textId="77777777" w:rsidR="007033E6" w:rsidRDefault="007033E6" w:rsidP="007033E6"/>
    <w:p w14:paraId="6D8650F6"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Finally, the last steps of the NDM are to take action and review everything you have done. So, in order to develop my action, I constructed a case file of all the evidence I had gathered throughout this investigation and laid it out for the CPS to assess and make a decision on. Everything becomes recorded on a series of forms in a non-bias matter which just presents the facts of the case how they are. From this, the CPS returned to me with a decision and in this instance, the CPS decided that there was not enough evidence to prove that this assault was unprovoked and not a part of a larger ongoing fight on the rugby field. </w:t>
      </w:r>
    </w:p>
    <w:p w14:paraId="54DCEEC4" w14:textId="77777777" w:rsidR="007033E6" w:rsidRDefault="007033E6" w:rsidP="007033E6"/>
    <w:p w14:paraId="3AC0C9B8"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Upon reviewing this, I believe that the next time I would be conducting an investigation like this, I could gather more information surrounding the incident. For example, I could have asked if any of the player’s wished to come forward to provide a statement on what happened. Alternatively, I could have looked at whether any of the spectators on the sideline had captured the incident on video which may have provided more information. However, in saying this, I do believe that my investigation was thorough and provided a good representation of what occurred to the victim through theirs and other witness statements. </w:t>
      </w:r>
    </w:p>
    <w:p w14:paraId="11075CA2" w14:textId="77777777" w:rsidR="007033E6" w:rsidRDefault="007033E6" w:rsidP="007033E6"/>
    <w:p w14:paraId="62795C96" w14:textId="77777777" w:rsidR="007033E6" w:rsidRDefault="007033E6" w:rsidP="007033E6">
      <w:pPr>
        <w:pStyle w:val="NormalWeb"/>
        <w:spacing w:before="0" w:beforeAutospacing="0" w:after="0" w:afterAutospacing="0"/>
        <w:rPr>
          <w:color w:val="000000"/>
        </w:rPr>
      </w:pPr>
      <w:r>
        <w:rPr>
          <w:rFonts w:ascii="Arial" w:hAnsi="Arial" w:cs="Arial"/>
          <w:color w:val="000000"/>
          <w:sz w:val="22"/>
          <w:szCs w:val="22"/>
        </w:rPr>
        <w:t>In conclusion, I believe that this shows how the NDM can be used to make any decision and can assist you in trying to make the correct choices for victims or investigations at all times. As well as this, I believe that this highlights the importance of disclosure of evidence because bits of information that are missed out of investigations can be pivotal to the outcome of the case.</w:t>
      </w:r>
    </w:p>
    <w:p w14:paraId="64E1C6FF" w14:textId="77777777" w:rsidR="007033E6" w:rsidRDefault="007033E6" w:rsidP="007033E6">
      <w:pPr>
        <w:spacing w:after="240"/>
      </w:pPr>
    </w:p>
    <w:p w14:paraId="449C230A" w14:textId="77777777" w:rsidR="007033E6" w:rsidRDefault="007033E6" w:rsidP="007033E6">
      <w:pPr>
        <w:pStyle w:val="NormalWeb"/>
        <w:spacing w:before="0" w:beforeAutospacing="0" w:after="0" w:afterAutospacing="0"/>
        <w:rPr>
          <w:color w:val="000000"/>
        </w:rPr>
      </w:pPr>
      <w:r>
        <w:rPr>
          <w:rFonts w:ascii="Arial" w:hAnsi="Arial" w:cs="Arial"/>
          <w:color w:val="000000"/>
          <w:sz w:val="22"/>
          <w:szCs w:val="22"/>
        </w:rPr>
        <w:t>Word Count - 1817 Words</w:t>
      </w:r>
    </w:p>
    <w:p w14:paraId="34F920E2" w14:textId="77777777" w:rsidR="007033E6" w:rsidRDefault="007033E6" w:rsidP="007033E6">
      <w:pPr>
        <w:spacing w:after="240"/>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EAAD587"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Wall, I. rua (2019) ‘Policing atmospheres: Crowds, protest and “atmotechnics”’, </w:t>
      </w:r>
      <w:r>
        <w:rPr>
          <w:rFonts w:ascii="Arial" w:hAnsi="Arial" w:cs="Arial"/>
          <w:i/>
          <w:iCs/>
          <w:color w:val="000000"/>
          <w:sz w:val="22"/>
          <w:szCs w:val="22"/>
        </w:rPr>
        <w:t>Theory, Culture &amp;amp; Society</w:t>
      </w:r>
      <w:r>
        <w:rPr>
          <w:rFonts w:ascii="Arial" w:hAnsi="Arial" w:cs="Arial"/>
          <w:color w:val="000000"/>
          <w:sz w:val="22"/>
          <w:szCs w:val="22"/>
        </w:rPr>
        <w:t>, 36(4), pp. 143–162. doi:10.1177/0263276419829200. </w:t>
      </w:r>
    </w:p>
    <w:p w14:paraId="2ACE8193"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Goal, D. and Matras, Y. (2013) </w:t>
      </w:r>
      <w:r>
        <w:rPr>
          <w:rFonts w:ascii="Arial" w:hAnsi="Arial" w:cs="Arial"/>
          <w:i/>
          <w:iCs/>
          <w:color w:val="000000"/>
          <w:sz w:val="22"/>
          <w:szCs w:val="22"/>
        </w:rPr>
        <w:t>Who Canand cannot speak English?</w:t>
      </w:r>
      <w:r>
        <w:rPr>
          <w:rFonts w:ascii="Arial" w:hAnsi="Arial" w:cs="Arial"/>
          <w:color w:val="000000"/>
          <w:sz w:val="22"/>
          <w:szCs w:val="22"/>
        </w:rPr>
        <w:t xml:space="preserve"> Available at: </w:t>
      </w:r>
      <w:hyperlink r:id="rId20" w:history="1">
        <w:r>
          <w:rPr>
            <w:rStyle w:val="Hyperlink"/>
            <w:rFonts w:ascii="Arial" w:hAnsi="Arial" w:cs="Arial"/>
            <w:sz w:val="22"/>
            <w:szCs w:val="22"/>
          </w:rPr>
          <w:t>http://mlm.humanities.manchester.ac.uk/wp-content/uploads/2015/12/who-can-and-cannot-speak-english.pdf</w:t>
        </w:r>
      </w:hyperlink>
      <w:r>
        <w:rPr>
          <w:rFonts w:ascii="Arial" w:hAnsi="Arial" w:cs="Arial"/>
          <w:color w:val="000000"/>
          <w:sz w:val="22"/>
          <w:szCs w:val="22"/>
        </w:rPr>
        <w:t xml:space="preserve"> (Accessed: 01 July 2024). </w:t>
      </w:r>
    </w:p>
    <w:p w14:paraId="4F4D9CAC"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Shell, G.R. (2001) ‘Bargaining Styles and Negotiation: The Thomas-Kilmann Conflict Mode Instrument in Negotiation Training’, </w:t>
      </w:r>
      <w:r>
        <w:rPr>
          <w:rFonts w:ascii="Arial" w:hAnsi="Arial" w:cs="Arial"/>
          <w:i/>
          <w:iCs/>
          <w:color w:val="000000"/>
          <w:sz w:val="22"/>
          <w:szCs w:val="22"/>
        </w:rPr>
        <w:t>Negotiation Journal</w:t>
      </w:r>
      <w:r>
        <w:rPr>
          <w:rFonts w:ascii="Arial" w:hAnsi="Arial" w:cs="Arial"/>
          <w:color w:val="000000"/>
          <w:sz w:val="22"/>
          <w:szCs w:val="22"/>
        </w:rPr>
        <w:t>, 17(2), pp. 155–174. doi:10.1023/a:1013280109471. </w:t>
      </w:r>
    </w:p>
    <w:p w14:paraId="6F805C21"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Lac, A. and Donaldson, C.D. (2020) ‘Development and validation of the Drama Triangle Scale: Are You a victim, rescuer, or persecutor?’, </w:t>
      </w:r>
      <w:r>
        <w:rPr>
          <w:rFonts w:ascii="Arial" w:hAnsi="Arial" w:cs="Arial"/>
          <w:i/>
          <w:iCs/>
          <w:color w:val="000000"/>
          <w:sz w:val="22"/>
          <w:szCs w:val="22"/>
        </w:rPr>
        <w:t>Journal of Interpersonal Violence</w:t>
      </w:r>
      <w:r>
        <w:rPr>
          <w:rFonts w:ascii="Arial" w:hAnsi="Arial" w:cs="Arial"/>
          <w:color w:val="000000"/>
          <w:sz w:val="22"/>
          <w:szCs w:val="22"/>
        </w:rPr>
        <w:t>, 37(7–8). doi:10.1177/0886260520957696. </w:t>
      </w:r>
    </w:p>
    <w:p w14:paraId="2A5B628A"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Phillips, E. and Cheston, R. (1979) ‘Conflict resolution: What works?’, </w:t>
      </w:r>
      <w:r>
        <w:rPr>
          <w:rFonts w:ascii="Arial" w:hAnsi="Arial" w:cs="Arial"/>
          <w:i/>
          <w:iCs/>
          <w:color w:val="000000"/>
          <w:sz w:val="22"/>
          <w:szCs w:val="22"/>
        </w:rPr>
        <w:t>California Management Review</w:t>
      </w:r>
      <w:r>
        <w:rPr>
          <w:rFonts w:ascii="Arial" w:hAnsi="Arial" w:cs="Arial"/>
          <w:color w:val="000000"/>
          <w:sz w:val="22"/>
          <w:szCs w:val="22"/>
        </w:rPr>
        <w:t>, 21(4), pp. 76–83. doi:10.2307/41164837. </w:t>
      </w:r>
    </w:p>
    <w:p w14:paraId="1D4F34E0" w14:textId="77777777" w:rsidR="0081792E" w:rsidRDefault="0081792E" w:rsidP="0081792E">
      <w:pPr>
        <w:pStyle w:val="NormalWeb"/>
        <w:spacing w:before="240" w:beforeAutospacing="0" w:after="240" w:afterAutospacing="0"/>
        <w:rPr>
          <w:color w:val="000000"/>
        </w:rPr>
      </w:pPr>
      <w:r>
        <w:rPr>
          <w:rFonts w:ascii="Arial" w:hAnsi="Arial" w:cs="Arial"/>
          <w:i/>
          <w:iCs/>
          <w:color w:val="000000"/>
          <w:sz w:val="22"/>
          <w:szCs w:val="22"/>
        </w:rPr>
        <w:t>Fact sheet: The victims’ code</w:t>
      </w:r>
      <w:r>
        <w:rPr>
          <w:rFonts w:ascii="Arial" w:hAnsi="Arial" w:cs="Arial"/>
          <w:color w:val="000000"/>
          <w:sz w:val="22"/>
          <w:szCs w:val="22"/>
        </w:rPr>
        <w:t xml:space="preserve"> (2022) </w:t>
      </w:r>
      <w:r>
        <w:rPr>
          <w:rFonts w:ascii="Arial" w:hAnsi="Arial" w:cs="Arial"/>
          <w:i/>
          <w:iCs/>
          <w:color w:val="000000"/>
          <w:sz w:val="22"/>
          <w:szCs w:val="22"/>
        </w:rPr>
        <w:t>The Victims’ Code</w:t>
      </w:r>
      <w:r>
        <w:rPr>
          <w:rFonts w:ascii="Arial" w:hAnsi="Arial" w:cs="Arial"/>
          <w:color w:val="000000"/>
          <w:sz w:val="22"/>
          <w:szCs w:val="22"/>
        </w:rPr>
        <w:t xml:space="preserve">. Available at: </w:t>
      </w:r>
      <w:hyperlink r:id="rId21" w:history="1">
        <w:r>
          <w:rPr>
            <w:rStyle w:val="Hyperlink"/>
            <w:rFonts w:ascii="Arial" w:hAnsi="Arial" w:cs="Arial"/>
            <w:sz w:val="22"/>
            <w:szCs w:val="22"/>
          </w:rPr>
          <w:t>https://assets.publishing.service.gov.uk/media/642ab8fbddf8ad0013ac0c35/fact-sheet-victims-code.pdf</w:t>
        </w:r>
      </w:hyperlink>
      <w:r>
        <w:rPr>
          <w:rFonts w:ascii="Arial" w:hAnsi="Arial" w:cs="Arial"/>
          <w:color w:val="000000"/>
          <w:sz w:val="22"/>
          <w:szCs w:val="22"/>
        </w:rPr>
        <w:t xml:space="preserve"> (Accessed: 01 July 2024). </w:t>
      </w:r>
    </w:p>
    <w:p w14:paraId="02AC270E" w14:textId="77777777" w:rsidR="0081792E" w:rsidRDefault="0081792E" w:rsidP="0081792E">
      <w:pPr>
        <w:pStyle w:val="NormalWeb"/>
        <w:spacing w:before="240" w:beforeAutospacing="0" w:after="240" w:afterAutospacing="0"/>
        <w:ind w:left="560"/>
        <w:rPr>
          <w:color w:val="000000"/>
        </w:rPr>
      </w:pPr>
      <w:r>
        <w:rPr>
          <w:rFonts w:ascii="Arial" w:hAnsi="Arial" w:cs="Arial"/>
          <w:color w:val="000000"/>
          <w:sz w:val="22"/>
          <w:szCs w:val="22"/>
        </w:rPr>
        <w:t xml:space="preserve">NPCC (2024) </w:t>
      </w:r>
      <w:r>
        <w:rPr>
          <w:rFonts w:ascii="Arial" w:hAnsi="Arial" w:cs="Arial"/>
          <w:i/>
          <w:iCs/>
          <w:color w:val="000000"/>
          <w:sz w:val="22"/>
          <w:szCs w:val="22"/>
        </w:rPr>
        <w:t>Scale of homicide and suicides by Domestic Abuse Victims revealed</w:t>
      </w:r>
      <w:r>
        <w:rPr>
          <w:rFonts w:ascii="Arial" w:hAnsi="Arial" w:cs="Arial"/>
          <w:color w:val="000000"/>
          <w:sz w:val="22"/>
          <w:szCs w:val="22"/>
        </w:rPr>
        <w:t xml:space="preserve">, </w:t>
      </w:r>
      <w:r>
        <w:rPr>
          <w:rFonts w:ascii="Arial" w:hAnsi="Arial" w:cs="Arial"/>
          <w:i/>
          <w:iCs/>
          <w:color w:val="000000"/>
          <w:sz w:val="22"/>
          <w:szCs w:val="22"/>
        </w:rPr>
        <w:t>National Police Chiefs’ Council (NPCC)</w:t>
      </w:r>
      <w:r>
        <w:rPr>
          <w:rFonts w:ascii="Arial" w:hAnsi="Arial" w:cs="Arial"/>
          <w:color w:val="000000"/>
          <w:sz w:val="22"/>
          <w:szCs w:val="22"/>
        </w:rPr>
        <w:t xml:space="preserve">. Available at: </w:t>
      </w:r>
      <w:hyperlink r:id="rId22" w:history="1">
        <w:r>
          <w:rPr>
            <w:rStyle w:val="Hyperlink"/>
            <w:rFonts w:ascii="Arial" w:hAnsi="Arial" w:cs="Arial"/>
            <w:sz w:val="22"/>
            <w:szCs w:val="22"/>
          </w:rPr>
          <w:t>https://news.npcc.police.uk/releases/report-reveals-scale-of-domestic-homicide-and-suicides-by-victims-of-domestic-abuse</w:t>
        </w:r>
      </w:hyperlink>
      <w:r>
        <w:rPr>
          <w:rFonts w:ascii="Arial" w:hAnsi="Arial" w:cs="Arial"/>
          <w:color w:val="000000"/>
          <w:sz w:val="22"/>
          <w:szCs w:val="22"/>
        </w:rPr>
        <w:t xml:space="preserve"> (Accessed: 01 July 2024). </w:t>
      </w:r>
    </w:p>
    <w:p w14:paraId="216307F9" w14:textId="77777777" w:rsidR="0081792E" w:rsidRDefault="0081792E" w:rsidP="0081792E">
      <w:pPr>
        <w:pStyle w:val="NormalWeb"/>
        <w:spacing w:before="240" w:beforeAutospacing="0" w:after="240" w:afterAutospacing="0"/>
        <w:ind w:left="560"/>
        <w:rPr>
          <w:color w:val="000000"/>
        </w:rPr>
      </w:pPr>
      <w:r>
        <w:rPr>
          <w:rFonts w:ascii="Arial" w:hAnsi="Arial" w:cs="Arial"/>
          <w:color w:val="000000"/>
          <w:sz w:val="22"/>
          <w:szCs w:val="22"/>
        </w:rPr>
        <w:t xml:space="preserve">Hucklesby, A. and Marshall, E. (2000) ‘Tackling offending on bail’, </w:t>
      </w:r>
      <w:r>
        <w:rPr>
          <w:rFonts w:ascii="Arial" w:hAnsi="Arial" w:cs="Arial"/>
          <w:i/>
          <w:iCs/>
          <w:color w:val="000000"/>
          <w:sz w:val="22"/>
          <w:szCs w:val="22"/>
        </w:rPr>
        <w:t>The Howard Journal of Criminal Justice</w:t>
      </w:r>
      <w:r>
        <w:rPr>
          <w:rFonts w:ascii="Arial" w:hAnsi="Arial" w:cs="Arial"/>
          <w:color w:val="000000"/>
          <w:sz w:val="22"/>
          <w:szCs w:val="22"/>
        </w:rPr>
        <w:t>, 39(2), pp. 150–170. doi:10.1111/1468-2311.00159. </w:t>
      </w:r>
    </w:p>
    <w:p w14:paraId="6F35A4A9" w14:textId="77777777" w:rsidR="0081792E" w:rsidRDefault="0081792E" w:rsidP="0081792E">
      <w:pPr>
        <w:rPr>
          <w:sz w:val="22"/>
          <w:szCs w:val="22"/>
        </w:rPr>
      </w:pPr>
      <w:r>
        <w:rPr>
          <w:sz w:val="22"/>
          <w:szCs w:val="22"/>
        </w:rPr>
        <w:t xml:space="preserve">Cretney, A. and Davis, G. (1997) ‘Prosecuting domestic assault: Victims failing courts, or courts failing victims?’, </w:t>
      </w:r>
      <w:r>
        <w:rPr>
          <w:i/>
          <w:iCs/>
          <w:sz w:val="22"/>
          <w:szCs w:val="22"/>
        </w:rPr>
        <w:t>The Howard Journal of Criminal Justice</w:t>
      </w:r>
      <w:r>
        <w:rPr>
          <w:sz w:val="22"/>
          <w:szCs w:val="22"/>
        </w:rPr>
        <w:t>, 36(2), pp. 146–157. doi:10.1111/1468-2311.00045. </w:t>
      </w:r>
    </w:p>
    <w:p w14:paraId="79DEC32D" w14:textId="77777777" w:rsidR="007033E6" w:rsidRDefault="007033E6" w:rsidP="0081792E">
      <w:pPr>
        <w:rPr>
          <w:sz w:val="22"/>
          <w:szCs w:val="22"/>
        </w:rPr>
      </w:pPr>
    </w:p>
    <w:p w14:paraId="33AE35B5" w14:textId="77777777" w:rsidR="007033E6" w:rsidRDefault="007033E6" w:rsidP="007033E6">
      <w:pPr>
        <w:pStyle w:val="NormalWeb"/>
        <w:spacing w:before="240" w:beforeAutospacing="0" w:after="240" w:afterAutospacing="0"/>
        <w:ind w:left="560"/>
        <w:rPr>
          <w:color w:val="000000"/>
        </w:rPr>
      </w:pPr>
      <w:r>
        <w:rPr>
          <w:rFonts w:ascii="Arial" w:hAnsi="Arial" w:cs="Arial"/>
          <w:color w:val="000000"/>
          <w:sz w:val="22"/>
          <w:szCs w:val="22"/>
        </w:rPr>
        <w:t xml:space="preserve">Miller, N. (2022) ‘Policing Uncertainty, Decisions and Actions in a National Emergency’, </w:t>
      </w:r>
      <w:r>
        <w:rPr>
          <w:rFonts w:ascii="Arial" w:hAnsi="Arial" w:cs="Arial"/>
          <w:i/>
          <w:iCs/>
          <w:color w:val="000000"/>
          <w:sz w:val="22"/>
          <w:szCs w:val="22"/>
        </w:rPr>
        <w:t xml:space="preserve">Centre for Policing Research and Learning </w:t>
      </w:r>
      <w:r>
        <w:rPr>
          <w:rFonts w:ascii="Arial" w:hAnsi="Arial" w:cs="Arial"/>
          <w:color w:val="000000"/>
          <w:sz w:val="22"/>
          <w:szCs w:val="22"/>
        </w:rPr>
        <w:t xml:space="preserve">[Preprint]. Available at: </w:t>
      </w:r>
      <w:hyperlink r:id="rId23" w:history="1">
        <w:r>
          <w:rPr>
            <w:rStyle w:val="Hyperlink"/>
            <w:rFonts w:ascii="Arial" w:hAnsi="Arial" w:cs="Arial"/>
            <w:sz w:val="22"/>
            <w:szCs w:val="22"/>
          </w:rPr>
          <w:t>https://www5.open.ac.uk/centres/policing/sites/www.open.ac.uk.centres.policing/files/files/Outputs/PUDANE%20public%20report%20%20(April%2022).pdf</w:t>
        </w:r>
      </w:hyperlink>
      <w:r>
        <w:rPr>
          <w:rFonts w:ascii="Arial" w:hAnsi="Arial" w:cs="Arial"/>
          <w:color w:val="000000"/>
          <w:sz w:val="22"/>
          <w:szCs w:val="22"/>
        </w:rPr>
        <w:t xml:space="preserve"> (Accessed: 01 July 2024). </w:t>
      </w:r>
    </w:p>
    <w:p w14:paraId="3D4F1E0C" w14:textId="77777777" w:rsidR="007033E6" w:rsidRDefault="007033E6" w:rsidP="007033E6">
      <w:pPr>
        <w:pStyle w:val="NormalWeb"/>
        <w:spacing w:before="240" w:beforeAutospacing="0" w:after="240" w:afterAutospacing="0"/>
        <w:ind w:left="560"/>
        <w:rPr>
          <w:color w:val="000000"/>
        </w:rPr>
      </w:pPr>
      <w:r>
        <w:rPr>
          <w:rFonts w:ascii="Arial" w:hAnsi="Arial" w:cs="Arial"/>
          <w:color w:val="000000"/>
          <w:sz w:val="22"/>
          <w:szCs w:val="22"/>
        </w:rPr>
        <w:lastRenderedPageBreak/>
        <w:t xml:space="preserve">Pearson, G., Rowe, M. and Turner, L. (2018) ‘Policy, practicalities, and pace s. 24: The subsuming of the necessity criteria in arrest decision making by Frontline Police Officers’, </w:t>
      </w:r>
      <w:r>
        <w:rPr>
          <w:rFonts w:ascii="Arial" w:hAnsi="Arial" w:cs="Arial"/>
          <w:i/>
          <w:iCs/>
          <w:color w:val="000000"/>
          <w:sz w:val="22"/>
          <w:szCs w:val="22"/>
        </w:rPr>
        <w:t>Journal of Law and Society</w:t>
      </w:r>
      <w:r>
        <w:rPr>
          <w:rFonts w:ascii="Arial" w:hAnsi="Arial" w:cs="Arial"/>
          <w:color w:val="000000"/>
          <w:sz w:val="22"/>
          <w:szCs w:val="22"/>
        </w:rPr>
        <w:t>, 45(2), pp. 282–308. doi:10.1111/jols.12087. </w:t>
      </w:r>
    </w:p>
    <w:p w14:paraId="1F407C2B" w14:textId="77777777" w:rsidR="007033E6" w:rsidRDefault="007033E6" w:rsidP="007033E6">
      <w:pPr>
        <w:pStyle w:val="NormalWeb"/>
        <w:spacing w:before="240" w:beforeAutospacing="0" w:after="240" w:afterAutospacing="0"/>
        <w:ind w:left="560"/>
        <w:rPr>
          <w:color w:val="000000"/>
        </w:rPr>
      </w:pPr>
      <w:r>
        <w:rPr>
          <w:rFonts w:ascii="Arial" w:hAnsi="Arial" w:cs="Arial"/>
          <w:color w:val="000000"/>
          <w:sz w:val="22"/>
          <w:szCs w:val="22"/>
        </w:rPr>
        <w:t xml:space="preserve">Thomas, J.U. (2021) </w:t>
      </w:r>
      <w:r>
        <w:rPr>
          <w:rFonts w:ascii="Arial" w:hAnsi="Arial" w:cs="Arial"/>
          <w:i/>
          <w:iCs/>
          <w:color w:val="000000"/>
          <w:sz w:val="22"/>
          <w:szCs w:val="22"/>
        </w:rPr>
        <w:t>Courts ‘are close to collapse over police disclosure failures’</w:t>
      </w:r>
      <w:r>
        <w:rPr>
          <w:rFonts w:ascii="Arial" w:hAnsi="Arial" w:cs="Arial"/>
          <w:color w:val="000000"/>
          <w:sz w:val="22"/>
          <w:szCs w:val="22"/>
        </w:rPr>
        <w:t>, pp. 282–308. </w:t>
      </w:r>
    </w:p>
    <w:p w14:paraId="24C2987A" w14:textId="77777777" w:rsidR="007033E6" w:rsidRDefault="007033E6" w:rsidP="0081792E">
      <w:pPr>
        <w:rPr>
          <w:sz w:val="22"/>
          <w:szCs w:val="22"/>
        </w:rPr>
      </w:pPr>
    </w:p>
    <w:p w14:paraId="0107237E" w14:textId="77777777" w:rsidR="007033E6" w:rsidRDefault="007033E6" w:rsidP="0081792E">
      <w:pPr>
        <w:rPr>
          <w:color w:val="auto"/>
        </w:rPr>
      </w:pPr>
    </w:p>
    <w:p w14:paraId="390C0601" w14:textId="77777777" w:rsidR="0081792E" w:rsidRDefault="0081792E" w:rsidP="00225166">
      <w:pPr>
        <w:spacing w:after="240"/>
        <w:rPr>
          <w:color w:val="auto"/>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732561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7033E6">
        <w:rPr>
          <w:rFonts w:eastAsia="Arial"/>
          <w:color w:val="000000" w:themeColor="text1"/>
          <w:sz w:val="24"/>
          <w:szCs w:val="24"/>
          <w:highlight w:val="yellow"/>
        </w:rPr>
        <w:t>J.Such</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303F31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7033E6">
        <w:rPr>
          <w:rFonts w:eastAsia="Arial"/>
          <w:color w:val="000000" w:themeColor="text1"/>
          <w:sz w:val="24"/>
          <w:szCs w:val="24"/>
          <w:highlight w:val="yellow"/>
        </w:rPr>
        <w:t>01/07/2024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F415A7" w14:textId="77777777" w:rsidR="003016ED" w:rsidRDefault="003016ED">
      <w:r>
        <w:separator/>
      </w:r>
    </w:p>
  </w:endnote>
  <w:endnote w:type="continuationSeparator" w:id="0">
    <w:p w14:paraId="75C9018C" w14:textId="77777777" w:rsidR="003016ED" w:rsidRDefault="00301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7C738E" w14:textId="77777777" w:rsidR="003016ED" w:rsidRDefault="003016ED">
      <w:r>
        <w:separator/>
      </w:r>
    </w:p>
  </w:footnote>
  <w:footnote w:type="continuationSeparator" w:id="0">
    <w:p w14:paraId="33D028BF" w14:textId="77777777" w:rsidR="003016ED" w:rsidRDefault="003016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659C"/>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25166"/>
    <w:rsid w:val="00230439"/>
    <w:rsid w:val="002333C2"/>
    <w:rsid w:val="00235176"/>
    <w:rsid w:val="00236061"/>
    <w:rsid w:val="0024100E"/>
    <w:rsid w:val="00241C1B"/>
    <w:rsid w:val="0024288B"/>
    <w:rsid w:val="0025394E"/>
    <w:rsid w:val="00255D8E"/>
    <w:rsid w:val="002657E9"/>
    <w:rsid w:val="0026665E"/>
    <w:rsid w:val="002702F7"/>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16ED"/>
    <w:rsid w:val="0030C684"/>
    <w:rsid w:val="0031350A"/>
    <w:rsid w:val="00316815"/>
    <w:rsid w:val="003168CA"/>
    <w:rsid w:val="00321255"/>
    <w:rsid w:val="0032230D"/>
    <w:rsid w:val="00322A0B"/>
    <w:rsid w:val="00335FC5"/>
    <w:rsid w:val="003516C0"/>
    <w:rsid w:val="003525B5"/>
    <w:rsid w:val="00352E59"/>
    <w:rsid w:val="00354DBE"/>
    <w:rsid w:val="00355210"/>
    <w:rsid w:val="00365DF9"/>
    <w:rsid w:val="00372DB4"/>
    <w:rsid w:val="00375AF5"/>
    <w:rsid w:val="003761BD"/>
    <w:rsid w:val="0038496F"/>
    <w:rsid w:val="00385414"/>
    <w:rsid w:val="00390074"/>
    <w:rsid w:val="003901EE"/>
    <w:rsid w:val="0039762B"/>
    <w:rsid w:val="003A0C37"/>
    <w:rsid w:val="003A1B6B"/>
    <w:rsid w:val="003A285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38B7"/>
    <w:rsid w:val="0052653C"/>
    <w:rsid w:val="00536FA9"/>
    <w:rsid w:val="005414F4"/>
    <w:rsid w:val="00546187"/>
    <w:rsid w:val="005463F1"/>
    <w:rsid w:val="00546B75"/>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F453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B763E"/>
    <w:rsid w:val="006C2EB5"/>
    <w:rsid w:val="006C7CA5"/>
    <w:rsid w:val="006D18A3"/>
    <w:rsid w:val="006D4550"/>
    <w:rsid w:val="006D5970"/>
    <w:rsid w:val="006E481E"/>
    <w:rsid w:val="006E795F"/>
    <w:rsid w:val="00700249"/>
    <w:rsid w:val="007033E6"/>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1792E"/>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2693"/>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4B06"/>
    <w:rsid w:val="009079BD"/>
    <w:rsid w:val="00910B43"/>
    <w:rsid w:val="00912BD9"/>
    <w:rsid w:val="00920E5B"/>
    <w:rsid w:val="00926436"/>
    <w:rsid w:val="0093018C"/>
    <w:rsid w:val="00932AFF"/>
    <w:rsid w:val="0093620B"/>
    <w:rsid w:val="009544C0"/>
    <w:rsid w:val="00954FA4"/>
    <w:rsid w:val="00956AE9"/>
    <w:rsid w:val="00962EC5"/>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B6A95"/>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13F"/>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25166"/>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8376052">
      <w:bodyDiv w:val="1"/>
      <w:marLeft w:val="0"/>
      <w:marRight w:val="0"/>
      <w:marTop w:val="0"/>
      <w:marBottom w:val="0"/>
      <w:divBdr>
        <w:top w:val="none" w:sz="0" w:space="0" w:color="auto"/>
        <w:left w:val="none" w:sz="0" w:space="0" w:color="auto"/>
        <w:bottom w:val="none" w:sz="0" w:space="0" w:color="auto"/>
        <w:right w:val="none" w:sz="0" w:space="0" w:color="auto"/>
      </w:divBdr>
    </w:div>
    <w:div w:id="9173276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4729511">
      <w:bodyDiv w:val="1"/>
      <w:marLeft w:val="0"/>
      <w:marRight w:val="0"/>
      <w:marTop w:val="0"/>
      <w:marBottom w:val="0"/>
      <w:divBdr>
        <w:top w:val="none" w:sz="0" w:space="0" w:color="auto"/>
        <w:left w:val="none" w:sz="0" w:space="0" w:color="auto"/>
        <w:bottom w:val="none" w:sz="0" w:space="0" w:color="auto"/>
        <w:right w:val="none" w:sz="0" w:space="0" w:color="auto"/>
      </w:divBdr>
    </w:div>
    <w:div w:id="1933734545">
      <w:bodyDiv w:val="1"/>
      <w:marLeft w:val="0"/>
      <w:marRight w:val="0"/>
      <w:marTop w:val="0"/>
      <w:marBottom w:val="0"/>
      <w:divBdr>
        <w:top w:val="none" w:sz="0" w:space="0" w:color="auto"/>
        <w:left w:val="none" w:sz="0" w:space="0" w:color="auto"/>
        <w:bottom w:val="none" w:sz="0" w:space="0" w:color="auto"/>
        <w:right w:val="none" w:sz="0" w:space="0" w:color="auto"/>
      </w:divBdr>
    </w:div>
    <w:div w:id="20126424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gbr01.safelinks.protection.outlook.com/?url=https%3A%2F%2Fassets.publishing.service.gov.uk%2Fmedia%2F642ab8fbddf8ad0013ac0c35%2Ffact-sheet-victims-code.pdf&amp;data=05%7C02%7Cjack.such%40south-wales.police.uk%7C4fac9170134d437e082508dc99eee27d%7C270c2f4dfd0c4f0892a9e5bdd8a87e09%7C0%7C0%7C638554498751100348%7CUnknown%7CTWFpbGZsb3d8eyJWIjoiMC4wLjAwMDAiLCJQIjoiV2luMzIiLCJBTiI6Ik1haWwiLCJXVCI6Mn0%3D%7C0%7C%7C%7C&amp;sdata=eNhpTD3lEnN8mS8VvNJPNs76N1VKJ76hR8uFv6kqsr8%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3A%2F%2Fmlm.humanities.manchester.ac.uk%2Fwp-content%2Fuploads%2F2015%2F12%2Fwho-can-and-cannot-speak-english.pdf&amp;data=05%7C02%7Cjack.such%40south-wales.police.uk%7C94a8375af99b4b3d055508dc99d6fee4%7C270c2f4dfd0c4f0892a9e5bdd8a87e09%7C0%7C0%7C638554396158391263%7CUnknown%7CTWFpbGZsb3d8eyJWIjoiMC4wLjAwMDAiLCJQIjoiV2luMzIiLCJBTiI6Ik1haWwiLCJXVCI6Mn0%3D%7C0%7C%7C%7C&amp;sdata=uSVROja33F%2FfkShfiUppo9WpMaUGIG5%2FUxY0Mwsj82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www5.open.ac.uk%2Fcentres%2Fpolicing%2Fsites%2Fwww.open.ac.uk.centres.policing%2Ffiles%2Ffiles%2FOutputs%2FPUDANE%2520public%2520report%2520%2520(April%252022).pdf&amp;data=05%7C02%7Cjack.such%40south-wales.police.uk%7Ceb5a25f6612e435d7d1808dc9a0d23da%7C270c2f4dfd0c4f0892a9e5bdd8a87e09%7C0%7C0%7C638554628694897643%7CUnknown%7CTWFpbGZsb3d8eyJWIjoiMC4wLjAwMDAiLCJQIjoiV2luMzIiLCJBTiI6Ik1haWwiLCJXVCI6Mn0%3D%7C0%7C%7C%7C&amp;sdata=ozTWUwJcTTK3y3VHRteLwPybEShB78ksr7cR48FOHC4%3D&amp;reserved=0"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news.npcc.police.uk%2Freleases%2Freport-reveals-scale-of-domestic-homicide-and-suicides-by-victims-of-domestic-abuse&amp;data=05%7C02%7Cjack.such%40south-wales.police.uk%7C4fac9170134d437e082508dc99eee27d%7C270c2f4dfd0c4f0892a9e5bdd8a87e09%7C0%7C0%7C638554498751120328%7CUnknown%7CTWFpbGZsb3d8eyJWIjoiMC4wLjAwMDAiLCJQIjoiV2luMzIiLCJBTiI6Ik1haWwiLCJXVCI6Mn0%3D%7C0%7C%7C%7C&amp;sdata=efCU1jx8P70mXl8eSJuZIftwJNMFzv3l9IvM%2B3WHP6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1905</TotalTime>
  <Pages>25</Pages>
  <Words>7927</Words>
  <Characters>45186</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Such,Jack swp8809</cp:lastModifiedBy>
  <cp:revision>10</cp:revision>
  <cp:lastPrinted>2019-08-13T11:47:00Z</cp:lastPrinted>
  <dcterms:created xsi:type="dcterms:W3CDTF">2023-10-05T14:42:00Z</dcterms:created>
  <dcterms:modified xsi:type="dcterms:W3CDTF">2024-07-01T20:41:00Z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