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b w:val="1"/>
          <w:sz w:val="32"/>
          <w:szCs w:val="32"/>
        </w:rPr>
      </w:pPr>
      <w:bookmarkStart w:colFirst="0" w:colLast="0" w:name="_heading=h.gjdgxs" w:id="0"/>
      <w:bookmarkEnd w:id="0"/>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Accounting Fundamentals</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Adrian-Iulian Susanu 2019938</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Assignment 1</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Module:LCBB4001</w:t>
      </w:r>
    </w:p>
    <w:p w:rsidR="00000000" w:rsidDel="00000000" w:rsidP="00000000" w:rsidRDefault="00000000" w:rsidRPr="00000000" w14:paraId="00000010">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9">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Question 1:</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_heading=h.2et92p0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“Prepare a Profit and Loss statement for the year ended 31st December 2020 for Kedison PLC and a statement of financial position as at that date”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_heading=h.tyjcwt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Why does the statement of financial position balance?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Question 2:</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_heading=h.1t3h5sf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Calculate the following ratios for Chocco plc for 2020 and 2019, showing the formulas and workings: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_heading=h.4d34og8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Comment on the financial performance and position of Chocco plc.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 List:</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3">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b w:val="1"/>
          <w:sz w:val="24"/>
          <w:szCs w:val="24"/>
        </w:rPr>
      </w:pPr>
      <w:bookmarkStart w:colFirst="0" w:colLast="0" w:name="_heading=h.30j0zll" w:id="1"/>
      <w:bookmarkEnd w:id="1"/>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spacing w:line="360" w:lineRule="auto"/>
        <w:jc w:val="both"/>
        <w:rPr>
          <w:rFonts w:ascii="Times New Roman" w:cs="Times New Roman" w:eastAsia="Times New Roman" w:hAnsi="Times New Roman"/>
          <w:b w:val="1"/>
          <w:sz w:val="24"/>
          <w:szCs w:val="24"/>
        </w:rPr>
      </w:pPr>
      <w:bookmarkStart w:colFirst="0" w:colLast="0" w:name="_heading=h.1fob9te" w:id="2"/>
      <w:bookmarkEnd w:id="2"/>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Accounting is a stage of processes that contains recording, summarizing, examining, and reporting of data based on financial transactions. Besides, there are several aspects of accounting that one needs to keep in mind in order to understand the fundamentals of accounting. The major objectives behind accounting is to provide record maintenance of business transactions, profit and loss, financial predictions, decision making, and maximum utilization of current resources. Proper financial accounting is exceptionally essential for businesses to maintain their economic position in the market (Florou</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2017). Thus, the following study will determine different financial statements and ratios that define the present economic position of Kedison PLC and Chocco plc.  </w:t>
      </w:r>
    </w:p>
    <w:p w:rsidR="00000000" w:rsidDel="00000000" w:rsidP="00000000" w:rsidRDefault="00000000" w:rsidRPr="00000000" w14:paraId="00000028">
      <w:pPr>
        <w:pStyle w:val="Heading1"/>
        <w:spacing w:line="360" w:lineRule="auto"/>
        <w:jc w:val="both"/>
        <w:rPr>
          <w:rFonts w:ascii="Times New Roman" w:cs="Times New Roman" w:eastAsia="Times New Roman" w:hAnsi="Times New Roman"/>
          <w:b w:val="1"/>
          <w:sz w:val="24"/>
          <w:szCs w:val="24"/>
        </w:rPr>
      </w:pPr>
      <w:bookmarkStart w:colFirst="0" w:colLast="0" w:name="_heading=h.3znysh7" w:id="3"/>
      <w:bookmarkEnd w:id="3"/>
      <w:r w:rsidDel="00000000" w:rsidR="00000000" w:rsidRPr="00000000">
        <w:rPr>
          <w:rFonts w:ascii="Times New Roman" w:cs="Times New Roman" w:eastAsia="Times New Roman" w:hAnsi="Times New Roman"/>
          <w:b w:val="1"/>
          <w:sz w:val="24"/>
          <w:szCs w:val="24"/>
          <w:rtl w:val="0"/>
        </w:rPr>
        <w:t xml:space="preserve">Question 1:</w:t>
      </w:r>
    </w:p>
    <w:p w:rsidR="00000000" w:rsidDel="00000000" w:rsidP="00000000" w:rsidRDefault="00000000" w:rsidRPr="00000000" w14:paraId="00000029">
      <w:pPr>
        <w:pStyle w:val="Heading2"/>
        <w:numPr>
          <w:ilvl w:val="0"/>
          <w:numId w:val="5"/>
        </w:numPr>
        <w:spacing w:line="360" w:lineRule="auto"/>
        <w:ind w:left="720" w:hanging="360"/>
        <w:jc w:val="both"/>
        <w:rPr>
          <w:rFonts w:ascii="Times New Roman" w:cs="Times New Roman" w:eastAsia="Times New Roman" w:hAnsi="Times New Roman"/>
          <w:b w:val="1"/>
          <w:sz w:val="24"/>
          <w:szCs w:val="24"/>
        </w:rPr>
      </w:pPr>
      <w:bookmarkStart w:colFirst="0" w:colLast="0" w:name="_heading=h.2et92p0" w:id="4"/>
      <w:bookmarkEnd w:id="4"/>
      <w:r w:rsidDel="00000000" w:rsidR="00000000" w:rsidRPr="00000000">
        <w:rPr>
          <w:rFonts w:ascii="Times New Roman" w:cs="Times New Roman" w:eastAsia="Times New Roman" w:hAnsi="Times New Roman"/>
          <w:b w:val="1"/>
          <w:sz w:val="24"/>
          <w:szCs w:val="24"/>
          <w:rtl w:val="0"/>
        </w:rPr>
        <w:t xml:space="preserve">“Prepare a Profit and Loss statement for the year ended 31st December 2020 for Kedison PLC and a statement of financial position as at that date”</w:t>
      </w:r>
    </w:p>
    <w:p w:rsidR="00000000" w:rsidDel="00000000" w:rsidP="00000000" w:rsidRDefault="00000000" w:rsidRPr="00000000" w14:paraId="0000002A">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Income statement: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6090.0" w:type="dxa"/>
        <w:jc w:val="left"/>
        <w:tblInd w:w="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495"/>
        <w:gridCol w:w="1200"/>
        <w:gridCol w:w="1395"/>
        <w:tblGridChange w:id="0">
          <w:tblGrid>
            <w:gridCol w:w="3495"/>
            <w:gridCol w:w="1200"/>
            <w:gridCol w:w="139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C">
            <w:pPr>
              <w:spacing w:after="240"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Particulars</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D">
            <w:pPr>
              <w:spacing w:after="240"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Amount </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E">
            <w:pPr>
              <w:spacing w:after="240"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Amount </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F">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0">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826,650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31">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2">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Credit sales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3">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980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34">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827,630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5">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Cost of sales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6">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7">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578,650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8">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profit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9">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A">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248,980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B">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expenses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C">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E">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F">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0">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1">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2">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3">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4">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Administrative expenses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5">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6">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7">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Distribution costs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8">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28,000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9">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A">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paid</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B">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C">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D">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Salesman commission</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E">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F">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0">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Directors remuneration</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1">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68,000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Profit before tax</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180,980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Corporation tax</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68,000.00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9">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5A">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5B">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112,980.00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C">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less: Preference dividend paid</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5D">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5E">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5F">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Ordinary dividend paid</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60">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61">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50,000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62">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Retained profit</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63">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64">
            <w:pPr>
              <w:spacing w:after="240"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62,980.00</w:t>
            </w:r>
          </w:p>
        </w:tc>
      </w:tr>
    </w:tbl>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Financial position statement: </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2"/>
        <w:tblW w:w="8805.0" w:type="dxa"/>
        <w:jc w:val="left"/>
        <w:tblInd w:w="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235"/>
        <w:gridCol w:w="1785"/>
        <w:gridCol w:w="1785"/>
        <w:tblGridChange w:id="0">
          <w:tblGrid>
            <w:gridCol w:w="5235"/>
            <w:gridCol w:w="1785"/>
            <w:gridCol w:w="178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Particulars </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Amount </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Amount </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Assets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after="240"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Non-current assets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Plant and equipment</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632,730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7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76">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Stocks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330,600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963,330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B">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D">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E">
            <w:pPr>
              <w:spacing w:after="240"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Current assets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F">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Cash and bank</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12,900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980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6">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170,125</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184,005</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A">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B">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D">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Total assets   </w:t>
              <w:tab/>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E">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F">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1,147,335</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0">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2">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Liability and equity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Salesmen commission</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8">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Trade creditors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171,355</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9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174,355</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C">
            <w:pPr>
              <w:spacing w:after="240" w:before="240"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Equity</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D">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E">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Debentures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ordinary shares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310,000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preference shares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Retained profits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132,000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A">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Profit</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62,980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Corporation tax</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A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68,000.00</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B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972,980</w:t>
            </w:r>
          </w:p>
        </w:tc>
      </w:tr>
      <w:tr>
        <w:trPr>
          <w:cantSplit w:val="0"/>
          <w:trHeight w:val="50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1">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Total liability and equity</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B2">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bottom"/>
          </w:tcPr>
          <w:p w:rsidR="00000000" w:rsidDel="00000000" w:rsidP="00000000" w:rsidRDefault="00000000" w:rsidRPr="00000000" w14:paraId="000000B3">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1,147,335</w:t>
            </w:r>
          </w:p>
        </w:tc>
      </w:tr>
    </w:tbl>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pStyle w:val="Heading2"/>
        <w:numPr>
          <w:ilvl w:val="0"/>
          <w:numId w:val="5"/>
        </w:numPr>
        <w:spacing w:line="360" w:lineRule="auto"/>
        <w:ind w:left="720" w:hanging="360"/>
        <w:jc w:val="both"/>
        <w:rPr>
          <w:rFonts w:ascii="Times New Roman" w:cs="Times New Roman" w:eastAsia="Times New Roman" w:hAnsi="Times New Roman"/>
          <w:b w:val="1"/>
          <w:sz w:val="24"/>
          <w:szCs w:val="24"/>
        </w:rPr>
      </w:pPr>
      <w:bookmarkStart w:colFirst="0" w:colLast="0" w:name="_heading=h.tyjcwt" w:id="5"/>
      <w:bookmarkEnd w:id="5"/>
      <w:r w:rsidDel="00000000" w:rsidR="00000000" w:rsidRPr="00000000">
        <w:rPr>
          <w:rFonts w:ascii="Times New Roman" w:cs="Times New Roman" w:eastAsia="Times New Roman" w:hAnsi="Times New Roman"/>
          <w:b w:val="1"/>
          <w:sz w:val="24"/>
          <w:szCs w:val="24"/>
          <w:rtl w:val="0"/>
        </w:rPr>
        <w:t xml:space="preserve">Why does the statement of financial position balance?</w:t>
      </w:r>
    </w:p>
    <w:p w:rsidR="00000000" w:rsidDel="00000000" w:rsidP="00000000" w:rsidRDefault="00000000" w:rsidRPr="00000000" w14:paraId="000000B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statement of financial position balance can be also defined as a balance sheet that normally contains the assets, liabilities, equity of business organizations at a specific period of time. In this case, the previous calculation represents the balance sheet of Kedison PLC for the fiscal year of 2020. Such financial statements also help in comparing the current financial positions of the organization with its market competitors (Fraser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2016). The assets of Kedison PLC includes cash, property, plant and equipment that means any valuable thing that the company owns; however, the liabilities of the company are counted as payments to the suppliers, business/bank loans that means the things that it owes to outside parties. Therefore, the equity of the organization can be stated as subtraction of current liabilities from its total assets. Through detailed analysis of the balance sheet the company can have a proper understanding of what the business owns and regulates along with what it owes to third parties and other investments that the owner of Kedison PLC has contributed at a certain period of time (2020). It is one of the easiest and presentable financial statements that assist in comparing debt to equity or present assets to present liabilities (Lessambo, 2018).  The general items i.e. assets, liabilities and equity is further divided into some categories such as </w:t>
      </w:r>
    </w:p>
    <w:p w:rsidR="00000000" w:rsidDel="00000000" w:rsidP="00000000" w:rsidRDefault="00000000" w:rsidRPr="00000000" w14:paraId="000000B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Assets:</w:t>
      </w:r>
    </w:p>
    <w:p w:rsidR="00000000" w:rsidDel="00000000" w:rsidP="00000000" w:rsidRDefault="00000000" w:rsidRPr="00000000" w14:paraId="000000B8">
      <w:pPr>
        <w:numPr>
          <w:ilvl w:val="0"/>
          <w:numId w:val="4"/>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Accounts receivable</w:t>
      </w:r>
    </w:p>
    <w:p w:rsidR="00000000" w:rsidDel="00000000" w:rsidP="00000000" w:rsidRDefault="00000000" w:rsidRPr="00000000" w14:paraId="000000B9">
      <w:pPr>
        <w:numPr>
          <w:ilvl w:val="0"/>
          <w:numId w:val="4"/>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Cash</w:t>
      </w:r>
    </w:p>
    <w:p w:rsidR="00000000" w:rsidDel="00000000" w:rsidP="00000000" w:rsidRDefault="00000000" w:rsidRPr="00000000" w14:paraId="000000BA">
      <w:pPr>
        <w:numPr>
          <w:ilvl w:val="0"/>
          <w:numId w:val="4"/>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Fixed Assets</w:t>
      </w:r>
    </w:p>
    <w:p w:rsidR="00000000" w:rsidDel="00000000" w:rsidP="00000000" w:rsidRDefault="00000000" w:rsidRPr="00000000" w14:paraId="000000BB">
      <w:pPr>
        <w:numPr>
          <w:ilvl w:val="0"/>
          <w:numId w:val="4"/>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Other Assets</w:t>
      </w:r>
    </w:p>
    <w:p w:rsidR="00000000" w:rsidDel="00000000" w:rsidP="00000000" w:rsidRDefault="00000000" w:rsidRPr="00000000" w14:paraId="000000BC">
      <w:pPr>
        <w:numPr>
          <w:ilvl w:val="0"/>
          <w:numId w:val="4"/>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Inventory</w:t>
      </w:r>
    </w:p>
    <w:p w:rsidR="00000000" w:rsidDel="00000000" w:rsidP="00000000" w:rsidRDefault="00000000" w:rsidRPr="00000000" w14:paraId="000000B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Liabilities:</w:t>
      </w:r>
    </w:p>
    <w:p w:rsidR="00000000" w:rsidDel="00000000" w:rsidP="00000000" w:rsidRDefault="00000000" w:rsidRPr="00000000" w14:paraId="000000BE">
      <w:pPr>
        <w:numPr>
          <w:ilvl w:val="0"/>
          <w:numId w:val="2"/>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Accounts payable</w:t>
      </w:r>
    </w:p>
    <w:p w:rsidR="00000000" w:rsidDel="00000000" w:rsidP="00000000" w:rsidRDefault="00000000" w:rsidRPr="00000000" w14:paraId="000000BF">
      <w:pPr>
        <w:numPr>
          <w:ilvl w:val="0"/>
          <w:numId w:val="2"/>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Accrued expenses</w:t>
      </w:r>
    </w:p>
    <w:p w:rsidR="00000000" w:rsidDel="00000000" w:rsidP="00000000" w:rsidRDefault="00000000" w:rsidRPr="00000000" w14:paraId="000000C0">
      <w:pPr>
        <w:numPr>
          <w:ilvl w:val="0"/>
          <w:numId w:val="2"/>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Sales tax liability</w:t>
      </w:r>
    </w:p>
    <w:p w:rsidR="00000000" w:rsidDel="00000000" w:rsidP="00000000" w:rsidRDefault="00000000" w:rsidRPr="00000000" w14:paraId="000000C1">
      <w:pPr>
        <w:numPr>
          <w:ilvl w:val="0"/>
          <w:numId w:val="2"/>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Income taxes payable</w:t>
      </w:r>
    </w:p>
    <w:p w:rsidR="00000000" w:rsidDel="00000000" w:rsidP="00000000" w:rsidRDefault="00000000" w:rsidRPr="00000000" w14:paraId="000000C2">
      <w:pPr>
        <w:numPr>
          <w:ilvl w:val="0"/>
          <w:numId w:val="2"/>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Debt</w:t>
      </w:r>
    </w:p>
    <w:p w:rsidR="00000000" w:rsidDel="00000000" w:rsidP="00000000" w:rsidRDefault="00000000" w:rsidRPr="00000000" w14:paraId="000000C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Equity:</w:t>
      </w:r>
    </w:p>
    <w:p w:rsidR="00000000" w:rsidDel="00000000" w:rsidP="00000000" w:rsidRDefault="00000000" w:rsidRPr="00000000" w14:paraId="000000C4">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Retained earnings</w:t>
      </w:r>
      <w:r w:rsidDel="00000000" w:rsidR="00000000" w:rsidRPr="00000000">
        <w:rPr>
          <w:rtl w:val="0"/>
        </w:rPr>
      </w:r>
    </w:p>
    <w:p w:rsidR="00000000" w:rsidDel="00000000" w:rsidP="00000000" w:rsidRDefault="00000000" w:rsidRPr="00000000" w14:paraId="000000C5">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Additional paid-in-capital</w:t>
      </w:r>
      <w:r w:rsidDel="00000000" w:rsidR="00000000" w:rsidRPr="00000000">
        <w:rPr>
          <w:rtl w:val="0"/>
        </w:rPr>
      </w:r>
    </w:p>
    <w:p w:rsidR="00000000" w:rsidDel="00000000" w:rsidP="00000000" w:rsidRDefault="00000000" w:rsidRPr="00000000" w14:paraId="000000C6">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Common stock </w:t>
      </w:r>
      <w:r w:rsidDel="00000000" w:rsidR="00000000" w:rsidRPr="00000000">
        <w:rPr>
          <w:rtl w:val="0"/>
        </w:rPr>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pStyle w:val="Heading1"/>
        <w:spacing w:line="360" w:lineRule="auto"/>
        <w:jc w:val="both"/>
        <w:rPr>
          <w:rFonts w:ascii="Times New Roman" w:cs="Times New Roman" w:eastAsia="Times New Roman" w:hAnsi="Times New Roman"/>
          <w:b w:val="1"/>
          <w:sz w:val="24"/>
          <w:szCs w:val="24"/>
        </w:rPr>
      </w:pPr>
      <w:bookmarkStart w:colFirst="0" w:colLast="0" w:name="_heading=h.3dy6vkm" w:id="6"/>
      <w:bookmarkEnd w:id="6"/>
      <w:r w:rsidDel="00000000" w:rsidR="00000000" w:rsidRPr="00000000">
        <w:rPr>
          <w:rFonts w:ascii="Times New Roman" w:cs="Times New Roman" w:eastAsia="Times New Roman" w:hAnsi="Times New Roman"/>
          <w:b w:val="1"/>
          <w:sz w:val="24"/>
          <w:szCs w:val="24"/>
          <w:rtl w:val="0"/>
        </w:rPr>
        <w:t xml:space="preserve">Question 2:</w:t>
      </w:r>
    </w:p>
    <w:p w:rsidR="00000000" w:rsidDel="00000000" w:rsidP="00000000" w:rsidRDefault="00000000" w:rsidRPr="00000000" w14:paraId="000000CA">
      <w:pPr>
        <w:pStyle w:val="Heading2"/>
        <w:numPr>
          <w:ilvl w:val="0"/>
          <w:numId w:val="3"/>
        </w:numPr>
        <w:spacing w:line="360" w:lineRule="auto"/>
        <w:ind w:left="720" w:hanging="360"/>
        <w:jc w:val="both"/>
        <w:rPr>
          <w:rFonts w:ascii="Times New Roman" w:cs="Times New Roman" w:eastAsia="Times New Roman" w:hAnsi="Times New Roman"/>
          <w:b w:val="1"/>
          <w:sz w:val="24"/>
          <w:szCs w:val="24"/>
        </w:rPr>
      </w:pPr>
      <w:bookmarkStart w:colFirst="0" w:colLast="0" w:name="_heading=h.1t3h5sf" w:id="7"/>
      <w:bookmarkEnd w:id="7"/>
      <w:r w:rsidDel="00000000" w:rsidR="00000000" w:rsidRPr="00000000">
        <w:rPr>
          <w:rFonts w:ascii="Times New Roman" w:cs="Times New Roman" w:eastAsia="Times New Roman" w:hAnsi="Times New Roman"/>
          <w:b w:val="1"/>
          <w:sz w:val="24"/>
          <w:szCs w:val="24"/>
          <w:rtl w:val="0"/>
        </w:rPr>
        <w:t xml:space="preserve">Calculate the following ratios for Chocco plc for 2020 and 2019, showing the formulas and workings:</w:t>
      </w:r>
    </w:p>
    <w:p w:rsidR="00000000" w:rsidDel="00000000" w:rsidP="00000000" w:rsidRDefault="00000000" w:rsidRPr="00000000" w14:paraId="000000CB">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 ROCE </w:t>
      </w:r>
    </w:p>
    <w:p w:rsidR="00000000" w:rsidDel="00000000" w:rsidP="00000000" w:rsidRDefault="00000000" w:rsidRPr="00000000" w14:paraId="000000CD">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Return on capital employed is usually a profitability ratio that measures the degree of efficient application of capitals to produce profits. It is one of the major profitability ratios that investors use while planning their investment strategies.</w:t>
      </w:r>
    </w:p>
    <w:p w:rsidR="00000000" w:rsidDel="00000000" w:rsidP="00000000" w:rsidRDefault="00000000" w:rsidRPr="00000000" w14:paraId="000000CE">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formula of ROCE is defined as =</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EBIT </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Assets - Current Liabilities)</w:t>
      </w:r>
    </w:p>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“Where,     EBIT = Earnings before interest and tax”</w:t>
      </w:r>
    </w:p>
    <w:p w:rsidR="00000000" w:rsidDel="00000000" w:rsidP="00000000" w:rsidRDefault="00000000" w:rsidRPr="00000000" w14:paraId="000000D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Assets - Current Liabilities = Capital Employed”</w:t>
      </w:r>
    </w:p>
    <w:p w:rsidR="00000000" w:rsidDel="00000000" w:rsidP="00000000" w:rsidRDefault="00000000" w:rsidRPr="00000000" w14:paraId="000000D6">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3"/>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0D8">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0D9">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D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ROCE</w:t>
            </w:r>
          </w:p>
          <w:p w:rsidR="00000000" w:rsidDel="00000000" w:rsidP="00000000" w:rsidRDefault="00000000" w:rsidRPr="00000000" w14:paraId="000000DB">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D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620/ (9,736-2,511)</w:t>
            </w:r>
          </w:p>
          <w:p w:rsidR="00000000" w:rsidDel="00000000" w:rsidP="00000000" w:rsidRDefault="00000000" w:rsidRPr="00000000" w14:paraId="000000D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8.5</w:t>
            </w:r>
          </w:p>
        </w:tc>
        <w:tc>
          <w:tcPr>
            <w:shd w:fill="auto" w:val="clear"/>
            <w:tcMar>
              <w:top w:w="100.0" w:type="dxa"/>
              <w:left w:w="100.0" w:type="dxa"/>
              <w:bottom w:w="100.0" w:type="dxa"/>
              <w:right w:w="100.0" w:type="dxa"/>
            </w:tcMar>
          </w:tcPr>
          <w:p w:rsidR="00000000" w:rsidDel="00000000" w:rsidP="00000000" w:rsidRDefault="00000000" w:rsidRPr="00000000" w14:paraId="000000D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539/ (10,087-3,046)</w:t>
            </w:r>
          </w:p>
          <w:p w:rsidR="00000000" w:rsidDel="00000000" w:rsidP="00000000" w:rsidRDefault="00000000" w:rsidRPr="00000000" w14:paraId="000000D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7.6</w:t>
            </w:r>
          </w:p>
        </w:tc>
      </w:tr>
    </w:tbl>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2">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 ROE </w:t>
      </w:r>
    </w:p>
    <w:p w:rsidR="00000000" w:rsidDel="00000000" w:rsidP="00000000" w:rsidRDefault="00000000" w:rsidRPr="00000000" w14:paraId="000000E3">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Return on equity is the measurement of organizational annual return divided by its total amount of shareholders equity. It is normally expressed in a percentage which represents the division of a company's dividend development by earning retention rate. It serves as a twice ratio that brings together two significant financial statements i.e. income statement and balance sheet (Palepu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w:t>
      </w:r>
    </w:p>
    <w:p w:rsidR="00000000" w:rsidDel="00000000" w:rsidP="00000000" w:rsidRDefault="00000000" w:rsidRPr="00000000" w14:paraId="000000E4">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formula of return on equity is given by =</w:t>
      </w:r>
    </w:p>
    <w:p w:rsidR="00000000" w:rsidDel="00000000" w:rsidP="00000000" w:rsidRDefault="00000000" w:rsidRPr="00000000" w14:paraId="000000E6">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annual income”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7">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amount of shareholders’ equity”</w:t>
      </w:r>
    </w:p>
    <w:p w:rsidR="00000000" w:rsidDel="00000000" w:rsidP="00000000" w:rsidRDefault="00000000" w:rsidRPr="00000000" w14:paraId="000000E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4"/>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B">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0EC">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0ED">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EE">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ROE</w:t>
            </w:r>
          </w:p>
          <w:p w:rsidR="00000000" w:rsidDel="00000000" w:rsidP="00000000" w:rsidRDefault="00000000" w:rsidRPr="00000000" w14:paraId="000000EF">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F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=431/3,088*100</w:t>
            </w:r>
          </w:p>
          <w:p w:rsidR="00000000" w:rsidDel="00000000" w:rsidP="00000000" w:rsidRDefault="00000000" w:rsidRPr="00000000" w14:paraId="000000F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=13.9</w:t>
            </w:r>
          </w:p>
        </w:tc>
        <w:tc>
          <w:tcPr>
            <w:shd w:fill="auto" w:val="clear"/>
            <w:tcMar>
              <w:top w:w="100.0" w:type="dxa"/>
              <w:left w:w="100.0" w:type="dxa"/>
              <w:bottom w:w="100.0" w:type="dxa"/>
              <w:right w:w="100.0" w:type="dxa"/>
            </w:tcMar>
          </w:tcPr>
          <w:p w:rsidR="00000000" w:rsidDel="00000000" w:rsidP="00000000" w:rsidRDefault="00000000" w:rsidRPr="00000000" w14:paraId="000000F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366/2,912*100</w:t>
            </w:r>
          </w:p>
          <w:p w:rsidR="00000000" w:rsidDel="00000000" w:rsidP="00000000" w:rsidRDefault="00000000" w:rsidRPr="00000000" w14:paraId="000000F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=12.5</w:t>
            </w:r>
          </w:p>
        </w:tc>
      </w:tr>
    </w:tbl>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 Earnings per share </w:t>
      </w:r>
    </w:p>
    <w:p w:rsidR="00000000" w:rsidDel="00000000" w:rsidP="00000000" w:rsidRDefault="00000000" w:rsidRPr="00000000" w14:paraId="000000F8">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 financial ratio that splits up net earnings of common shareholders by the average outstanding shares over a specific duration of time. Thus, this ratio determines the capability of organizations in terms of building profits for retail investors (Kanapickiene and Grundiene, 2015).  </w:t>
      </w:r>
    </w:p>
    <w:p w:rsidR="00000000" w:rsidDel="00000000" w:rsidP="00000000" w:rsidRDefault="00000000" w:rsidRPr="00000000" w14:paraId="000000F9">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A">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Formula for earning per share can be described as = </w:t>
      </w:r>
    </w:p>
    <w:p w:rsidR="00000000" w:rsidDel="00000000" w:rsidP="00000000" w:rsidRDefault="00000000" w:rsidRPr="00000000" w14:paraId="000000FB">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income - Preferred Dividends”</w:t>
      </w:r>
    </w:p>
    <w:p w:rsidR="00000000" w:rsidDel="00000000" w:rsidP="00000000" w:rsidRDefault="00000000" w:rsidRPr="00000000" w14:paraId="000000FC">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D">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“Weighted average share outstanding”</w:t>
      </w:r>
    </w:p>
    <w:p w:rsidR="00000000" w:rsidDel="00000000" w:rsidP="00000000" w:rsidRDefault="00000000" w:rsidRPr="00000000" w14:paraId="000000FE">
      <w:pPr>
        <w:spacing w:line="360" w:lineRule="auto"/>
        <w:jc w:val="center"/>
        <w:rPr>
          <w:rFonts w:ascii="Times New Roman" w:cs="Times New Roman" w:eastAsia="Times New Roman" w:hAnsi="Times New Roman"/>
          <w:sz w:val="24"/>
          <w:szCs w:val="24"/>
        </w:rPr>
      </w:pPr>
      <w:r w:rsidDel="00000000" w:rsidR="00000000" w:rsidRPr="00000000">
        <w:rPr>
          <w:rtl w:val="0"/>
        </w:rPr>
      </w:r>
    </w:p>
    <w:tbl>
      <w:tblPr>
        <w:tblStyle w:val="Table5"/>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FF">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00">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01">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0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Earnings per share</w:t>
            </w:r>
          </w:p>
          <w:p w:rsidR="00000000" w:rsidDel="00000000" w:rsidP="00000000" w:rsidRDefault="00000000" w:rsidRPr="00000000" w14:paraId="00000103">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0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431-255/ 5.12</w:t>
            </w:r>
          </w:p>
          <w:p w:rsidR="00000000" w:rsidDel="00000000" w:rsidP="00000000" w:rsidRDefault="00000000" w:rsidRPr="00000000" w14:paraId="0000010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=381</w:t>
            </w:r>
          </w:p>
        </w:tc>
        <w:tc>
          <w:tcPr>
            <w:shd w:fill="auto" w:val="clear"/>
            <w:tcMar>
              <w:top w:w="100.0" w:type="dxa"/>
              <w:left w:w="100.0" w:type="dxa"/>
              <w:bottom w:w="100.0" w:type="dxa"/>
              <w:right w:w="100.0" w:type="dxa"/>
            </w:tcMar>
          </w:tcPr>
          <w:p w:rsidR="00000000" w:rsidDel="00000000" w:rsidP="00000000" w:rsidRDefault="00000000" w:rsidRPr="00000000" w14:paraId="0000010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366-242/4</w:t>
            </w:r>
          </w:p>
          <w:p w:rsidR="00000000" w:rsidDel="00000000" w:rsidP="00000000" w:rsidRDefault="00000000" w:rsidRPr="00000000" w14:paraId="0000010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=305</w:t>
            </w:r>
          </w:p>
        </w:tc>
      </w:tr>
    </w:tbl>
    <w:p w:rsidR="00000000" w:rsidDel="00000000" w:rsidP="00000000" w:rsidRDefault="00000000" w:rsidRPr="00000000" w14:paraId="00000108">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09">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 Net profit margin </w:t>
      </w:r>
    </w:p>
    <w:p w:rsidR="00000000" w:rsidDel="00000000" w:rsidP="00000000" w:rsidRDefault="00000000" w:rsidRPr="00000000" w14:paraId="0000010A">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an economic ratio that calculates the amount of profitability percentage an organization can generate from its annual overall revenue. Therefore, it measures the net profit from the obtained revenues (Lane and Farleigh, 2015). </w:t>
      </w:r>
    </w:p>
    <w:p w:rsidR="00000000" w:rsidDel="00000000" w:rsidP="00000000" w:rsidRDefault="00000000" w:rsidRPr="00000000" w14:paraId="0000010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net profit margin can be mathematically stated as =</w:t>
      </w:r>
    </w:p>
    <w:p w:rsidR="00000000" w:rsidDel="00000000" w:rsidP="00000000" w:rsidRDefault="00000000" w:rsidRPr="00000000" w14:paraId="0000010C">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D">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Profit</w:t>
      </w:r>
    </w:p>
    <w:p w:rsidR="00000000" w:rsidDel="00000000" w:rsidP="00000000" w:rsidRDefault="00000000" w:rsidRPr="00000000" w14:paraId="0000010E">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F">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Revenue</w:t>
      </w:r>
    </w:p>
    <w:p w:rsidR="00000000" w:rsidDel="00000000" w:rsidP="00000000" w:rsidRDefault="00000000" w:rsidRPr="00000000" w14:paraId="000001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1">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6"/>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12">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13">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14">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1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Net profit margin</w:t>
            </w:r>
          </w:p>
          <w:p w:rsidR="00000000" w:rsidDel="00000000" w:rsidP="00000000" w:rsidRDefault="00000000" w:rsidRPr="00000000" w14:paraId="00000116">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1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431/6,738*100</w:t>
            </w:r>
          </w:p>
          <w:p w:rsidR="00000000" w:rsidDel="00000000" w:rsidP="00000000" w:rsidRDefault="00000000" w:rsidRPr="00000000" w14:paraId="0000011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=6.3</w:t>
            </w:r>
          </w:p>
        </w:tc>
        <w:tc>
          <w:tcPr>
            <w:shd w:fill="auto" w:val="clear"/>
            <w:tcMar>
              <w:top w:w="100.0" w:type="dxa"/>
              <w:left w:w="100.0" w:type="dxa"/>
              <w:bottom w:w="100.0" w:type="dxa"/>
              <w:right w:w="100.0" w:type="dxa"/>
            </w:tcMar>
          </w:tcPr>
          <w:p w:rsidR="00000000" w:rsidDel="00000000" w:rsidP="00000000" w:rsidRDefault="00000000" w:rsidRPr="00000000" w14:paraId="00000119">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=366/6,441*100</w:t>
            </w:r>
          </w:p>
          <w:p w:rsidR="00000000" w:rsidDel="00000000" w:rsidP="00000000" w:rsidRDefault="00000000" w:rsidRPr="00000000" w14:paraId="0000011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=5.6</w:t>
            </w:r>
          </w:p>
        </w:tc>
      </w:tr>
    </w:tbl>
    <w:p w:rsidR="00000000" w:rsidDel="00000000" w:rsidP="00000000" w:rsidRDefault="00000000" w:rsidRPr="00000000" w14:paraId="000001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D">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1E">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Asset turnover </w:t>
      </w:r>
    </w:p>
    <w:p w:rsidR="00000000" w:rsidDel="00000000" w:rsidP="00000000" w:rsidRDefault="00000000" w:rsidRPr="00000000" w14:paraId="0000011F">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total asset turnover is also a financial ratio that estimates efficiency of organizations in transforming current assets into sales. It can be also represented as the ratio between net sales to average assets of an organization. Organizations with a high amount of asset turnover ratio tend to have more efficiency as compared to organizations with relatively lower ratios (Carlson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 </w:t>
      </w:r>
    </w:p>
    <w:p w:rsidR="00000000" w:rsidDel="00000000" w:rsidP="00000000" w:rsidRDefault="00000000" w:rsidRPr="00000000" w14:paraId="00000120">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mathematical expression of asset turnover ratio is =</w:t>
      </w:r>
    </w:p>
    <w:p w:rsidR="00000000" w:rsidDel="00000000" w:rsidP="00000000" w:rsidRDefault="00000000" w:rsidRPr="00000000" w14:paraId="00000121">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sales”</w:t>
      </w:r>
    </w:p>
    <w:p w:rsidR="00000000" w:rsidDel="00000000" w:rsidP="00000000" w:rsidRDefault="00000000" w:rsidRPr="00000000" w14:paraId="00000123">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24">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total assets”</w:t>
      </w:r>
    </w:p>
    <w:p w:rsidR="00000000" w:rsidDel="00000000" w:rsidP="00000000" w:rsidRDefault="00000000" w:rsidRPr="00000000" w14:paraId="000001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6">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7"/>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2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28">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29">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2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Asset turnover</w:t>
            </w:r>
          </w:p>
          <w:p w:rsidR="00000000" w:rsidDel="00000000" w:rsidP="00000000" w:rsidRDefault="00000000" w:rsidRPr="00000000" w14:paraId="0000012B">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2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6,738/9,736*100</w:t>
            </w:r>
          </w:p>
          <w:p w:rsidR="00000000" w:rsidDel="00000000" w:rsidP="00000000" w:rsidRDefault="00000000" w:rsidRPr="00000000" w14:paraId="0000012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=69.2</w:t>
            </w:r>
          </w:p>
        </w:tc>
        <w:tc>
          <w:tcPr>
            <w:shd w:fill="auto" w:val="clear"/>
            <w:tcMar>
              <w:top w:w="100.0" w:type="dxa"/>
              <w:left w:w="100.0" w:type="dxa"/>
              <w:bottom w:w="100.0" w:type="dxa"/>
              <w:right w:w="100.0" w:type="dxa"/>
            </w:tcMar>
          </w:tcPr>
          <w:p w:rsidR="00000000" w:rsidDel="00000000" w:rsidP="00000000" w:rsidRDefault="00000000" w:rsidRPr="00000000" w14:paraId="0000012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6,441/10,087*100</w:t>
            </w:r>
          </w:p>
          <w:p w:rsidR="00000000" w:rsidDel="00000000" w:rsidP="00000000" w:rsidRDefault="00000000" w:rsidRPr="00000000" w14:paraId="0000012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=63.8</w:t>
            </w:r>
          </w:p>
        </w:tc>
      </w:tr>
    </w:tbl>
    <w:p w:rsidR="00000000" w:rsidDel="00000000" w:rsidP="00000000" w:rsidRDefault="00000000" w:rsidRPr="00000000" w14:paraId="000001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2">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 Stock holding days </w:t>
      </w:r>
    </w:p>
    <w:p w:rsidR="00000000" w:rsidDel="00000000" w:rsidP="00000000" w:rsidRDefault="00000000" w:rsidRPr="00000000" w14:paraId="00000133">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Stock holding days is a calculation that is generally used to determine the rate of an organization in utilizing its available average inventory. It is also referred to as days of inventory outstanding that defines the number of days that the inventory remains in the stocks. Hence, it represents inventory liquidity of organizations (Boeckx</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2017).</w:t>
      </w:r>
    </w:p>
    <w:p w:rsidR="00000000" w:rsidDel="00000000" w:rsidP="00000000" w:rsidRDefault="00000000" w:rsidRPr="00000000" w14:paraId="00000134">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5">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Formula for stock holding days can be stated as =</w:t>
      </w:r>
    </w:p>
    <w:p w:rsidR="00000000" w:rsidDel="00000000" w:rsidP="00000000" w:rsidRDefault="00000000" w:rsidRPr="00000000" w14:paraId="00000136">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7">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“Average inventory”</w:t>
      </w:r>
    </w:p>
    <w:p w:rsidR="00000000" w:rsidDel="00000000" w:rsidP="00000000" w:rsidRDefault="00000000" w:rsidRPr="00000000" w14:paraId="00000139">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A">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of sales/ No, of days)”</w:t>
      </w:r>
    </w:p>
    <w:p w:rsidR="00000000" w:rsidDel="00000000" w:rsidP="00000000" w:rsidRDefault="00000000" w:rsidRPr="00000000" w14:paraId="0000013B">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8"/>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3C">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3D">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3E">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3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Stock holding days</w:t>
            </w:r>
          </w:p>
          <w:p w:rsidR="00000000" w:rsidDel="00000000" w:rsidP="00000000" w:rsidRDefault="00000000" w:rsidRPr="00000000" w14:paraId="00000140">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41">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=708/(3,235/ 365)</w:t>
            </w:r>
          </w:p>
          <w:p w:rsidR="00000000" w:rsidDel="00000000" w:rsidP="00000000" w:rsidRDefault="00000000" w:rsidRPr="00000000" w14:paraId="00000142">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=79 days </w:t>
            </w:r>
          </w:p>
        </w:tc>
        <w:tc>
          <w:tcPr>
            <w:shd w:fill="auto" w:val="clear"/>
            <w:tcMar>
              <w:top w:w="100.0" w:type="dxa"/>
              <w:left w:w="100.0" w:type="dxa"/>
              <w:bottom w:w="100.0" w:type="dxa"/>
              <w:right w:w="100.0" w:type="dxa"/>
            </w:tcMar>
          </w:tcPr>
          <w:p w:rsidR="00000000" w:rsidDel="00000000" w:rsidP="00000000" w:rsidRDefault="00000000" w:rsidRPr="00000000" w14:paraId="0000014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=659/ (3,096/365)</w:t>
            </w:r>
          </w:p>
          <w:p w:rsidR="00000000" w:rsidDel="00000000" w:rsidP="00000000" w:rsidRDefault="00000000" w:rsidRPr="00000000" w14:paraId="0000014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77 days </w:t>
            </w:r>
          </w:p>
        </w:tc>
      </w:tr>
    </w:tbl>
    <w:p w:rsidR="00000000" w:rsidDel="00000000" w:rsidP="00000000" w:rsidRDefault="00000000" w:rsidRPr="00000000" w14:paraId="000001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9">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7- Debtors collection period</w:t>
      </w:r>
    </w:p>
    <w:p w:rsidR="00000000" w:rsidDel="00000000" w:rsidP="00000000" w:rsidRDefault="00000000" w:rsidRPr="00000000" w14:paraId="0000014A">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be defined as the total amount of time required for an organization to collect accounts receivables. Thus, it refers to the sum of days or time required to collect payments from clients and customers. The average time must be monitored to ensure enough cash availability of organizations, in case for short-term financial expenses (Faello, 2015). </w:t>
      </w:r>
    </w:p>
    <w:p w:rsidR="00000000" w:rsidDel="00000000" w:rsidP="00000000" w:rsidRDefault="00000000" w:rsidRPr="00000000" w14:paraId="0000014B">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Debtors collection period can be defined as =</w:t>
      </w:r>
    </w:p>
    <w:p w:rsidR="00000000" w:rsidDel="00000000" w:rsidP="00000000" w:rsidRDefault="00000000" w:rsidRPr="00000000" w14:paraId="0000014C">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D">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“Accounts receivables balance X 365”</w:t>
      </w:r>
    </w:p>
    <w:p w:rsidR="00000000" w:rsidDel="00000000" w:rsidP="00000000" w:rsidRDefault="00000000" w:rsidRPr="00000000" w14:paraId="0000014E">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F">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net sales</w:t>
      </w:r>
    </w:p>
    <w:p w:rsidR="00000000" w:rsidDel="00000000" w:rsidP="00000000" w:rsidRDefault="00000000" w:rsidRPr="00000000" w14:paraId="00000150">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9"/>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51">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52">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53">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5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 Debtors collection period</w:t>
            </w:r>
          </w:p>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5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(1,249*365)/6,738</w:t>
            </w:r>
          </w:p>
          <w:p w:rsidR="00000000" w:rsidDel="00000000" w:rsidP="00000000" w:rsidRDefault="00000000" w:rsidRPr="00000000" w14:paraId="0000015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=67 days </w:t>
            </w:r>
          </w:p>
        </w:tc>
        <w:tc>
          <w:tcPr>
            <w:shd w:fill="auto" w:val="clear"/>
            <w:tcMar>
              <w:top w:w="100.0" w:type="dxa"/>
              <w:left w:w="100.0" w:type="dxa"/>
              <w:bottom w:w="100.0" w:type="dxa"/>
              <w:right w:w="100.0" w:type="dxa"/>
            </w:tcMar>
          </w:tcPr>
          <w:p w:rsidR="00000000" w:rsidDel="00000000" w:rsidP="00000000" w:rsidRDefault="00000000" w:rsidRPr="00000000" w14:paraId="0000015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(1,287*365)/ 6,441</w:t>
            </w:r>
          </w:p>
          <w:p w:rsidR="00000000" w:rsidDel="00000000" w:rsidP="00000000" w:rsidRDefault="00000000" w:rsidRPr="00000000" w14:paraId="00000159">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=72 days </w:t>
            </w:r>
          </w:p>
        </w:tc>
      </w:tr>
    </w:tbl>
    <w:p w:rsidR="00000000" w:rsidDel="00000000" w:rsidP="00000000" w:rsidRDefault="00000000" w:rsidRPr="00000000" w14:paraId="0000015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D">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8- Current ratio</w:t>
      </w:r>
    </w:p>
    <w:p w:rsidR="00000000" w:rsidDel="00000000" w:rsidP="00000000" w:rsidRDefault="00000000" w:rsidRPr="00000000" w14:paraId="0000015E">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also known as the working capital ratio that usually defines and measures the ability of an organization to meet its near-term responsibilities. It is the ratio of present assets to present liabilities of an organization. </w:t>
      </w:r>
    </w:p>
    <w:p w:rsidR="00000000" w:rsidDel="00000000" w:rsidP="00000000" w:rsidRDefault="00000000" w:rsidRPr="00000000" w14:paraId="0000015F">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Thus, mathematical expression of current ratio is =</w:t>
      </w:r>
    </w:p>
    <w:p w:rsidR="00000000" w:rsidDel="00000000" w:rsidP="00000000" w:rsidRDefault="00000000" w:rsidRPr="00000000" w14:paraId="00000160">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1">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Assets</w:t>
      </w:r>
    </w:p>
    <w:p w:rsidR="00000000" w:rsidDel="00000000" w:rsidP="00000000" w:rsidRDefault="00000000" w:rsidRPr="00000000" w14:paraId="00000162">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3">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 Liabilities</w:t>
      </w:r>
    </w:p>
    <w:p w:rsidR="00000000" w:rsidDel="00000000" w:rsidP="00000000" w:rsidRDefault="00000000" w:rsidRPr="00000000" w14:paraId="00000164">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0"/>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65">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66">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6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Current ratio</w:t>
            </w:r>
          </w:p>
          <w:p w:rsidR="00000000" w:rsidDel="00000000" w:rsidP="00000000" w:rsidRDefault="00000000" w:rsidRPr="00000000" w14:paraId="00000169">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6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2,303/2,511*100</w:t>
            </w:r>
          </w:p>
          <w:p w:rsidR="00000000" w:rsidDel="00000000" w:rsidP="00000000" w:rsidRDefault="00000000" w:rsidRPr="00000000" w14:paraId="0000016B">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=91.7%</w:t>
            </w:r>
          </w:p>
        </w:tc>
        <w:tc>
          <w:tcPr>
            <w:shd w:fill="auto" w:val="clear"/>
            <w:tcMar>
              <w:top w:w="100.0" w:type="dxa"/>
              <w:left w:w="100.0" w:type="dxa"/>
              <w:bottom w:w="100.0" w:type="dxa"/>
              <w:right w:w="100.0" w:type="dxa"/>
            </w:tcMar>
          </w:tcPr>
          <w:p w:rsidR="00000000" w:rsidDel="00000000" w:rsidP="00000000" w:rsidRDefault="00000000" w:rsidRPr="00000000" w14:paraId="0000016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2,355/3,046*100</w:t>
            </w:r>
          </w:p>
          <w:p w:rsidR="00000000" w:rsidDel="00000000" w:rsidP="00000000" w:rsidRDefault="00000000" w:rsidRPr="00000000" w14:paraId="0000016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=77.3</w:t>
            </w:r>
          </w:p>
        </w:tc>
      </w:tr>
    </w:tbl>
    <w:p w:rsidR="00000000" w:rsidDel="00000000" w:rsidP="00000000" w:rsidRDefault="00000000" w:rsidRPr="00000000" w14:paraId="0000016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F">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9- Gearing ratio</w:t>
      </w:r>
    </w:p>
    <w:p w:rsidR="00000000" w:rsidDel="00000000" w:rsidP="00000000" w:rsidRDefault="00000000" w:rsidRPr="00000000" w14:paraId="00000170">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Gearing means the amount of debt corresponding to equity capital which is used by organizations to fund its present activities. Organizations with a high gearing ratio also show a high debt to equity ratio that may bring possible financial failures in the near future. </w:t>
      </w:r>
    </w:p>
    <w:p w:rsidR="00000000" w:rsidDel="00000000" w:rsidP="00000000" w:rsidRDefault="00000000" w:rsidRPr="00000000" w14:paraId="00000171">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be also stated as =</w:t>
      </w:r>
    </w:p>
    <w:p w:rsidR="00000000" w:rsidDel="00000000" w:rsidP="00000000" w:rsidRDefault="00000000" w:rsidRPr="00000000" w14:paraId="00000172">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debt”</w:t>
      </w:r>
    </w:p>
    <w:p w:rsidR="00000000" w:rsidDel="00000000" w:rsidP="00000000" w:rsidRDefault="00000000" w:rsidRPr="00000000" w14:paraId="00000174">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5">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shareholder equity”</w:t>
      </w:r>
    </w:p>
    <w:p w:rsidR="00000000" w:rsidDel="00000000" w:rsidP="00000000" w:rsidRDefault="00000000" w:rsidRPr="00000000" w14:paraId="00000176">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1"/>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77">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78">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79">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7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Gearing ratio</w:t>
            </w:r>
          </w:p>
          <w:p w:rsidR="00000000" w:rsidDel="00000000" w:rsidP="00000000" w:rsidRDefault="00000000" w:rsidRPr="00000000" w14:paraId="0000017B">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7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1,249/3,088*100</w:t>
            </w:r>
          </w:p>
          <w:p w:rsidR="00000000" w:rsidDel="00000000" w:rsidP="00000000" w:rsidRDefault="00000000" w:rsidRPr="00000000" w14:paraId="0000017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=40.4</w:t>
            </w:r>
          </w:p>
        </w:tc>
        <w:tc>
          <w:tcPr>
            <w:shd w:fill="auto" w:val="clear"/>
            <w:tcMar>
              <w:top w:w="100.0" w:type="dxa"/>
              <w:left w:w="100.0" w:type="dxa"/>
              <w:bottom w:w="100.0" w:type="dxa"/>
              <w:right w:w="100.0" w:type="dxa"/>
            </w:tcMar>
          </w:tcPr>
          <w:p w:rsidR="00000000" w:rsidDel="00000000" w:rsidP="00000000" w:rsidRDefault="00000000" w:rsidRPr="00000000" w14:paraId="0000017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1,287/2,912*100</w:t>
            </w:r>
          </w:p>
          <w:p w:rsidR="00000000" w:rsidDel="00000000" w:rsidP="00000000" w:rsidRDefault="00000000" w:rsidRPr="00000000" w14:paraId="0000017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=44.1</w:t>
            </w:r>
          </w:p>
        </w:tc>
      </w:tr>
    </w:tbl>
    <w:p w:rsidR="00000000" w:rsidDel="00000000" w:rsidP="00000000" w:rsidRDefault="00000000" w:rsidRPr="00000000" w14:paraId="0000018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2">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 Interest coverage Ratio</w:t>
      </w:r>
    </w:p>
    <w:p w:rsidR="00000000" w:rsidDel="00000000" w:rsidP="00000000" w:rsidRDefault="00000000" w:rsidRPr="00000000" w14:paraId="00000183">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sort of financial ratio determines the amount of interests an organization can pay through its outstanding debts. Interest coverage ratio is normally used by creditors, investors, and money lenders to decide the degree of riskiness in lending money to a specific organization.  It is also called the time interest earned ratio (Musallam, 2018). </w:t>
      </w:r>
    </w:p>
    <w:p w:rsidR="00000000" w:rsidDel="00000000" w:rsidP="00000000" w:rsidRDefault="00000000" w:rsidRPr="00000000" w14:paraId="00000184">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5">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Hence, the mathematical expression of interest coverage ratio can be described as =</w:t>
      </w:r>
    </w:p>
    <w:p w:rsidR="00000000" w:rsidDel="00000000" w:rsidP="00000000" w:rsidRDefault="00000000" w:rsidRPr="00000000" w14:paraId="00000186">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7">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“Earning before interests and taxes”</w:t>
      </w:r>
    </w:p>
    <w:p w:rsidR="00000000" w:rsidDel="00000000" w:rsidP="00000000" w:rsidRDefault="00000000" w:rsidRPr="00000000" w14:paraId="00000188">
      <w:pPr>
        <w:spacing w:line="360" w:lineRule="auto"/>
        <w:ind w:left="720" w:firstLine="0"/>
        <w:jc w:val="center"/>
        <w:rPr>
          <w:rFonts w:ascii="Times New Roman" w:cs="Times New Roman" w:eastAsia="Times New Roman" w:hAnsi="Times New Roman"/>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89">
      <w:pPr>
        <w:spacing w:line="360" w:lineRule="auto"/>
        <w:ind w:left="72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“Interest expense”</w:t>
      </w:r>
    </w:p>
    <w:p w:rsidR="00000000" w:rsidDel="00000000" w:rsidP="00000000" w:rsidRDefault="00000000" w:rsidRPr="00000000" w14:paraId="0000018A">
      <w:pPr>
        <w:spacing w:line="36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spacing w:line="360" w:lineRule="auto"/>
        <w:ind w:left="720" w:firstLine="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8C">
      <w:pPr>
        <w:spacing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12"/>
        <w:tblW w:w="93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8D">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Ratio </w:t>
            </w:r>
          </w:p>
        </w:tc>
        <w:tc>
          <w:tcPr>
            <w:shd w:fill="auto" w:val="clear"/>
            <w:tcMar>
              <w:top w:w="100.0" w:type="dxa"/>
              <w:left w:w="100.0" w:type="dxa"/>
              <w:bottom w:w="100.0" w:type="dxa"/>
              <w:right w:w="100.0" w:type="dxa"/>
            </w:tcMar>
          </w:tcPr>
          <w:p w:rsidR="00000000" w:rsidDel="00000000" w:rsidP="00000000" w:rsidRDefault="00000000" w:rsidRPr="00000000" w14:paraId="0000018E">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2020</w:t>
            </w:r>
          </w:p>
        </w:tc>
        <w:tc>
          <w:tcPr>
            <w:shd w:fill="auto" w:val="clear"/>
            <w:tcMar>
              <w:top w:w="100.0" w:type="dxa"/>
              <w:left w:w="100.0" w:type="dxa"/>
              <w:bottom w:w="100.0" w:type="dxa"/>
              <w:right w:w="100.0" w:type="dxa"/>
            </w:tcMar>
          </w:tcPr>
          <w:p w:rsidR="00000000" w:rsidDel="00000000" w:rsidP="00000000" w:rsidRDefault="00000000" w:rsidRPr="00000000" w14:paraId="0000018F">
            <w:pPr>
              <w:widowControl w:val="0"/>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2019</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19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Interest coverage Ratio</w:t>
            </w:r>
          </w:p>
          <w:p w:rsidR="00000000" w:rsidDel="00000000" w:rsidP="00000000" w:rsidRDefault="00000000" w:rsidRPr="00000000" w14:paraId="00000191">
            <w:pPr>
              <w:spacing w:line="360" w:lineRule="auto"/>
              <w:jc w:val="both"/>
              <w:rPr>
                <w:rFonts w:ascii="Times New Roman" w:cs="Times New Roman" w:eastAsia="Times New Roman" w:hAnsi="Times New Roman"/>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19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41/226*100</w:t>
            </w:r>
          </w:p>
          <w:p w:rsidR="00000000" w:rsidDel="00000000" w:rsidP="00000000" w:rsidRDefault="00000000" w:rsidRPr="00000000" w14:paraId="0000019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=18.1</w:t>
            </w:r>
          </w:p>
        </w:tc>
        <w:tc>
          <w:tcPr>
            <w:shd w:fill="auto" w:val="clear"/>
            <w:tcMar>
              <w:top w:w="100.0" w:type="dxa"/>
              <w:left w:w="100.0" w:type="dxa"/>
              <w:bottom w:w="100.0" w:type="dxa"/>
              <w:right w:w="100.0" w:type="dxa"/>
            </w:tcMar>
          </w:tcPr>
          <w:p w:rsidR="00000000" w:rsidDel="00000000" w:rsidP="00000000" w:rsidRDefault="00000000" w:rsidRPr="00000000" w14:paraId="00000194">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21/181*100</w:t>
            </w:r>
          </w:p>
          <w:p w:rsidR="00000000" w:rsidDel="00000000" w:rsidP="00000000" w:rsidRDefault="00000000" w:rsidRPr="00000000" w14:paraId="0000019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11.6</w:t>
            </w:r>
          </w:p>
        </w:tc>
      </w:tr>
    </w:tbl>
    <w:p w:rsidR="00000000" w:rsidDel="00000000" w:rsidP="00000000" w:rsidRDefault="00000000" w:rsidRPr="00000000" w14:paraId="0000019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97">
      <w:pPr>
        <w:pStyle w:val="Heading2"/>
        <w:numPr>
          <w:ilvl w:val="0"/>
          <w:numId w:val="3"/>
        </w:numPr>
        <w:spacing w:line="360" w:lineRule="auto"/>
        <w:ind w:left="720" w:hanging="360"/>
        <w:jc w:val="both"/>
        <w:rPr>
          <w:rFonts w:ascii="Times New Roman" w:cs="Times New Roman" w:eastAsia="Times New Roman" w:hAnsi="Times New Roman"/>
          <w:b w:val="1"/>
          <w:sz w:val="24"/>
          <w:szCs w:val="24"/>
        </w:rPr>
      </w:pPr>
      <w:bookmarkStart w:colFirst="0" w:colLast="0" w:name="_heading=h.4d34og8" w:id="8"/>
      <w:bookmarkEnd w:id="8"/>
      <w:r w:rsidDel="00000000" w:rsidR="00000000" w:rsidRPr="00000000">
        <w:rPr>
          <w:rFonts w:ascii="Times New Roman" w:cs="Times New Roman" w:eastAsia="Times New Roman" w:hAnsi="Times New Roman"/>
          <w:b w:val="1"/>
          <w:sz w:val="24"/>
          <w:szCs w:val="24"/>
          <w:rtl w:val="0"/>
        </w:rPr>
        <w:t xml:space="preserve">Comment on the financial performance and position of Chocco plc.</w:t>
      </w:r>
    </w:p>
    <w:p w:rsidR="00000000" w:rsidDel="00000000" w:rsidP="00000000" w:rsidRDefault="00000000" w:rsidRPr="00000000" w14:paraId="000001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financial ratios will define the economic performance of Chocco plc for the fiscal year of 2020 in comparison with its previous year. Therefore, it would be a lot easier to determine the current position of the company in the marketplace. At first the return on capital employed (ROCE) has increased from the earlier year which tells that the organization has managed to reduce its current liabilities or improved its earnings before tax. A surge in ROCE will definitely attract lots of investors to invest in the company as a result the market share of the company increases. The improvement in return on equity (ROE) shows that Chocco plc is able to enhance its net annual income despite the pandemic situations in 2020. In addition, a high amount of earning per share of the organization definitely brings a high amount of interest for its retail investors.         </w:t>
      </w:r>
    </w:p>
    <w:p w:rsidR="00000000" w:rsidDel="00000000" w:rsidP="00000000" w:rsidRDefault="00000000" w:rsidRPr="00000000" w14:paraId="000001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 significant factor for determining financial positions of any given organization is considered as its annual net profit generation which also ensures the expansion of company’s operations in the near future. Thus, in this case the net profit margin has remarkably improved (5.6 to 6.3) which reveals that the chocolate manufacturer is able to minimize the costs of raw materials and operations by constructing an effective supply management. Improved profit margin leads to higher upgrades in the next projects and enhancement of product quality standards. The current asset turnover ratio has improved by 5.4 that guides the increment in the efficiency of Chococo plc to transform the present resources into elevated productive items resulting in sudden growth in sales. According to the data, the surge in stock holding days has enabled the company to hold its inventory for two more days in the stock causing proper fulfillment of customer demands. The reduction in debtorscollection period indicates that it does not need to wait more to collect payments from clients thus, maintaining a cash flow balance in the company (Zorn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w:t>
      </w:r>
    </w:p>
    <w:p w:rsidR="00000000" w:rsidDel="00000000" w:rsidP="00000000" w:rsidRDefault="00000000" w:rsidRPr="00000000" w14:paraId="000001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Organizations with elevated current ratios tend to have a large volume of working capitals as in this situation, the current ratio of Chocco plc has greatly increased. As a result it will have more flexibility in satisfying customer orders, expansion of business, and investing in new products. Moreover, the depletion in gearing ratio means it has comparatively few quantities of debts as compared to last year. Besides, it will ensure a low percentage of potential failures for the business in the upcoming days. And lastly, a huge volume of improvement in interest coverage ratio exhibits the organization’s power in paying interests of lenders, investors, and creditors (Rashid, 2018).         </w:t>
      </w:r>
    </w:p>
    <w:p w:rsidR="00000000" w:rsidDel="00000000" w:rsidP="00000000" w:rsidRDefault="00000000" w:rsidRPr="00000000" w14:paraId="0000019B">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C">
      <w:pPr>
        <w:pStyle w:val="Heading1"/>
        <w:spacing w:line="360" w:lineRule="auto"/>
        <w:ind w:left="720" w:firstLine="0"/>
        <w:jc w:val="both"/>
        <w:rPr>
          <w:rFonts w:ascii="Times New Roman" w:cs="Times New Roman" w:eastAsia="Times New Roman" w:hAnsi="Times New Roman"/>
          <w:b w:val="1"/>
          <w:sz w:val="24"/>
          <w:szCs w:val="24"/>
        </w:rPr>
      </w:pPr>
      <w:bookmarkStart w:colFirst="0" w:colLast="0" w:name="_heading=h.2s8eyo1" w:id="9"/>
      <w:bookmarkEnd w:id="9"/>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19D">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above study, it has been concluded that principles of accounting is a fundamental ingredient that is needed for any kind of industry to monitor, evaluate, and predict financial transactions and its impacts. Generally, accounting abilities are required in the creation of financial statements such as balance sheets, income statements, cash flow statements, profit and loss statements etc. Moreover, the critical evaluation of such statements helps to gain competitive advantage and valuable insights of the marketplace. Financial ratios are also a key element in the process of accounting as it provides the actual mathematical values of performance management. Therefore, the use of financial ratios and statements are crucial for accounting and deciding the future success for the organizations. </w:t>
      </w:r>
    </w:p>
    <w:p w:rsidR="00000000" w:rsidDel="00000000" w:rsidP="00000000" w:rsidRDefault="00000000" w:rsidRPr="00000000" w14:paraId="0000019E">
      <w:pPr>
        <w:spacing w:line="360" w:lineRule="auto"/>
        <w:jc w:val="both"/>
        <w:rPr>
          <w:rFonts w:ascii="Times New Roman" w:cs="Times New Roman" w:eastAsia="Times New Roman" w:hAnsi="Times New Roman"/>
          <w:b w:val="1"/>
          <w:sz w:val="24"/>
          <w:szCs w:val="24"/>
        </w:rPr>
      </w:pPr>
      <w:bookmarkStart w:colFirst="0" w:colLast="0" w:name="_heading=h.17dp8vu" w:id="10"/>
      <w:bookmarkEnd w:id="10"/>
      <w:r w:rsidDel="00000000" w:rsidR="00000000" w:rsidRPr="00000000">
        <w:br w:type="page"/>
      </w:r>
      <w:r w:rsidDel="00000000" w:rsidR="00000000" w:rsidRPr="00000000">
        <w:rPr>
          <w:rtl w:val="0"/>
        </w:rPr>
      </w:r>
    </w:p>
    <w:p w:rsidR="00000000" w:rsidDel="00000000" w:rsidP="00000000" w:rsidRDefault="00000000" w:rsidRPr="00000000" w14:paraId="0000019F">
      <w:pPr>
        <w:pStyle w:val="Heading1"/>
        <w:spacing w:line="360" w:lineRule="auto"/>
        <w:ind w:left="720" w:firstLine="0"/>
        <w:jc w:val="both"/>
        <w:rPr>
          <w:rFonts w:ascii="Times New Roman" w:cs="Times New Roman" w:eastAsia="Times New Roman" w:hAnsi="Times New Roman"/>
          <w:b w:val="1"/>
          <w:sz w:val="24"/>
          <w:szCs w:val="24"/>
        </w:rPr>
      </w:pPr>
      <w:bookmarkStart w:colFirst="0" w:colLast="0" w:name="_heading=h.3rdcrjn" w:id="11"/>
      <w:bookmarkEnd w:id="11"/>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1A0">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Boeckx, J., Dossche, M. and Peersman, G., 2017. Effectiveness and transmission of the ECB's balance sheet policies. </w:t>
      </w:r>
      <w:r w:rsidDel="00000000" w:rsidR="00000000" w:rsidRPr="00000000">
        <w:rPr>
          <w:rFonts w:ascii="Times New Roman" w:cs="Times New Roman" w:eastAsia="Times New Roman" w:hAnsi="Times New Roman"/>
          <w:i w:val="1"/>
          <w:sz w:val="24"/>
          <w:szCs w:val="24"/>
          <w:highlight w:val="white"/>
          <w:rtl w:val="0"/>
        </w:rPr>
        <w:t xml:space="preserve">International Journal of Central Banking</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13</w:t>
      </w:r>
      <w:r w:rsidDel="00000000" w:rsidR="00000000" w:rsidRPr="00000000">
        <w:rPr>
          <w:rFonts w:ascii="Times New Roman" w:cs="Times New Roman" w:eastAsia="Times New Roman" w:hAnsi="Times New Roman"/>
          <w:sz w:val="24"/>
          <w:szCs w:val="24"/>
          <w:highlight w:val="white"/>
          <w:rtl w:val="0"/>
        </w:rPr>
        <w:t xml:space="preserve">(1), pp.297-333.</w:t>
      </w:r>
    </w:p>
    <w:p w:rsidR="00000000" w:rsidDel="00000000" w:rsidP="00000000" w:rsidRDefault="00000000" w:rsidRPr="00000000" w14:paraId="000001A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Carlson, M.A., D'Amico, S., Fuentes-Albero, C., Schlusche, B. and Wood, P.R., 2020. Issues in the use of the balance sheet tool.</w:t>
      </w:r>
    </w:p>
    <w:p w:rsidR="00000000" w:rsidDel="00000000" w:rsidP="00000000" w:rsidRDefault="00000000" w:rsidRPr="00000000" w14:paraId="000001A2">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Faello, J., 2015. Understanding the limitations of financial ratios. </w:t>
      </w:r>
      <w:r w:rsidDel="00000000" w:rsidR="00000000" w:rsidRPr="00000000">
        <w:rPr>
          <w:rFonts w:ascii="Times New Roman" w:cs="Times New Roman" w:eastAsia="Times New Roman" w:hAnsi="Times New Roman"/>
          <w:i w:val="1"/>
          <w:sz w:val="24"/>
          <w:szCs w:val="24"/>
          <w:highlight w:val="white"/>
          <w:rtl w:val="0"/>
        </w:rPr>
        <w:t xml:space="preserve">Academy of Accounting and Financial Studies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19</w:t>
      </w:r>
      <w:r w:rsidDel="00000000" w:rsidR="00000000" w:rsidRPr="00000000">
        <w:rPr>
          <w:rFonts w:ascii="Times New Roman" w:cs="Times New Roman" w:eastAsia="Times New Roman" w:hAnsi="Times New Roman"/>
          <w:sz w:val="24"/>
          <w:szCs w:val="24"/>
          <w:highlight w:val="white"/>
          <w:rtl w:val="0"/>
        </w:rPr>
        <w:t xml:space="preserve">(3), p.75.</w:t>
      </w:r>
    </w:p>
    <w:p w:rsidR="00000000" w:rsidDel="00000000" w:rsidP="00000000" w:rsidRDefault="00000000" w:rsidRPr="00000000" w14:paraId="000001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Florou, A., Kosi, U. and Pope, P.F., 2017. Are international accounting standards more credit relevant than domestic standards?.</w:t>
      </w:r>
      <w:r w:rsidDel="00000000" w:rsidR="00000000" w:rsidRPr="00000000">
        <w:rPr>
          <w:rFonts w:ascii="Times New Roman" w:cs="Times New Roman" w:eastAsia="Times New Roman" w:hAnsi="Times New Roman"/>
          <w:i w:val="1"/>
          <w:sz w:val="24"/>
          <w:szCs w:val="24"/>
          <w:highlight w:val="white"/>
          <w:rtl w:val="0"/>
        </w:rPr>
        <w:t xml:space="preserve">Accounting and Business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47</w:t>
      </w:r>
      <w:r w:rsidDel="00000000" w:rsidR="00000000" w:rsidRPr="00000000">
        <w:rPr>
          <w:rFonts w:ascii="Times New Roman" w:cs="Times New Roman" w:eastAsia="Times New Roman" w:hAnsi="Times New Roman"/>
          <w:sz w:val="24"/>
          <w:szCs w:val="24"/>
          <w:highlight w:val="white"/>
          <w:rtl w:val="0"/>
        </w:rPr>
        <w:t xml:space="preserve">(1), pp.1-29.</w:t>
      </w:r>
      <w:r w:rsidDel="00000000" w:rsidR="00000000" w:rsidRPr="00000000">
        <w:rPr>
          <w:rtl w:val="0"/>
        </w:rPr>
      </w:r>
    </w:p>
    <w:p w:rsidR="00000000" w:rsidDel="00000000" w:rsidP="00000000" w:rsidRDefault="00000000" w:rsidRPr="00000000" w14:paraId="000001A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Fraser, L.M., Ormiston, A. and Fraser, L.M., 2016. </w:t>
      </w:r>
      <w:r w:rsidDel="00000000" w:rsidR="00000000" w:rsidRPr="00000000">
        <w:rPr>
          <w:rFonts w:ascii="Times New Roman" w:cs="Times New Roman" w:eastAsia="Times New Roman" w:hAnsi="Times New Roman"/>
          <w:i w:val="1"/>
          <w:sz w:val="24"/>
          <w:szCs w:val="24"/>
          <w:highlight w:val="white"/>
          <w:rtl w:val="0"/>
        </w:rPr>
        <w:t xml:space="preserve">Understanding financial statements</w:t>
      </w:r>
      <w:r w:rsidDel="00000000" w:rsidR="00000000" w:rsidRPr="00000000">
        <w:rPr>
          <w:rFonts w:ascii="Times New Roman" w:cs="Times New Roman" w:eastAsia="Times New Roman" w:hAnsi="Times New Roman"/>
          <w:sz w:val="24"/>
          <w:szCs w:val="24"/>
          <w:highlight w:val="white"/>
          <w:rtl w:val="0"/>
        </w:rPr>
        <w:t xml:space="preserve">. New York: Pearson.</w:t>
      </w:r>
    </w:p>
    <w:p w:rsidR="00000000" w:rsidDel="00000000" w:rsidP="00000000" w:rsidRDefault="00000000" w:rsidRPr="00000000" w14:paraId="000001A5">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Kanapickienė, R. and Grundienė, Ž., 2015. The model of fraud detection in financial statements by means of financial ratios. </w:t>
      </w:r>
      <w:r w:rsidDel="00000000" w:rsidR="00000000" w:rsidRPr="00000000">
        <w:rPr>
          <w:rFonts w:ascii="Times New Roman" w:cs="Times New Roman" w:eastAsia="Times New Roman" w:hAnsi="Times New Roman"/>
          <w:i w:val="1"/>
          <w:sz w:val="24"/>
          <w:szCs w:val="24"/>
          <w:highlight w:val="white"/>
          <w:rtl w:val="0"/>
        </w:rPr>
        <w:t xml:space="preserve">Procedia-Social and Behavioral Sciences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213</w:t>
      </w:r>
      <w:r w:rsidDel="00000000" w:rsidR="00000000" w:rsidRPr="00000000">
        <w:rPr>
          <w:rFonts w:ascii="Times New Roman" w:cs="Times New Roman" w:eastAsia="Times New Roman" w:hAnsi="Times New Roman"/>
          <w:sz w:val="24"/>
          <w:szCs w:val="24"/>
          <w:highlight w:val="white"/>
          <w:rtl w:val="0"/>
        </w:rPr>
        <w:t xml:space="preserve">, pp.321-327.</w:t>
      </w:r>
    </w:p>
    <w:p w:rsidR="00000000" w:rsidDel="00000000" w:rsidP="00000000" w:rsidRDefault="00000000" w:rsidRPr="00000000" w14:paraId="000001A6">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Kanapickienė, R. and Grundienė, Ž., 2015. The model of fraud detection in financial statements by means of financial ratios. </w:t>
      </w:r>
      <w:r w:rsidDel="00000000" w:rsidR="00000000" w:rsidRPr="00000000">
        <w:rPr>
          <w:rFonts w:ascii="Times New Roman" w:cs="Times New Roman" w:eastAsia="Times New Roman" w:hAnsi="Times New Roman"/>
          <w:i w:val="1"/>
          <w:sz w:val="24"/>
          <w:szCs w:val="24"/>
          <w:highlight w:val="white"/>
          <w:rtl w:val="0"/>
        </w:rPr>
        <w:t xml:space="preserve">Procedia-Social and Behavioral Sciences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213</w:t>
      </w:r>
      <w:r w:rsidDel="00000000" w:rsidR="00000000" w:rsidRPr="00000000">
        <w:rPr>
          <w:rFonts w:ascii="Times New Roman" w:cs="Times New Roman" w:eastAsia="Times New Roman" w:hAnsi="Times New Roman"/>
          <w:sz w:val="24"/>
          <w:szCs w:val="24"/>
          <w:highlight w:val="white"/>
          <w:rtl w:val="0"/>
        </w:rPr>
        <w:t xml:space="preserve">, pp.321-327.</w:t>
      </w:r>
    </w:p>
    <w:p w:rsidR="00000000" w:rsidDel="00000000" w:rsidP="00000000" w:rsidRDefault="00000000" w:rsidRPr="00000000" w14:paraId="000001A7">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Lane, C. and Farleigh, W., 2015. Annual report and financial statements.</w:t>
      </w:r>
    </w:p>
    <w:p w:rsidR="00000000" w:rsidDel="00000000" w:rsidP="00000000" w:rsidRDefault="00000000" w:rsidRPr="00000000" w14:paraId="000001A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Lessambo, F.I., 2018. Financial Statements. </w:t>
      </w:r>
      <w:r w:rsidDel="00000000" w:rsidR="00000000" w:rsidRPr="00000000">
        <w:rPr>
          <w:rFonts w:ascii="Times New Roman" w:cs="Times New Roman" w:eastAsia="Times New Roman" w:hAnsi="Times New Roman"/>
          <w:i w:val="1"/>
          <w:sz w:val="24"/>
          <w:szCs w:val="24"/>
          <w:highlight w:val="white"/>
          <w:rtl w:val="0"/>
        </w:rPr>
        <w:t xml:space="preserve">Analysis and Reporting</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A9">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Musallam, S.R., 2018. Exploring the relationship between financial ratios and market stock returns. </w:t>
      </w:r>
      <w:r w:rsidDel="00000000" w:rsidR="00000000" w:rsidRPr="00000000">
        <w:rPr>
          <w:rFonts w:ascii="Times New Roman" w:cs="Times New Roman" w:eastAsia="Times New Roman" w:hAnsi="Times New Roman"/>
          <w:i w:val="1"/>
          <w:sz w:val="24"/>
          <w:szCs w:val="24"/>
          <w:highlight w:val="white"/>
          <w:rtl w:val="0"/>
        </w:rPr>
        <w:t xml:space="preserve">Eurasian Journal of Business and Economics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(21), pp.101-116.</w:t>
      </w:r>
    </w:p>
    <w:p w:rsidR="00000000" w:rsidDel="00000000" w:rsidP="00000000" w:rsidRDefault="00000000" w:rsidRPr="00000000" w14:paraId="000001AA">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Palepu, K.G., Healy, P.M., Wright, S., Bradbury, M. and Coulton, J., 2020. </w:t>
      </w:r>
      <w:r w:rsidDel="00000000" w:rsidR="00000000" w:rsidRPr="00000000">
        <w:rPr>
          <w:rFonts w:ascii="Times New Roman" w:cs="Times New Roman" w:eastAsia="Times New Roman" w:hAnsi="Times New Roman"/>
          <w:i w:val="1"/>
          <w:sz w:val="24"/>
          <w:szCs w:val="24"/>
          <w:highlight w:val="white"/>
          <w:rtl w:val="0"/>
        </w:rPr>
        <w:t xml:space="preserve">Business analysis and valuation: Using financial statements</w:t>
      </w:r>
      <w:r w:rsidDel="00000000" w:rsidR="00000000" w:rsidRPr="00000000">
        <w:rPr>
          <w:rFonts w:ascii="Times New Roman" w:cs="Times New Roman" w:eastAsia="Times New Roman" w:hAnsi="Times New Roman"/>
          <w:sz w:val="24"/>
          <w:szCs w:val="24"/>
          <w:highlight w:val="white"/>
          <w:rtl w:val="0"/>
        </w:rPr>
        <w:t xml:space="preserve">. Cengage AU.</w:t>
      </w:r>
    </w:p>
    <w:p w:rsidR="00000000" w:rsidDel="00000000" w:rsidP="00000000" w:rsidRDefault="00000000" w:rsidRPr="00000000" w14:paraId="000001A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Rashid, C.A., 2018. Efficiency of financial ratios analysis for evaluating companies’ liquidity. </w:t>
      </w:r>
      <w:r w:rsidDel="00000000" w:rsidR="00000000" w:rsidRPr="00000000">
        <w:rPr>
          <w:rFonts w:ascii="Times New Roman" w:cs="Times New Roman" w:eastAsia="Times New Roman" w:hAnsi="Times New Roman"/>
          <w:i w:val="1"/>
          <w:sz w:val="24"/>
          <w:szCs w:val="24"/>
          <w:highlight w:val="white"/>
          <w:rtl w:val="0"/>
        </w:rPr>
        <w:t xml:space="preserve">International Journal of Social Sciences &amp; Educational Studies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(4), p.110.</w:t>
      </w:r>
    </w:p>
    <w:p w:rsidR="00000000" w:rsidDel="00000000" w:rsidP="00000000" w:rsidRDefault="00000000" w:rsidRPr="00000000" w14:paraId="000001A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Zorn, A., Esteves, M., Baur, I. and Lips, M., 2018. Financial ratios as indicators of economic sustainability: A quantitative analysis for Swiss dairy farms. </w:t>
      </w:r>
      <w:r w:rsidDel="00000000" w:rsidR="00000000" w:rsidRPr="00000000">
        <w:rPr>
          <w:rFonts w:ascii="Times New Roman" w:cs="Times New Roman" w:eastAsia="Times New Roman" w:hAnsi="Times New Roman"/>
          <w:i w:val="1"/>
          <w:sz w:val="24"/>
          <w:szCs w:val="24"/>
          <w:highlight w:val="white"/>
          <w:rtl w:val="0"/>
        </w:rPr>
        <w:t xml:space="preserve">Sustainability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(8), p.2942.</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A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6D79AC"/>
  </w:style>
  <w:style w:type="paragraph" w:styleId="Heading1">
    <w:name w:val="heading 1"/>
    <w:basedOn w:val="Normal"/>
    <w:next w:val="Normal"/>
    <w:rsid w:val="006D79AC"/>
    <w:pPr>
      <w:keepNext w:val="1"/>
      <w:keepLines w:val="1"/>
      <w:spacing w:after="120" w:before="400"/>
      <w:outlineLvl w:val="0"/>
    </w:pPr>
    <w:rPr>
      <w:sz w:val="40"/>
      <w:szCs w:val="40"/>
    </w:rPr>
  </w:style>
  <w:style w:type="paragraph" w:styleId="Heading2">
    <w:name w:val="heading 2"/>
    <w:basedOn w:val="Normal"/>
    <w:next w:val="Normal"/>
    <w:rsid w:val="006D79AC"/>
    <w:pPr>
      <w:keepNext w:val="1"/>
      <w:keepLines w:val="1"/>
      <w:spacing w:after="120" w:before="360"/>
      <w:outlineLvl w:val="1"/>
    </w:pPr>
    <w:rPr>
      <w:sz w:val="32"/>
      <w:szCs w:val="32"/>
    </w:rPr>
  </w:style>
  <w:style w:type="paragraph" w:styleId="Heading3">
    <w:name w:val="heading 3"/>
    <w:basedOn w:val="Normal"/>
    <w:next w:val="Normal"/>
    <w:rsid w:val="006D79AC"/>
    <w:pPr>
      <w:keepNext w:val="1"/>
      <w:keepLines w:val="1"/>
      <w:spacing w:after="80" w:before="320"/>
      <w:outlineLvl w:val="2"/>
    </w:pPr>
    <w:rPr>
      <w:color w:val="434343"/>
      <w:sz w:val="28"/>
      <w:szCs w:val="28"/>
    </w:rPr>
  </w:style>
  <w:style w:type="paragraph" w:styleId="Heading4">
    <w:name w:val="heading 4"/>
    <w:basedOn w:val="Normal"/>
    <w:next w:val="Normal"/>
    <w:rsid w:val="006D79AC"/>
    <w:pPr>
      <w:keepNext w:val="1"/>
      <w:keepLines w:val="1"/>
      <w:spacing w:after="80" w:before="280"/>
      <w:outlineLvl w:val="3"/>
    </w:pPr>
    <w:rPr>
      <w:color w:val="666666"/>
      <w:sz w:val="24"/>
      <w:szCs w:val="24"/>
    </w:rPr>
  </w:style>
  <w:style w:type="paragraph" w:styleId="Heading5">
    <w:name w:val="heading 5"/>
    <w:basedOn w:val="Normal"/>
    <w:next w:val="Normal"/>
    <w:rsid w:val="006D79AC"/>
    <w:pPr>
      <w:keepNext w:val="1"/>
      <w:keepLines w:val="1"/>
      <w:spacing w:after="80" w:before="240"/>
      <w:outlineLvl w:val="4"/>
    </w:pPr>
    <w:rPr>
      <w:color w:val="666666"/>
    </w:rPr>
  </w:style>
  <w:style w:type="paragraph" w:styleId="Heading6">
    <w:name w:val="heading 6"/>
    <w:basedOn w:val="Normal"/>
    <w:next w:val="Normal"/>
    <w:rsid w:val="006D79AC"/>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6D79AC"/>
    <w:pPr>
      <w:keepNext w:val="1"/>
      <w:keepLines w:val="1"/>
      <w:spacing w:after="60"/>
    </w:pPr>
    <w:rPr>
      <w:sz w:val="52"/>
      <w:szCs w:val="52"/>
    </w:rPr>
  </w:style>
  <w:style w:type="paragraph" w:styleId="Subtitle">
    <w:name w:val="Subtitle"/>
    <w:basedOn w:val="Normal"/>
    <w:next w:val="Normal"/>
    <w:rsid w:val="006D79AC"/>
    <w:pPr>
      <w:keepNext w:val="1"/>
      <w:keepLines w:val="1"/>
      <w:spacing w:after="320"/>
    </w:pPr>
    <w:rPr>
      <w:color w:val="666666"/>
      <w:sz w:val="30"/>
      <w:szCs w:val="30"/>
    </w:rPr>
  </w:style>
  <w:style w:type="table" w:styleId="a"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0"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1"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2"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3"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4"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5"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6"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7"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8"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9"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table" w:styleId="aa" w:customStyle="1">
    <w:basedOn w:val="TableNormal"/>
    <w:rsid w:val="006D79AC"/>
    <w:tblPr>
      <w:tblStyleRowBandSize w:val="1"/>
      <w:tblStyleColBandSize w:val="1"/>
      <w:tblInd w:w="0.0" w:type="dxa"/>
      <w:tblCellMar>
        <w:top w:w="100.0" w:type="dxa"/>
        <w:left w:w="100.0" w:type="dxa"/>
        <w:bottom w:w="100.0" w:type="dxa"/>
        <w:right w:w="100.0" w:type="dxa"/>
      </w:tblCellMar>
    </w:tblPr>
  </w:style>
  <w:style w:type="paragraph" w:styleId="Header">
    <w:name w:val="header"/>
    <w:basedOn w:val="Normal"/>
    <w:link w:val="HeaderChar"/>
    <w:uiPriority w:val="99"/>
    <w:unhideWhenUsed w:val="1"/>
    <w:rsid w:val="00483EAB"/>
    <w:pPr>
      <w:tabs>
        <w:tab w:val="center" w:pos="4680"/>
        <w:tab w:val="right" w:pos="9360"/>
      </w:tabs>
      <w:spacing w:line="240" w:lineRule="auto"/>
    </w:pPr>
  </w:style>
  <w:style w:type="character" w:styleId="HeaderChar" w:customStyle="1">
    <w:name w:val="Header Char"/>
    <w:basedOn w:val="DefaultParagraphFont"/>
    <w:link w:val="Header"/>
    <w:uiPriority w:val="99"/>
    <w:rsid w:val="00483EAB"/>
  </w:style>
  <w:style w:type="paragraph" w:styleId="Footer">
    <w:name w:val="footer"/>
    <w:basedOn w:val="Normal"/>
    <w:link w:val="FooterChar"/>
    <w:uiPriority w:val="99"/>
    <w:unhideWhenUsed w:val="1"/>
    <w:rsid w:val="00483EAB"/>
    <w:pPr>
      <w:tabs>
        <w:tab w:val="center" w:pos="4680"/>
        <w:tab w:val="right" w:pos="9360"/>
      </w:tabs>
      <w:spacing w:line="240" w:lineRule="auto"/>
    </w:pPr>
  </w:style>
  <w:style w:type="character" w:styleId="FooterChar" w:customStyle="1">
    <w:name w:val="Footer Char"/>
    <w:basedOn w:val="DefaultParagraphFont"/>
    <w:link w:val="Footer"/>
    <w:uiPriority w:val="99"/>
    <w:rsid w:val="00483EAB"/>
  </w:style>
  <w:style w:type="paragraph" w:styleId="TOCHeading">
    <w:name w:val="TOC Heading"/>
    <w:basedOn w:val="Heading1"/>
    <w:next w:val="Normal"/>
    <w:uiPriority w:val="39"/>
    <w:unhideWhenUsed w:val="1"/>
    <w:qFormat w:val="1"/>
    <w:rsid w:val="00483EAB"/>
    <w:pPr>
      <w:spacing w:after="0" w:before="240" w:line="259" w:lineRule="auto"/>
      <w:outlineLvl w:val="9"/>
    </w:pPr>
    <w:rPr>
      <w:rFonts w:asciiTheme="majorHAnsi" w:cstheme="majorBidi" w:eastAsiaTheme="majorEastAsia" w:hAnsiTheme="majorHAnsi"/>
      <w:color w:val="365f91" w:themeColor="accent1" w:themeShade="0000BF"/>
      <w:sz w:val="32"/>
      <w:szCs w:val="32"/>
      <w:lang w:val="en-US"/>
    </w:rPr>
  </w:style>
  <w:style w:type="paragraph" w:styleId="TOC1">
    <w:name w:val="toc 1"/>
    <w:basedOn w:val="Normal"/>
    <w:next w:val="Normal"/>
    <w:autoRedefine w:val="1"/>
    <w:uiPriority w:val="39"/>
    <w:unhideWhenUsed w:val="1"/>
    <w:rsid w:val="00483EAB"/>
    <w:pPr>
      <w:spacing w:after="100"/>
    </w:pPr>
  </w:style>
  <w:style w:type="paragraph" w:styleId="TOC2">
    <w:name w:val="toc 2"/>
    <w:basedOn w:val="Normal"/>
    <w:next w:val="Normal"/>
    <w:autoRedefine w:val="1"/>
    <w:uiPriority w:val="39"/>
    <w:unhideWhenUsed w:val="1"/>
    <w:rsid w:val="00483EAB"/>
    <w:pPr>
      <w:spacing w:after="100"/>
      <w:ind w:left="220"/>
    </w:pPr>
  </w:style>
  <w:style w:type="character" w:styleId="Hyperlink">
    <w:name w:val="Hyperlink"/>
    <w:basedOn w:val="DefaultParagraphFont"/>
    <w:uiPriority w:val="99"/>
    <w:unhideWhenUsed w:val="1"/>
    <w:rsid w:val="00483EAB"/>
    <w:rPr>
      <w:color w:val="0000ff" w:themeColor="hyperlink"/>
      <w:u w:val="single"/>
    </w:rPr>
  </w:style>
  <w:style w:type="paragraph" w:styleId="BalloonText">
    <w:name w:val="Balloon Text"/>
    <w:basedOn w:val="Normal"/>
    <w:link w:val="BalloonTextChar"/>
    <w:uiPriority w:val="99"/>
    <w:semiHidden w:val="1"/>
    <w:unhideWhenUsed w:val="1"/>
    <w:rsid w:val="009A2DEF"/>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9A2DEF"/>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fvIAH95hhfKeg33KL2BTsSAS+UQ==">AMUW2mXfjoZdU0uj53Vf/p6XRl8rqy0YSYIU8CCwl+g5i39wLcyij6iZdEz0PaO+N+5q90UyvWxsxCdwOGe7yREHKsNy3LnXOc3Cuno40oC8tgKdmlK1PFHKfY5t89tZn0sd/+pABMsUizq0IeYt100mHFNgnjEC2MO9V36iipyMUQiCbTBshvsPCetghzwXZvEbvEscPxJHvvTZ/avN9L2jK8bEPxj+P4/llioDB6yCGke9QcGhdj3wPwDtWqAWFyOMKywWsMmW2wEAEnBh1lAlLZUTvy1V2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2021-07-17T09:49:00Z</dcterms:created>
</cp:coreProperties>
</file>