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93E40E" w14:textId="77777777" w:rsidR="002E699F" w:rsidRDefault="009B23FE" w:rsidP="002E699F">
      <w:r w:rsidRPr="00A02D14">
        <w:rPr>
          <w:noProof/>
          <w:lang w:bidi="bn-BD"/>
        </w:rPr>
        <w:drawing>
          <wp:inline distT="0" distB="0" distL="0" distR="0" wp14:anchorId="4C7DEBAA" wp14:editId="57065D6D">
            <wp:extent cx="2783205" cy="1163782"/>
            <wp:effectExtent l="0" t="0" r="0" b="0"/>
            <wp:docPr id="1553" name="Picture 155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553" name="Picture 1553"/>
                    <pic:cNvPicPr/>
                  </pic:nvPicPr>
                  <pic:blipFill>
                    <a:blip r:embed="rId6"/>
                    <a:stretch>
                      <a:fillRect/>
                    </a:stretch>
                  </pic:blipFill>
                  <pic:spPr>
                    <a:xfrm>
                      <a:off x="0" y="0"/>
                      <a:ext cx="2814211" cy="1176747"/>
                    </a:xfrm>
                    <a:prstGeom prst="rect">
                      <a:avLst/>
                    </a:prstGeom>
                  </pic:spPr>
                </pic:pic>
              </a:graphicData>
            </a:graphic>
          </wp:inline>
        </w:drawing>
      </w:r>
    </w:p>
    <w:p w14:paraId="49D7BF00" w14:textId="77777777" w:rsidR="002E699F" w:rsidRDefault="002E699F" w:rsidP="002E699F"/>
    <w:p w14:paraId="1B89C95D" w14:textId="77777777" w:rsidR="002E699F" w:rsidRDefault="002E699F" w:rsidP="002E699F"/>
    <w:p w14:paraId="3EE6837C" w14:textId="55EBF7DB" w:rsidR="009B23FE" w:rsidRPr="002E699F" w:rsidRDefault="002E699F" w:rsidP="002E699F">
      <w:r>
        <w:t xml:space="preserve">                             </w:t>
      </w:r>
      <w:r w:rsidR="009B23FE" w:rsidRPr="002E699F">
        <w:rPr>
          <w:sz w:val="48"/>
          <w:szCs w:val="48"/>
        </w:rPr>
        <w:t>LCBB5005 Project Management</w:t>
      </w:r>
    </w:p>
    <w:p w14:paraId="2C4F1446" w14:textId="77777777" w:rsidR="009B23FE" w:rsidRPr="002E699F" w:rsidRDefault="009B23FE" w:rsidP="009B23FE">
      <w:pPr>
        <w:jc w:val="center"/>
        <w:rPr>
          <w:sz w:val="48"/>
          <w:szCs w:val="48"/>
        </w:rPr>
      </w:pPr>
      <w:r w:rsidRPr="002E699F">
        <w:rPr>
          <w:sz w:val="48"/>
          <w:szCs w:val="48"/>
        </w:rPr>
        <w:t xml:space="preserve"> Assessment 02</w:t>
      </w:r>
    </w:p>
    <w:p w14:paraId="70C98E4E" w14:textId="77777777" w:rsidR="009B23FE" w:rsidRPr="00A02D14" w:rsidRDefault="009B23FE" w:rsidP="009B23FE">
      <w:pPr>
        <w:jc w:val="center"/>
      </w:pPr>
    </w:p>
    <w:p w14:paraId="426E31AA" w14:textId="77777777" w:rsidR="002E699F" w:rsidRDefault="00491D42" w:rsidP="009B23FE">
      <w:r>
        <w:t xml:space="preserve">                            </w:t>
      </w:r>
    </w:p>
    <w:p w14:paraId="397B061C" w14:textId="77777777" w:rsidR="002E699F" w:rsidRDefault="002E699F" w:rsidP="009B23FE"/>
    <w:p w14:paraId="7F652E1C" w14:textId="26BC345D" w:rsidR="009B23FE" w:rsidRPr="002E699F" w:rsidRDefault="002E699F" w:rsidP="009B23FE">
      <w:pPr>
        <w:rPr>
          <w:sz w:val="40"/>
          <w:szCs w:val="40"/>
        </w:rPr>
      </w:pPr>
      <w:r>
        <w:t xml:space="preserve">                </w:t>
      </w:r>
      <w:r w:rsidR="005149A8">
        <w:t xml:space="preserve">    </w:t>
      </w:r>
      <w:r w:rsidR="00491D42">
        <w:t xml:space="preserve"> </w:t>
      </w:r>
      <w:r w:rsidR="009B23FE" w:rsidRPr="002E699F">
        <w:rPr>
          <w:sz w:val="40"/>
          <w:szCs w:val="40"/>
        </w:rPr>
        <w:t>Student Name:</w:t>
      </w:r>
      <w:r w:rsidR="00491D42" w:rsidRPr="002E699F">
        <w:rPr>
          <w:sz w:val="40"/>
          <w:szCs w:val="40"/>
        </w:rPr>
        <w:t xml:space="preserve"> </w:t>
      </w:r>
      <w:proofErr w:type="spellStart"/>
      <w:r w:rsidR="00491D42" w:rsidRPr="002E699F">
        <w:rPr>
          <w:sz w:val="40"/>
          <w:szCs w:val="40"/>
        </w:rPr>
        <w:t>Nedelcu</w:t>
      </w:r>
      <w:proofErr w:type="spellEnd"/>
      <w:r w:rsidR="00491D42" w:rsidRPr="002E699F">
        <w:rPr>
          <w:sz w:val="40"/>
          <w:szCs w:val="40"/>
        </w:rPr>
        <w:t xml:space="preserve"> Georgiana Loredana</w:t>
      </w:r>
    </w:p>
    <w:p w14:paraId="67A6D80A" w14:textId="225F55D3" w:rsidR="009B23FE" w:rsidRPr="002E699F" w:rsidRDefault="00491D42" w:rsidP="009B23FE">
      <w:pPr>
        <w:rPr>
          <w:sz w:val="40"/>
          <w:szCs w:val="40"/>
        </w:rPr>
      </w:pPr>
      <w:r w:rsidRPr="002E699F">
        <w:rPr>
          <w:sz w:val="40"/>
          <w:szCs w:val="40"/>
        </w:rPr>
        <w:t xml:space="preserve">                    </w:t>
      </w:r>
      <w:r w:rsidR="005149A8">
        <w:rPr>
          <w:sz w:val="40"/>
          <w:szCs w:val="40"/>
        </w:rPr>
        <w:t xml:space="preserve">          </w:t>
      </w:r>
      <w:r w:rsidRPr="002E699F">
        <w:rPr>
          <w:sz w:val="40"/>
          <w:szCs w:val="40"/>
        </w:rPr>
        <w:t xml:space="preserve"> </w:t>
      </w:r>
      <w:r w:rsidR="009B23FE" w:rsidRPr="002E699F">
        <w:rPr>
          <w:sz w:val="40"/>
          <w:szCs w:val="40"/>
        </w:rPr>
        <w:t>Student ID:</w:t>
      </w:r>
      <w:r w:rsidRPr="002E699F">
        <w:rPr>
          <w:sz w:val="40"/>
          <w:szCs w:val="40"/>
        </w:rPr>
        <w:t>2018584</w:t>
      </w:r>
    </w:p>
    <w:p w14:paraId="491C93F4" w14:textId="77777777" w:rsidR="0072688E" w:rsidRPr="00A02D14" w:rsidRDefault="0072688E"/>
    <w:p w14:paraId="6864E329" w14:textId="77777777" w:rsidR="00EB4007" w:rsidRPr="00A02D14" w:rsidRDefault="00EB4007"/>
    <w:p w14:paraId="016B8ED7" w14:textId="77777777" w:rsidR="00EB4007" w:rsidRPr="00A02D14" w:rsidRDefault="00EB4007"/>
    <w:p w14:paraId="165373A6" w14:textId="77777777" w:rsidR="00EB4007" w:rsidRPr="00A02D14" w:rsidRDefault="00EB4007">
      <w:r w:rsidRPr="00A02D14">
        <w:br w:type="page"/>
      </w:r>
    </w:p>
    <w:p w14:paraId="1A885ADC" w14:textId="77777777" w:rsidR="00EB4007" w:rsidRPr="00A02D14" w:rsidRDefault="0051176F" w:rsidP="009B23FE">
      <w:pPr>
        <w:pStyle w:val="Heading1"/>
        <w:jc w:val="center"/>
      </w:pPr>
      <w:r w:rsidRPr="00A02D14">
        <w:lastRenderedPageBreak/>
        <w:t>The Cross Rail Project as A Success</w:t>
      </w:r>
    </w:p>
    <w:p w14:paraId="7C1267B2" w14:textId="77777777" w:rsidR="00CD742B" w:rsidRPr="00A02D14" w:rsidRDefault="00CD742B" w:rsidP="00CD742B">
      <w:r w:rsidRPr="00A02D14">
        <w:t>Project management is key in managing the project, and the success and failure of the respective project depend on the ability to implement the respective project mostly with necessary adaptation. It is also necessary to find out the performance of the respective project to take necessary decisions of further investments for the expansion of the respective project, and for deciding on expansion of the respective project. The project aims at finding out the viability of the Cross Rail Project. The planning of the Cross Rail Project was developed in the year 2007. The construction of the Cross Rail Project was begun in the year 2009, and another name for the Cross Rail Project is the Elizabeth Line</w:t>
      </w:r>
      <w:r w:rsidR="00312315" w:rsidRPr="00A02D14">
        <w:t xml:space="preserve"> (Buck, 2017)</w:t>
      </w:r>
      <w:r w:rsidRPr="00A02D14">
        <w:t>. The idea of Cross Rail Project was founded in the year 1943 for the very first time. To work is conducted using the Cross Rail Act, of 2008</w:t>
      </w:r>
      <w:r w:rsidR="00312315" w:rsidRPr="00A02D14">
        <w:t xml:space="preserve"> (Dodgson et al., 2015)</w:t>
      </w:r>
      <w:r w:rsidRPr="00A02D14">
        <w:t>. This project interconnected two main rail lines in the United Kingdom. The name of the first rail line is the Great Eastern Main Line. The name of the second rail line is the Great Western Main Line. This project is expected to be opened for general people fully in the year 2023. The paper started with the narrative detail of my thinking about the Cross Rail Project. After that, the success, or failure of the Cross Rail Project is evaluated. At last, some valid recommendations for a similar project are provided.</w:t>
      </w:r>
    </w:p>
    <w:p w14:paraId="692121F1" w14:textId="77777777" w:rsidR="00EB4007" w:rsidRPr="00A02D14" w:rsidRDefault="00CD742B" w:rsidP="00CD742B">
      <w:r w:rsidRPr="00A02D14">
        <w:t>Project management is the method of implementing a project using sophisticated ways, and it helps to reach the predetermined objectives</w:t>
      </w:r>
      <w:r w:rsidR="0003534B" w:rsidRPr="00A02D14">
        <w:t xml:space="preserve"> (Kerzner, 2019)</w:t>
      </w:r>
      <w:r w:rsidRPr="00A02D14">
        <w:t>. In Cross Rail Project, the application of project management seems to be noticeable. The application of sophisticated technology in using different types of tunnels, rail connectio</w:t>
      </w:r>
      <w:r w:rsidR="00737E4A" w:rsidRPr="00A02D14">
        <w:t>ns, etc. is lovely to see. The Cross Rail P</w:t>
      </w:r>
      <w:r w:rsidRPr="00A02D14">
        <w:t>roject was developed by following all stages of project management with necessary adaptation to the change in internal and external environments. For this reason, this project turns into a successful one. The stages of project management include five separate stages</w:t>
      </w:r>
      <w:r w:rsidR="0003534B" w:rsidRPr="00A02D14">
        <w:t xml:space="preserve"> (Fowler et al., 2015)</w:t>
      </w:r>
      <w:r w:rsidRPr="00A02D14">
        <w:t xml:space="preserve">. These stages include initiating the respective project, planning the respective project, executing the respective project, controlling, and monitoring the respective project, and closing the project. In the Cross Rail Project, the planning was prevalent from the year 2007. The Cross Rail Project was started to be implemented from the year 2009. The Cross Rail Project continues at present. In the year 1943, the Cross Rail Project was initiated which is expected to be closed in the year 2023, and after that, this project will be fully allowed for the general people. I love to say that this project turns into a successful one for following all steps of project management properly. In this project, the </w:t>
      </w:r>
      <w:r w:rsidRPr="00A02D14">
        <w:lastRenderedPageBreak/>
        <w:t>efficiency of the workforce in using limited resources is found to be noticeable which helps to reach the completion of this project despite some unexpected events which include the death of workers, damage to the skins of workers during the working hour for the existence of dangerous substances, etc. All of these problems were solved properly for the efficiency of the management of this project. So, this project turns into a successful one for the existence of all of these.</w:t>
      </w:r>
    </w:p>
    <w:p w14:paraId="37200FF7" w14:textId="77777777" w:rsidR="00CD742B" w:rsidRPr="00A02D14" w:rsidRDefault="00CD742B" w:rsidP="00CD742B">
      <w:r w:rsidRPr="00A02D14">
        <w:rPr>
          <w:noProof/>
          <w:lang w:eastAsia="en-GB" w:bidi="bn-BD"/>
        </w:rPr>
        <w:drawing>
          <wp:inline distT="0" distB="0" distL="0" distR="0" wp14:anchorId="0633C16D" wp14:editId="0A902255">
            <wp:extent cx="5916803" cy="3555187"/>
            <wp:effectExtent l="19050" t="0" r="26797" b="7163"/>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4114268" w14:textId="77777777" w:rsidR="00EB4007" w:rsidRPr="00A02D14" w:rsidRDefault="00F650B2" w:rsidP="00F650B2">
      <w:pPr>
        <w:jc w:val="center"/>
      </w:pPr>
      <w:r w:rsidRPr="00A02D14">
        <w:t>Figure 01: Budget of The Cross Rail Project (In Billion Pounds)</w:t>
      </w:r>
    </w:p>
    <w:p w14:paraId="052D7B28" w14:textId="77777777" w:rsidR="00F650B2" w:rsidRPr="00A02D14" w:rsidRDefault="00F650B2" w:rsidP="00F650B2">
      <w:pPr>
        <w:jc w:val="center"/>
      </w:pPr>
      <w:r w:rsidRPr="00A02D14">
        <w:t>Source:</w:t>
      </w:r>
      <w:r w:rsidR="008D127C" w:rsidRPr="00A02D14">
        <w:t xml:space="preserve"> (</w:t>
      </w:r>
      <w:proofErr w:type="spellStart"/>
      <w:r w:rsidR="008D127C" w:rsidRPr="00A02D14">
        <w:t>Milillo</w:t>
      </w:r>
      <w:proofErr w:type="spellEnd"/>
      <w:r w:rsidR="008D127C" w:rsidRPr="00A02D14">
        <w:t xml:space="preserve"> et al., 2018)</w:t>
      </w:r>
    </w:p>
    <w:p w14:paraId="3CDA6C2C" w14:textId="77777777" w:rsidR="007641A4" w:rsidRPr="00A02D14" w:rsidRDefault="007641A4">
      <w:r w:rsidRPr="00A02D14">
        <w:t xml:space="preserve">Budgeting is an unavoidable part of planning which includes the concept of quantitative planning, and qualitative features are excluded from this popular concept. The budgeting of this project was not easy. To do this, around 14.80 billion pounds were required to execute this project. But, with the change in time, some unexpected matters have arisen. These matters include the death of workers, damage to the skins of workers during working hours the existence of dangerous substances, etc. which incurs some additional costs for continuing this project. For following legal requirements under the Cross Rail Act, of 2008, it was necessary to incur some additional costs. Also, to conduct this project properly, adjustments are made to the change in the modern financial </w:t>
      </w:r>
      <w:r w:rsidRPr="00A02D14">
        <w:lastRenderedPageBreak/>
        <w:t>environment of the United Kingdom. One of the key adjustments was the adjustment in the rate of inflation. In the year 2020, the inflation rate of the United Kingdom was very low. But in the year 2022, the inflation rate is very high in the United Kingdom it is so high that it crossed the inflation rate of ten percent which is a simple nightmare for the economy of the United Kingdom, and it has an unavoidable impact on continuing the Cross Rail Project. Some expansions of the Cross Rail Project were also announced. To do this, around fifty thousand employees are required. The maintenance of these employees and the continuation of the expansion of the Cross Rail Project are very costly, and these turn volatile due to the existence of the heavy bounce in the inflation rate of the United Kingdom. Also, the forecasted revenue of this project was around a half million pounds from the year 2018, and the forecasted revenue of this project is around one million from the year 2024-2025.</w:t>
      </w:r>
      <w:r w:rsidR="00875D5E" w:rsidRPr="00A02D14">
        <w:t xml:space="preserve"> So, I find a huge amount of expenses in the Cross Rail Project which helps this project to be a secured one for the people.</w:t>
      </w:r>
    </w:p>
    <w:p w14:paraId="2274A822" w14:textId="77777777" w:rsidR="00EB4007" w:rsidRPr="00A02D14" w:rsidRDefault="008F74A7" w:rsidP="008F74A7">
      <w:r w:rsidRPr="00A02D14">
        <w:t>In the year 2019, the budget of this project was around 18.8 billion pounds.  But the forecasted revenue from the year 2019, to the year 2022 is around 0.5 billion pounds per year. So, the total expected revenue in these four years is around 2 billion pounds. The forecasted revenue from the year 2019, to the year 2022 is around 1.0 billion pounds per year. So, around 16.8 billion pounds are left to recover which is found by subtracting 2.0 billion pounds from 18.8 billion pounds. To recover this budget, around 16.8 years which is equivalent to almost 17 years are required according to the pay-back period method which is found by dividing 16.8 billion pounds by 1.0 billion pounds. Pay-back period means the amount of time which is required to recover the investment of the project using revenue without the adjustment of the discount rate</w:t>
      </w:r>
      <w:r w:rsidR="00CB003C" w:rsidRPr="00A02D14">
        <w:t xml:space="preserve"> (</w:t>
      </w:r>
      <w:proofErr w:type="spellStart"/>
      <w:r w:rsidR="00CB003C" w:rsidRPr="00A02D14">
        <w:t>Andor</w:t>
      </w:r>
      <w:proofErr w:type="spellEnd"/>
      <w:r w:rsidR="00CB003C" w:rsidRPr="00A02D14">
        <w:t xml:space="preserve"> et al., 2015)</w:t>
      </w:r>
      <w:r w:rsidRPr="00A02D14">
        <w:t xml:space="preserve">. This project is expected to be continued for the entire life of the United Kingdom the attraction of the </w:t>
      </w:r>
      <w:r w:rsidR="00A02D14" w:rsidRPr="00A02D14">
        <w:t>honourable</w:t>
      </w:r>
      <w:r w:rsidRPr="00A02D14">
        <w:t xml:space="preserve"> government of the United Kingdom in the Cross Rail Project. So, I can say that the project is economically viable. I can also say that, if the discount rate is adjusted for Cross Rail Project, the budget can be expected to be recovered with an additional time of around ten years. If the extension of the project is conducted in the future properly, the revenue of this project with also is increased</w:t>
      </w:r>
      <w:r w:rsidR="00CB003C" w:rsidRPr="00A02D14">
        <w:t xml:space="preserve"> (</w:t>
      </w:r>
      <w:proofErr w:type="spellStart"/>
      <w:r w:rsidR="00CB003C" w:rsidRPr="00A02D14">
        <w:t>Malenko</w:t>
      </w:r>
      <w:proofErr w:type="spellEnd"/>
      <w:r w:rsidR="00CB003C" w:rsidRPr="00A02D14">
        <w:t>, 2019)</w:t>
      </w:r>
      <w:r w:rsidRPr="00A02D14">
        <w:t xml:space="preserve">. It is also expected that the population of the United Kingdom will increase at a rate of around one percent which was found by taking the average of the growth of the population of the United Kingdom which has been collected from the year 2012 to the year 2021.  The unexpected rise in inflation will also invite the increase in price for the adjustment of costs which must be conducted in most of the transports of the United Kingdom. So, </w:t>
      </w:r>
      <w:r w:rsidRPr="00A02D14">
        <w:lastRenderedPageBreak/>
        <w:t>the profitability of this project will grow in the future. I can declare that this project is financially feasible.</w:t>
      </w:r>
    </w:p>
    <w:p w14:paraId="7062D326" w14:textId="77777777" w:rsidR="00D4148B" w:rsidRPr="00A02D14" w:rsidRDefault="00D4148B" w:rsidP="008F74A7">
      <w:r w:rsidRPr="00A02D14">
        <w:t>The design of this project is sophisticated which ensures the safety of passengers, employees, and other stakeholders of the Cross Rail Project</w:t>
      </w:r>
      <w:r w:rsidR="00260F8E" w:rsidRPr="00A02D14">
        <w:t xml:space="preserve"> (Daft, 2015)</w:t>
      </w:r>
      <w:r w:rsidRPr="00A02D14">
        <w:t xml:space="preserve">. The sophisticated design of the tunnel helps to ensure comfortable and safe movements of trains. I get some learning from the Cross Rail Project. To conduct a project properly, I must ensure adaptability to the change in the demand, and reactions of the stakeholders of the project. I also learn how to control a project by balancing time. Here is another important learning for me, and it is updating the information when </w:t>
      </w:r>
      <w:proofErr w:type="gramStart"/>
      <w:r w:rsidRPr="00A02D14">
        <w:t>necessary</w:t>
      </w:r>
      <w:proofErr w:type="gramEnd"/>
      <w:r w:rsidRPr="00A02D14">
        <w:t xml:space="preserve"> which is found in the budgeting of the Cross Rail Project. The project turns into a successful one for the proper application of these pieces of learning.</w:t>
      </w:r>
    </w:p>
    <w:p w14:paraId="1A4B5EDB" w14:textId="77777777" w:rsidR="0013581C" w:rsidRPr="00A02D14" w:rsidRDefault="0013581C" w:rsidP="0013581C">
      <w:r w:rsidRPr="00A02D14">
        <w:t>In the Cross Rail Project, some factors must be considered which are found using SWOT analysis. SWOT analysis is the analysis of a business, project, team, or individual which helps not only to find out internal positive and negative factors but also to find out external positive and negative factors</w:t>
      </w:r>
      <w:r w:rsidR="00260F8E" w:rsidRPr="00A02D14">
        <w:t xml:space="preserve"> (Griffin, 2021)</w:t>
      </w:r>
      <w:r w:rsidRPr="00A02D14">
        <w:t>. The strengths are the internal positive factors. The weaknesses are the internal negative factors</w:t>
      </w:r>
      <w:r w:rsidR="00A7426B" w:rsidRPr="00A02D14">
        <w:t xml:space="preserve"> (Jr et al., 2020)</w:t>
      </w:r>
      <w:r w:rsidRPr="00A02D14">
        <w:t xml:space="preserve">. The opportunities are the external positive factors. The threats are external negative factors. The strengths of the Cross Rail Project include the availability of qualified personnel, the availability of sufficient funds to manage limited resources which were necessary to develop this project, the ability of management to coordinate activities of the Cross Rail Project properly, the ability to maintain sufficient communication skills to conduct the operation of the Cross Rail Project fluently, the ability to develop an appropriate plan for conducting the Cross Rail Project properly, the ability to create demand among consumers for the Cross Rail Project using appropriate technology, the ability of the Cross Rail Project to ensure safety, and comfort of the users using necessary tools, and techniques, etc. All of these strengths are recommended to be nurtured and monitored for conducting a similar type of project in the future. Expanding the Cross Rail Project, doing is a crying need to ensure the consistent success of this project. The weaknesses of the Cross Rail Project include the ability to find out problems of mass users quickly, the ability to apply relevant technology in the proper time for the limitation in collecting resources, the ability to ensure full safety of </w:t>
      </w:r>
      <w:r w:rsidR="00A02D14" w:rsidRPr="00A02D14">
        <w:t>labourers</w:t>
      </w:r>
      <w:r w:rsidRPr="00A02D14">
        <w:t xml:space="preserve"> during working hours, the ability of management to control the costs of this project consistently through forecasting, etc. All of these weaknesses are suggested to be corrected and implemented in order to carry out a similar </w:t>
      </w:r>
      <w:r w:rsidRPr="00A02D14">
        <w:lastRenderedPageBreak/>
        <w:t>type of project in the future</w:t>
      </w:r>
      <w:r w:rsidR="00C51C55" w:rsidRPr="00A02D14">
        <w:t xml:space="preserve"> (Bloom et al., 2016)</w:t>
      </w:r>
      <w:r w:rsidRPr="00A02D14">
        <w:t xml:space="preserve">. To do this, controlling the project is a vital thing that helps to monitor the new actions, and make necessary corrections where necessary. If it is not done, a similar type of project like the Cross Rail Project </w:t>
      </w:r>
      <w:r w:rsidR="00A02D14" w:rsidRPr="00A02D14">
        <w:t>cannot</w:t>
      </w:r>
      <w:r w:rsidRPr="00A02D14">
        <w:t xml:space="preserve"> do well consistently. The opportunities of the Cross Rail Project include funding from the </w:t>
      </w:r>
      <w:r w:rsidR="00A02D14" w:rsidRPr="00A02D14">
        <w:t>honourable</w:t>
      </w:r>
      <w:r w:rsidRPr="00A02D14">
        <w:t xml:space="preserve"> government of the United Kingdom for the development of this project, the existence of appropriate laws, and regulations to control the activities of such type of projects in the United Kingdom, the existence of demand for traveling faster with getting safety among users of such type of project which can be estimated from the growth rate of the population of the United Kingdom is growing at a rate of one percent on average in the last ten years. All of these opportunities are suggested to be developed and monitored in order to carry out a similar type of project in the future</w:t>
      </w:r>
      <w:r w:rsidR="009A6986" w:rsidRPr="00A02D14">
        <w:t xml:space="preserve"> (Fayol, 2016)</w:t>
      </w:r>
      <w:r w:rsidRPr="00A02D14">
        <w:t>. This is a critical step in expanding the Cross Rail Project to ensure the project's long-term success. The threats of the Cross Rail Project include the heavy increase in the inflation rate of the United Kingdom, the existence of BREXIT, etc. All of these threats are recommended to be addressed and implemented in order to carry out a similar type of project in the future. Controlling the project is critical to accomplishing this because it allows you to monitor the new actions and make necessary corrections as needed. If it is not conducted properly, similar projects like the Cross Rail Project will not perform well on a consistent basis.</w:t>
      </w:r>
    </w:p>
    <w:p w14:paraId="5882A962" w14:textId="77777777" w:rsidR="00772E8F" w:rsidRPr="00A02D14" w:rsidRDefault="0013581C" w:rsidP="0013581C">
      <w:r w:rsidRPr="00A02D14">
        <w:t xml:space="preserve">The Cross Rail Project, according to this report, was developed by following all stages of project management with necessary adaptation to changes in internal and external environments. The Cross Rail Project discovered that the workforce's efficiency in using limited resources was noticeable, which helped to complete the project despite some unexpected events such as worker deaths, skin damage during working hours due to the presence of dangerous substances, and so on. All of these issues were discovered to be properly resolved for the management's efficiency in properly executing this project. This project's budgeting was found to be complex and appropriate. Following the legal requirements of the Cross Rail Act of 2008, it was discovered that some additional costs were incurred. The adjustment in the rate of inflation was identified as one of the key adjustments. The United Kingdom's inflation rate was found to be very low in 2020. However, in the year 2022, the inflation rate in the United Kingdom was found to be very high, and it was so high that it crossed the ten percent inflation rate, which was identified as a simple nightmare for the United Kingdom's economy, and it was identified as an unavoidable impact on continuing the Cross Rail Project. The Cross Rail Project's strengths were discovered to be the availability of </w:t>
      </w:r>
      <w:r w:rsidRPr="00A02D14">
        <w:lastRenderedPageBreak/>
        <w:t xml:space="preserve">qualified personnel, the availability of sufficient funds to manage the limited resources required to develop this project, the ability of management to properly coordinate Cross Rail Project activities, the ability to maintain sufficient communication skills to conduct the Cross Rail Project's operation fluently, and the ability to develop an appropriate plan for conducting the Cross Rail Project. The weaknesses of the Cross Rail Project were discovered to be the ability to quickly identify problems with mass users, the ability to apply relevant technology in the proper time for the limitation in collecting resources, the ability to ensure the full safety of </w:t>
      </w:r>
      <w:r w:rsidR="00A02D14" w:rsidRPr="00A02D14">
        <w:t>labourers</w:t>
      </w:r>
      <w:r w:rsidRPr="00A02D14">
        <w:t xml:space="preserve"> during working hours, the ability of management to consistently control the costs of this project through forecasting, and so on. All of these flaws were identified and recommended for correction to carry out a similar type of project in the future. The Cross Line Project is recommended to take feedback from all types of stakeholders for the development of this project. It is also recommended to ensure sufficient training programs for conducting similar types of responsibilities properly in the future. It is also suggested to apply different types of effective innovative approaches in conducting similar types of projects properly using research, and development.</w:t>
      </w:r>
    </w:p>
    <w:p w14:paraId="27A90CCA" w14:textId="77777777" w:rsidR="00772E8F" w:rsidRPr="00A02D14" w:rsidRDefault="00772E8F">
      <w:pPr>
        <w:spacing w:line="276" w:lineRule="auto"/>
        <w:jc w:val="left"/>
      </w:pPr>
      <w:r w:rsidRPr="00A02D14">
        <w:br w:type="page"/>
      </w:r>
    </w:p>
    <w:p w14:paraId="1B5C6259" w14:textId="77777777" w:rsidR="00772E8F" w:rsidRPr="00A02D14" w:rsidRDefault="00793DF2" w:rsidP="00772E8F">
      <w:pPr>
        <w:pStyle w:val="Heading1"/>
      </w:pPr>
      <w:r w:rsidRPr="00A02D14">
        <w:lastRenderedPageBreak/>
        <w:t>References</w:t>
      </w:r>
    </w:p>
    <w:p w14:paraId="4235B651" w14:textId="77777777" w:rsidR="00EE0F14" w:rsidRPr="00A02D14" w:rsidRDefault="00EE0F14" w:rsidP="00EE0F14">
      <w:pPr>
        <w:rPr>
          <w:shd w:val="clear" w:color="auto" w:fill="FFFFFF"/>
        </w:rPr>
      </w:pPr>
      <w:proofErr w:type="spellStart"/>
      <w:r w:rsidRPr="00A02D14">
        <w:rPr>
          <w:shd w:val="clear" w:color="auto" w:fill="FFFFFF"/>
        </w:rPr>
        <w:t>Andor</w:t>
      </w:r>
      <w:proofErr w:type="spellEnd"/>
      <w:r w:rsidRPr="00A02D14">
        <w:rPr>
          <w:shd w:val="clear" w:color="auto" w:fill="FFFFFF"/>
        </w:rPr>
        <w:t>, G., Mohanty, S.K. and Toth, T., 2015. Capital budgeting practices: A survey of Central and Eastern European firms. </w:t>
      </w:r>
      <w:r w:rsidRPr="00A02D14">
        <w:rPr>
          <w:i/>
          <w:iCs/>
          <w:shd w:val="clear" w:color="auto" w:fill="FFFFFF"/>
        </w:rPr>
        <w:t>Emerging Markets Review</w:t>
      </w:r>
      <w:r w:rsidRPr="00A02D14">
        <w:rPr>
          <w:shd w:val="clear" w:color="auto" w:fill="FFFFFF"/>
        </w:rPr>
        <w:t>, </w:t>
      </w:r>
      <w:r w:rsidRPr="00A02D14">
        <w:rPr>
          <w:i/>
          <w:iCs/>
          <w:shd w:val="clear" w:color="auto" w:fill="FFFFFF"/>
        </w:rPr>
        <w:t>23</w:t>
      </w:r>
      <w:r w:rsidRPr="00A02D14">
        <w:rPr>
          <w:shd w:val="clear" w:color="auto" w:fill="FFFFFF"/>
        </w:rPr>
        <w:t>, pp.148-172.</w:t>
      </w:r>
    </w:p>
    <w:p w14:paraId="21A00DEE" w14:textId="77777777" w:rsidR="00EE0F14" w:rsidRPr="00A02D14" w:rsidRDefault="00EE0F14" w:rsidP="00EE0F14">
      <w:pPr>
        <w:rPr>
          <w:shd w:val="clear" w:color="auto" w:fill="FFFFFF"/>
        </w:rPr>
      </w:pPr>
      <w:r w:rsidRPr="00A02D14">
        <w:rPr>
          <w:shd w:val="clear" w:color="auto" w:fill="FFFFFF"/>
        </w:rPr>
        <w:t xml:space="preserve">Bloom, N., </w:t>
      </w:r>
      <w:proofErr w:type="spellStart"/>
      <w:r w:rsidRPr="00A02D14">
        <w:rPr>
          <w:shd w:val="clear" w:color="auto" w:fill="FFFFFF"/>
        </w:rPr>
        <w:t>Sadun</w:t>
      </w:r>
      <w:proofErr w:type="spellEnd"/>
      <w:r w:rsidRPr="00A02D14">
        <w:rPr>
          <w:shd w:val="clear" w:color="auto" w:fill="FFFFFF"/>
        </w:rPr>
        <w:t>, R. and Van Reenen, J., 2016. </w:t>
      </w:r>
      <w:r w:rsidRPr="00A02D14">
        <w:rPr>
          <w:i/>
          <w:iCs/>
          <w:shd w:val="clear" w:color="auto" w:fill="FFFFFF"/>
        </w:rPr>
        <w:t>Management as a Technology?</w:t>
      </w:r>
      <w:r w:rsidRPr="00A02D14">
        <w:rPr>
          <w:shd w:val="clear" w:color="auto" w:fill="FFFFFF"/>
        </w:rPr>
        <w:t> (No. w22327). National Bureau of Economic Research.</w:t>
      </w:r>
    </w:p>
    <w:p w14:paraId="14432866" w14:textId="77777777" w:rsidR="00EE0F14" w:rsidRPr="00A02D14" w:rsidRDefault="00EE0F14" w:rsidP="00EE0F14">
      <w:pPr>
        <w:rPr>
          <w:shd w:val="clear" w:color="auto" w:fill="FFFFFF"/>
        </w:rPr>
      </w:pPr>
      <w:r w:rsidRPr="00A02D14">
        <w:rPr>
          <w:shd w:val="clear" w:color="auto" w:fill="FFFFFF"/>
        </w:rPr>
        <w:t>Buck, M., 2017, November. Crossrail project: finance, funding and value capture for London’s Elizabeth line. In </w:t>
      </w:r>
      <w:r w:rsidRPr="00A02D14">
        <w:rPr>
          <w:i/>
          <w:iCs/>
          <w:shd w:val="clear" w:color="auto" w:fill="FFFFFF"/>
        </w:rPr>
        <w:t>Proceedings of the Institution of Civil Engineers-Civil Engineering</w:t>
      </w:r>
      <w:r w:rsidRPr="00A02D14">
        <w:rPr>
          <w:shd w:val="clear" w:color="auto" w:fill="FFFFFF"/>
        </w:rPr>
        <w:t> (Vol. 170, No. 6, pp. 15-22). Thomas Telford Ltd.</w:t>
      </w:r>
    </w:p>
    <w:p w14:paraId="6F7188B9" w14:textId="77777777" w:rsidR="00EE0F14" w:rsidRPr="00A02D14" w:rsidRDefault="00EE0F14" w:rsidP="00EE0F14">
      <w:pPr>
        <w:rPr>
          <w:shd w:val="clear" w:color="auto" w:fill="FFFFFF"/>
        </w:rPr>
      </w:pPr>
      <w:r w:rsidRPr="00A02D14">
        <w:rPr>
          <w:shd w:val="clear" w:color="auto" w:fill="FFFFFF"/>
        </w:rPr>
        <w:t>Daft, R.L., 2015. </w:t>
      </w:r>
      <w:r w:rsidRPr="00A02D14">
        <w:rPr>
          <w:i/>
          <w:iCs/>
          <w:shd w:val="clear" w:color="auto" w:fill="FFFFFF"/>
        </w:rPr>
        <w:t>Management</w:t>
      </w:r>
      <w:r w:rsidRPr="00A02D14">
        <w:rPr>
          <w:shd w:val="clear" w:color="auto" w:fill="FFFFFF"/>
        </w:rPr>
        <w:t>. Cengage Learning.</w:t>
      </w:r>
    </w:p>
    <w:p w14:paraId="71971FD5" w14:textId="77777777" w:rsidR="00EE0F14" w:rsidRPr="00A02D14" w:rsidRDefault="00EE0F14" w:rsidP="00EE0F14">
      <w:pPr>
        <w:rPr>
          <w:shd w:val="clear" w:color="auto" w:fill="FFFFFF"/>
        </w:rPr>
      </w:pPr>
      <w:r w:rsidRPr="00A02D14">
        <w:rPr>
          <w:shd w:val="clear" w:color="auto" w:fill="FFFFFF"/>
        </w:rPr>
        <w:t>Dodgson, M., Gann, D., MacAulay, S. and Davies, A., 2015. Innovation strategy in new transportation systems: The case of Crossrail. </w:t>
      </w:r>
      <w:r w:rsidRPr="00A02D14">
        <w:rPr>
          <w:i/>
          <w:iCs/>
          <w:shd w:val="clear" w:color="auto" w:fill="FFFFFF"/>
        </w:rPr>
        <w:t>Transportation Research Part A: Policy and Practice</w:t>
      </w:r>
      <w:r w:rsidRPr="00A02D14">
        <w:rPr>
          <w:shd w:val="clear" w:color="auto" w:fill="FFFFFF"/>
        </w:rPr>
        <w:t>, </w:t>
      </w:r>
      <w:r w:rsidRPr="00A02D14">
        <w:rPr>
          <w:i/>
          <w:iCs/>
          <w:shd w:val="clear" w:color="auto" w:fill="FFFFFF"/>
        </w:rPr>
        <w:t>77</w:t>
      </w:r>
      <w:r w:rsidRPr="00A02D14">
        <w:rPr>
          <w:shd w:val="clear" w:color="auto" w:fill="FFFFFF"/>
        </w:rPr>
        <w:t>, pp.261-275.</w:t>
      </w:r>
    </w:p>
    <w:p w14:paraId="4DAD2DAE" w14:textId="77777777" w:rsidR="00EE0F14" w:rsidRPr="00A02D14" w:rsidRDefault="00EE0F14" w:rsidP="00EE0F14">
      <w:pPr>
        <w:rPr>
          <w:shd w:val="clear" w:color="auto" w:fill="FFFFFF"/>
        </w:rPr>
      </w:pPr>
      <w:r w:rsidRPr="00A02D14">
        <w:rPr>
          <w:shd w:val="clear" w:color="auto" w:fill="FFFFFF"/>
        </w:rPr>
        <w:t>Fayol, H., 2016. </w:t>
      </w:r>
      <w:r w:rsidRPr="00A02D14">
        <w:rPr>
          <w:i/>
          <w:iCs/>
          <w:shd w:val="clear" w:color="auto" w:fill="FFFFFF"/>
        </w:rPr>
        <w:t>General and industrial management</w:t>
      </w:r>
      <w:r w:rsidRPr="00A02D14">
        <w:rPr>
          <w:shd w:val="clear" w:color="auto" w:fill="FFFFFF"/>
        </w:rPr>
        <w:t xml:space="preserve">. </w:t>
      </w:r>
      <w:proofErr w:type="spellStart"/>
      <w:r w:rsidRPr="00A02D14">
        <w:rPr>
          <w:shd w:val="clear" w:color="auto" w:fill="FFFFFF"/>
        </w:rPr>
        <w:t>Ravenio</w:t>
      </w:r>
      <w:proofErr w:type="spellEnd"/>
      <w:r w:rsidRPr="00A02D14">
        <w:rPr>
          <w:shd w:val="clear" w:color="auto" w:fill="FFFFFF"/>
        </w:rPr>
        <w:t xml:space="preserve"> Books.</w:t>
      </w:r>
    </w:p>
    <w:p w14:paraId="07BE5D6E" w14:textId="77777777" w:rsidR="00EE0F14" w:rsidRPr="00A02D14" w:rsidRDefault="00EE0F14" w:rsidP="00EE0F14">
      <w:pPr>
        <w:rPr>
          <w:shd w:val="clear" w:color="auto" w:fill="FFFFFF"/>
        </w:rPr>
      </w:pPr>
      <w:r w:rsidRPr="00A02D14">
        <w:rPr>
          <w:shd w:val="clear" w:color="auto" w:fill="FFFFFF"/>
        </w:rPr>
        <w:t xml:space="preserve">Fowler, N., Lindahl, M. and </w:t>
      </w:r>
      <w:proofErr w:type="spellStart"/>
      <w:r w:rsidRPr="00A02D14">
        <w:rPr>
          <w:shd w:val="clear" w:color="auto" w:fill="FFFFFF"/>
        </w:rPr>
        <w:t>Sköld</w:t>
      </w:r>
      <w:proofErr w:type="spellEnd"/>
      <w:r w:rsidRPr="00A02D14">
        <w:rPr>
          <w:shd w:val="clear" w:color="auto" w:fill="FFFFFF"/>
        </w:rPr>
        <w:t xml:space="preserve">, D., 2015. The </w:t>
      </w:r>
      <w:proofErr w:type="spellStart"/>
      <w:r w:rsidRPr="00A02D14">
        <w:rPr>
          <w:shd w:val="clear" w:color="auto" w:fill="FFFFFF"/>
        </w:rPr>
        <w:t>projectification</w:t>
      </w:r>
      <w:proofErr w:type="spellEnd"/>
      <w:r w:rsidRPr="00A02D14">
        <w:rPr>
          <w:shd w:val="clear" w:color="auto" w:fill="FFFFFF"/>
        </w:rPr>
        <w:t xml:space="preserve"> of university research: A study of resistance and accommodation of project management tools &amp; techniques. </w:t>
      </w:r>
      <w:r w:rsidRPr="00A02D14">
        <w:rPr>
          <w:i/>
          <w:iCs/>
          <w:shd w:val="clear" w:color="auto" w:fill="FFFFFF"/>
        </w:rPr>
        <w:t>International Journal of Managing Projects in Business</w:t>
      </w:r>
      <w:r w:rsidRPr="00A02D14">
        <w:rPr>
          <w:shd w:val="clear" w:color="auto" w:fill="FFFFFF"/>
        </w:rPr>
        <w:t>.</w:t>
      </w:r>
    </w:p>
    <w:p w14:paraId="2D130A0C" w14:textId="77777777" w:rsidR="00EE0F14" w:rsidRPr="00A02D14" w:rsidRDefault="00EE0F14" w:rsidP="00EE0F14">
      <w:pPr>
        <w:rPr>
          <w:shd w:val="clear" w:color="auto" w:fill="FFFFFF"/>
        </w:rPr>
      </w:pPr>
      <w:r w:rsidRPr="00A02D14">
        <w:rPr>
          <w:shd w:val="clear" w:color="auto" w:fill="FFFFFF"/>
        </w:rPr>
        <w:t>Griffin, R.W., 2021. </w:t>
      </w:r>
      <w:r w:rsidRPr="00A02D14">
        <w:rPr>
          <w:i/>
          <w:iCs/>
          <w:shd w:val="clear" w:color="auto" w:fill="FFFFFF"/>
        </w:rPr>
        <w:t>Management</w:t>
      </w:r>
      <w:r w:rsidRPr="00A02D14">
        <w:rPr>
          <w:shd w:val="clear" w:color="auto" w:fill="FFFFFF"/>
        </w:rPr>
        <w:t>. Cengage Learning.</w:t>
      </w:r>
    </w:p>
    <w:p w14:paraId="4E7533F8" w14:textId="77777777" w:rsidR="00EE0F14" w:rsidRPr="00A02D14" w:rsidRDefault="00EE0F14" w:rsidP="00EE0F14">
      <w:pPr>
        <w:rPr>
          <w:shd w:val="clear" w:color="auto" w:fill="FFFFFF"/>
        </w:rPr>
      </w:pPr>
      <w:r w:rsidRPr="00A02D14">
        <w:rPr>
          <w:shd w:val="clear" w:color="auto" w:fill="FFFFFF"/>
        </w:rPr>
        <w:t>Kerzner, H., 2019. </w:t>
      </w:r>
      <w:r w:rsidRPr="00A02D14">
        <w:rPr>
          <w:i/>
          <w:iCs/>
          <w:shd w:val="clear" w:color="auto" w:fill="FFFFFF"/>
        </w:rPr>
        <w:t>Using the project management maturity model: strategic planning for project management</w:t>
      </w:r>
      <w:r w:rsidRPr="00A02D14">
        <w:rPr>
          <w:shd w:val="clear" w:color="auto" w:fill="FFFFFF"/>
        </w:rPr>
        <w:t>. John Wiley &amp; Sons.</w:t>
      </w:r>
    </w:p>
    <w:p w14:paraId="0157811F" w14:textId="77777777" w:rsidR="00EE0F14" w:rsidRPr="00A02D14" w:rsidRDefault="00EE0F14" w:rsidP="00EE0F14">
      <w:pPr>
        <w:rPr>
          <w:shd w:val="clear" w:color="auto" w:fill="FFFFFF"/>
        </w:rPr>
      </w:pPr>
      <w:proofErr w:type="spellStart"/>
      <w:r w:rsidRPr="00A02D14">
        <w:rPr>
          <w:shd w:val="clear" w:color="auto" w:fill="FFFFFF"/>
        </w:rPr>
        <w:t>Malenko</w:t>
      </w:r>
      <w:proofErr w:type="spellEnd"/>
      <w:r w:rsidRPr="00A02D14">
        <w:rPr>
          <w:shd w:val="clear" w:color="auto" w:fill="FFFFFF"/>
        </w:rPr>
        <w:t>, A., 2019. Optimal dynamic capital budgeting. </w:t>
      </w:r>
      <w:r w:rsidRPr="00A02D14">
        <w:rPr>
          <w:i/>
          <w:iCs/>
          <w:shd w:val="clear" w:color="auto" w:fill="FFFFFF"/>
        </w:rPr>
        <w:t>The Review of Economic Studies</w:t>
      </w:r>
      <w:r w:rsidRPr="00A02D14">
        <w:rPr>
          <w:shd w:val="clear" w:color="auto" w:fill="FFFFFF"/>
        </w:rPr>
        <w:t>, </w:t>
      </w:r>
      <w:r w:rsidRPr="00A02D14">
        <w:rPr>
          <w:i/>
          <w:iCs/>
          <w:shd w:val="clear" w:color="auto" w:fill="FFFFFF"/>
        </w:rPr>
        <w:t>86</w:t>
      </w:r>
      <w:r w:rsidRPr="00A02D14">
        <w:rPr>
          <w:shd w:val="clear" w:color="auto" w:fill="FFFFFF"/>
        </w:rPr>
        <w:t>(4), pp.1747-1778.</w:t>
      </w:r>
    </w:p>
    <w:p w14:paraId="15013571" w14:textId="77777777" w:rsidR="00EE0F14" w:rsidRPr="00A02D14" w:rsidRDefault="00EE0F14" w:rsidP="00EE0F14">
      <w:pPr>
        <w:rPr>
          <w:shd w:val="clear" w:color="auto" w:fill="FFFFFF"/>
        </w:rPr>
      </w:pPr>
      <w:proofErr w:type="spellStart"/>
      <w:r w:rsidRPr="00A02D14">
        <w:rPr>
          <w:shd w:val="clear" w:color="auto" w:fill="FFFFFF"/>
        </w:rPr>
        <w:t>Milillo</w:t>
      </w:r>
      <w:proofErr w:type="spellEnd"/>
      <w:r w:rsidRPr="00A02D14">
        <w:rPr>
          <w:shd w:val="clear" w:color="auto" w:fill="FFFFFF"/>
        </w:rPr>
        <w:t xml:space="preserve">, P., </w:t>
      </w:r>
      <w:proofErr w:type="spellStart"/>
      <w:r w:rsidRPr="00A02D14">
        <w:rPr>
          <w:shd w:val="clear" w:color="auto" w:fill="FFFFFF"/>
        </w:rPr>
        <w:t>Giardina</w:t>
      </w:r>
      <w:proofErr w:type="spellEnd"/>
      <w:r w:rsidRPr="00A02D14">
        <w:rPr>
          <w:shd w:val="clear" w:color="auto" w:fill="FFFFFF"/>
        </w:rPr>
        <w:t xml:space="preserve">, G., DeJong, M.J., </w:t>
      </w:r>
      <w:proofErr w:type="spellStart"/>
      <w:r w:rsidRPr="00A02D14">
        <w:rPr>
          <w:shd w:val="clear" w:color="auto" w:fill="FFFFFF"/>
        </w:rPr>
        <w:t>Perissin</w:t>
      </w:r>
      <w:proofErr w:type="spellEnd"/>
      <w:r w:rsidRPr="00A02D14">
        <w:rPr>
          <w:shd w:val="clear" w:color="auto" w:fill="FFFFFF"/>
        </w:rPr>
        <w:t xml:space="preserve">, D. and </w:t>
      </w:r>
      <w:proofErr w:type="spellStart"/>
      <w:r w:rsidRPr="00A02D14">
        <w:rPr>
          <w:shd w:val="clear" w:color="auto" w:fill="FFFFFF"/>
        </w:rPr>
        <w:t>Milillo</w:t>
      </w:r>
      <w:proofErr w:type="spellEnd"/>
      <w:r w:rsidRPr="00A02D14">
        <w:rPr>
          <w:shd w:val="clear" w:color="auto" w:fill="FFFFFF"/>
        </w:rPr>
        <w:t xml:space="preserve">, G., 2018. Multi-temporal </w:t>
      </w:r>
      <w:proofErr w:type="spellStart"/>
      <w:r w:rsidRPr="00A02D14">
        <w:rPr>
          <w:shd w:val="clear" w:color="auto" w:fill="FFFFFF"/>
        </w:rPr>
        <w:t>InSAR</w:t>
      </w:r>
      <w:proofErr w:type="spellEnd"/>
      <w:r w:rsidRPr="00A02D14">
        <w:rPr>
          <w:shd w:val="clear" w:color="auto" w:fill="FFFFFF"/>
        </w:rPr>
        <w:t xml:space="preserve"> structural damage assessment: The London </w:t>
      </w:r>
      <w:proofErr w:type="spellStart"/>
      <w:r w:rsidRPr="00A02D14">
        <w:rPr>
          <w:shd w:val="clear" w:color="auto" w:fill="FFFFFF"/>
        </w:rPr>
        <w:t>crossrail</w:t>
      </w:r>
      <w:proofErr w:type="spellEnd"/>
      <w:r w:rsidRPr="00A02D14">
        <w:rPr>
          <w:shd w:val="clear" w:color="auto" w:fill="FFFFFF"/>
        </w:rPr>
        <w:t xml:space="preserve"> case study. </w:t>
      </w:r>
      <w:r w:rsidRPr="00A02D14">
        <w:rPr>
          <w:i/>
          <w:iCs/>
          <w:shd w:val="clear" w:color="auto" w:fill="FFFFFF"/>
        </w:rPr>
        <w:t>Remote Sensing</w:t>
      </w:r>
      <w:r w:rsidRPr="00A02D14">
        <w:rPr>
          <w:shd w:val="clear" w:color="auto" w:fill="FFFFFF"/>
        </w:rPr>
        <w:t>, </w:t>
      </w:r>
      <w:r w:rsidRPr="00A02D14">
        <w:rPr>
          <w:i/>
          <w:iCs/>
          <w:shd w:val="clear" w:color="auto" w:fill="FFFFFF"/>
        </w:rPr>
        <w:t>10</w:t>
      </w:r>
      <w:r w:rsidRPr="00A02D14">
        <w:rPr>
          <w:shd w:val="clear" w:color="auto" w:fill="FFFFFF"/>
        </w:rPr>
        <w:t>(2), p.287.</w:t>
      </w:r>
    </w:p>
    <w:p w14:paraId="6A6BE5D9" w14:textId="77777777" w:rsidR="00EE0F14" w:rsidRPr="00A02D14" w:rsidRDefault="00EE0F14" w:rsidP="00EE0F14">
      <w:pPr>
        <w:rPr>
          <w:shd w:val="clear" w:color="auto" w:fill="FFFFFF"/>
        </w:rPr>
      </w:pPr>
      <w:r w:rsidRPr="00A02D14">
        <w:rPr>
          <w:shd w:val="clear" w:color="auto" w:fill="FFFFFF"/>
        </w:rPr>
        <w:t>Schermerhorn Jr, J.R., Bachrach, D.G. and Wright, B., 2020. </w:t>
      </w:r>
      <w:r w:rsidRPr="00A02D14">
        <w:rPr>
          <w:i/>
          <w:iCs/>
          <w:shd w:val="clear" w:color="auto" w:fill="FFFFFF"/>
        </w:rPr>
        <w:t>Management</w:t>
      </w:r>
      <w:r w:rsidRPr="00A02D14">
        <w:rPr>
          <w:shd w:val="clear" w:color="auto" w:fill="FFFFFF"/>
        </w:rPr>
        <w:t>. John Wiley &amp; Sons.</w:t>
      </w:r>
    </w:p>
    <w:p w14:paraId="485DAB35" w14:textId="77777777" w:rsidR="00230871" w:rsidRPr="00A02D14" w:rsidRDefault="00230871" w:rsidP="0013581C"/>
    <w:sectPr w:rsidR="00230871" w:rsidRPr="00A02D14" w:rsidSect="00772E8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222B1" w14:textId="77777777" w:rsidR="00600208" w:rsidRDefault="00600208" w:rsidP="00772E8F">
      <w:pPr>
        <w:spacing w:after="0" w:line="240" w:lineRule="auto"/>
      </w:pPr>
      <w:r>
        <w:separator/>
      </w:r>
    </w:p>
  </w:endnote>
  <w:endnote w:type="continuationSeparator" w:id="0">
    <w:p w14:paraId="0ACBDB71" w14:textId="77777777" w:rsidR="00600208" w:rsidRDefault="00600208" w:rsidP="00772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029C81" w14:textId="77777777" w:rsidR="0094532C" w:rsidRDefault="009453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210354" w14:textId="77777777" w:rsidR="0094532C" w:rsidRDefault="009453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AA007" w14:textId="77777777" w:rsidR="0094532C" w:rsidRDefault="00945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A53DE" w14:textId="77777777" w:rsidR="00600208" w:rsidRDefault="00600208" w:rsidP="00772E8F">
      <w:pPr>
        <w:spacing w:after="0" w:line="240" w:lineRule="auto"/>
      </w:pPr>
      <w:r>
        <w:separator/>
      </w:r>
    </w:p>
  </w:footnote>
  <w:footnote w:type="continuationSeparator" w:id="0">
    <w:p w14:paraId="09D04E69" w14:textId="77777777" w:rsidR="00600208" w:rsidRDefault="00600208" w:rsidP="00772E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3F442E" w14:textId="77777777" w:rsidR="0094532C" w:rsidRDefault="009453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22524"/>
      <w:docPartObj>
        <w:docPartGallery w:val="Page Numbers (Top of Page)"/>
        <w:docPartUnique/>
      </w:docPartObj>
    </w:sdtPr>
    <w:sdtEndPr/>
    <w:sdtContent>
      <w:p w14:paraId="1EB22B3C" w14:textId="77777777" w:rsidR="00772E8F" w:rsidRDefault="00E908D1">
        <w:pPr>
          <w:pStyle w:val="Header"/>
          <w:jc w:val="right"/>
        </w:pPr>
        <w:r>
          <w:fldChar w:fldCharType="begin"/>
        </w:r>
        <w:r>
          <w:instrText xml:space="preserve"> PAGE   \* MERGEFORMAT </w:instrText>
        </w:r>
        <w:r>
          <w:fldChar w:fldCharType="separate"/>
        </w:r>
        <w:r w:rsidR="00C71D3F">
          <w:rPr>
            <w:noProof/>
          </w:rPr>
          <w:t>2</w:t>
        </w:r>
        <w:r>
          <w:rPr>
            <w:noProof/>
          </w:rPr>
          <w:fldChar w:fldCharType="end"/>
        </w:r>
      </w:p>
    </w:sdtContent>
  </w:sdt>
  <w:p w14:paraId="34316C99" w14:textId="77777777" w:rsidR="00772E8F" w:rsidRDefault="00772E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E7978" w14:textId="77777777" w:rsidR="0094532C" w:rsidRDefault="0094532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4007"/>
    <w:rsid w:val="0003534B"/>
    <w:rsid w:val="00043412"/>
    <w:rsid w:val="00067CBD"/>
    <w:rsid w:val="00092129"/>
    <w:rsid w:val="0009505C"/>
    <w:rsid w:val="00097EF0"/>
    <w:rsid w:val="000C60C4"/>
    <w:rsid w:val="000D1C4E"/>
    <w:rsid w:val="00111E28"/>
    <w:rsid w:val="00112413"/>
    <w:rsid w:val="001170F7"/>
    <w:rsid w:val="00126893"/>
    <w:rsid w:val="0013581C"/>
    <w:rsid w:val="00154B51"/>
    <w:rsid w:val="001609A6"/>
    <w:rsid w:val="001650C3"/>
    <w:rsid w:val="001C5D44"/>
    <w:rsid w:val="001D3694"/>
    <w:rsid w:val="001E1890"/>
    <w:rsid w:val="00207FA6"/>
    <w:rsid w:val="00215482"/>
    <w:rsid w:val="00230871"/>
    <w:rsid w:val="00260F8E"/>
    <w:rsid w:val="002643CC"/>
    <w:rsid w:val="0026638C"/>
    <w:rsid w:val="002731E1"/>
    <w:rsid w:val="002844A6"/>
    <w:rsid w:val="002970BD"/>
    <w:rsid w:val="002E699F"/>
    <w:rsid w:val="002F13BF"/>
    <w:rsid w:val="00312315"/>
    <w:rsid w:val="00330EC7"/>
    <w:rsid w:val="00336E63"/>
    <w:rsid w:val="0035610A"/>
    <w:rsid w:val="003772B5"/>
    <w:rsid w:val="003E7AF8"/>
    <w:rsid w:val="003F103F"/>
    <w:rsid w:val="004057B1"/>
    <w:rsid w:val="00413DD3"/>
    <w:rsid w:val="00427349"/>
    <w:rsid w:val="00491D42"/>
    <w:rsid w:val="004C5BD0"/>
    <w:rsid w:val="004F638F"/>
    <w:rsid w:val="0051176F"/>
    <w:rsid w:val="005149A8"/>
    <w:rsid w:val="005348B9"/>
    <w:rsid w:val="00560582"/>
    <w:rsid w:val="00561CFA"/>
    <w:rsid w:val="0057059F"/>
    <w:rsid w:val="005D02CD"/>
    <w:rsid w:val="005D4C14"/>
    <w:rsid w:val="005E7BF0"/>
    <w:rsid w:val="00600208"/>
    <w:rsid w:val="00603041"/>
    <w:rsid w:val="00604D9E"/>
    <w:rsid w:val="00666B8F"/>
    <w:rsid w:val="0067084D"/>
    <w:rsid w:val="00670967"/>
    <w:rsid w:val="00677D16"/>
    <w:rsid w:val="00695E0E"/>
    <w:rsid w:val="00697B35"/>
    <w:rsid w:val="006D359F"/>
    <w:rsid w:val="006E2187"/>
    <w:rsid w:val="006F36EA"/>
    <w:rsid w:val="00704DF5"/>
    <w:rsid w:val="00711327"/>
    <w:rsid w:val="0072688E"/>
    <w:rsid w:val="00736BE1"/>
    <w:rsid w:val="00737E4A"/>
    <w:rsid w:val="0074551D"/>
    <w:rsid w:val="007641A4"/>
    <w:rsid w:val="00772E8F"/>
    <w:rsid w:val="0078484C"/>
    <w:rsid w:val="00793DF2"/>
    <w:rsid w:val="008074F4"/>
    <w:rsid w:val="00845A3C"/>
    <w:rsid w:val="00852100"/>
    <w:rsid w:val="008705FB"/>
    <w:rsid w:val="00875D5E"/>
    <w:rsid w:val="0089063B"/>
    <w:rsid w:val="00891D6E"/>
    <w:rsid w:val="00895F13"/>
    <w:rsid w:val="008D127C"/>
    <w:rsid w:val="008E643B"/>
    <w:rsid w:val="008F74A7"/>
    <w:rsid w:val="0094532C"/>
    <w:rsid w:val="0095467F"/>
    <w:rsid w:val="009620B8"/>
    <w:rsid w:val="00970BAD"/>
    <w:rsid w:val="009739DC"/>
    <w:rsid w:val="00974F74"/>
    <w:rsid w:val="009A41E6"/>
    <w:rsid w:val="009A6986"/>
    <w:rsid w:val="009B23FE"/>
    <w:rsid w:val="009D1FEF"/>
    <w:rsid w:val="009E2EA9"/>
    <w:rsid w:val="00A02D14"/>
    <w:rsid w:val="00A04AC9"/>
    <w:rsid w:val="00A60F04"/>
    <w:rsid w:val="00A732EA"/>
    <w:rsid w:val="00A7426B"/>
    <w:rsid w:val="00A7445A"/>
    <w:rsid w:val="00A914AA"/>
    <w:rsid w:val="00AC0AFD"/>
    <w:rsid w:val="00AD4579"/>
    <w:rsid w:val="00AE498E"/>
    <w:rsid w:val="00AF4711"/>
    <w:rsid w:val="00B075E7"/>
    <w:rsid w:val="00B11EA1"/>
    <w:rsid w:val="00B16BA3"/>
    <w:rsid w:val="00B22AA6"/>
    <w:rsid w:val="00B6666B"/>
    <w:rsid w:val="00BA6E82"/>
    <w:rsid w:val="00BC5F07"/>
    <w:rsid w:val="00BD3CE7"/>
    <w:rsid w:val="00BF46ED"/>
    <w:rsid w:val="00BF76F2"/>
    <w:rsid w:val="00C22AD2"/>
    <w:rsid w:val="00C51C55"/>
    <w:rsid w:val="00C6249D"/>
    <w:rsid w:val="00C63770"/>
    <w:rsid w:val="00C63CF3"/>
    <w:rsid w:val="00C71D3F"/>
    <w:rsid w:val="00C9003B"/>
    <w:rsid w:val="00C908AA"/>
    <w:rsid w:val="00C94006"/>
    <w:rsid w:val="00CB003C"/>
    <w:rsid w:val="00CD742B"/>
    <w:rsid w:val="00CE0C90"/>
    <w:rsid w:val="00CE1BA0"/>
    <w:rsid w:val="00D17273"/>
    <w:rsid w:val="00D4027D"/>
    <w:rsid w:val="00D4059B"/>
    <w:rsid w:val="00D4148B"/>
    <w:rsid w:val="00D5022B"/>
    <w:rsid w:val="00D656D1"/>
    <w:rsid w:val="00DE3A31"/>
    <w:rsid w:val="00DE69ED"/>
    <w:rsid w:val="00DF5D29"/>
    <w:rsid w:val="00E559E7"/>
    <w:rsid w:val="00E57BFE"/>
    <w:rsid w:val="00E84C79"/>
    <w:rsid w:val="00E908D1"/>
    <w:rsid w:val="00EB4007"/>
    <w:rsid w:val="00EE0F14"/>
    <w:rsid w:val="00F55959"/>
    <w:rsid w:val="00F650B2"/>
    <w:rsid w:val="00FA017A"/>
    <w:rsid w:val="00FB4A20"/>
    <w:rsid w:val="00FB569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47C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1BA0"/>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F46ED"/>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6ED"/>
    <w:rPr>
      <w:rFonts w:ascii="Times New Roman" w:eastAsiaTheme="majorEastAsia" w:hAnsi="Times New Roman" w:cstheme="majorBidi"/>
      <w:b/>
      <w:bCs/>
      <w:color w:val="000000" w:themeColor="text1"/>
      <w:sz w:val="28"/>
      <w:szCs w:val="28"/>
    </w:rPr>
  </w:style>
  <w:style w:type="paragraph" w:styleId="BalloonText">
    <w:name w:val="Balloon Text"/>
    <w:basedOn w:val="Normal"/>
    <w:link w:val="BalloonTextChar"/>
    <w:uiPriority w:val="99"/>
    <w:semiHidden/>
    <w:unhideWhenUsed/>
    <w:rsid w:val="00CD74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742B"/>
    <w:rPr>
      <w:rFonts w:ascii="Tahoma" w:hAnsi="Tahoma" w:cs="Tahoma"/>
      <w:color w:val="000000" w:themeColor="text1"/>
      <w:sz w:val="16"/>
      <w:szCs w:val="16"/>
    </w:rPr>
  </w:style>
  <w:style w:type="paragraph" w:styleId="Header">
    <w:name w:val="header"/>
    <w:basedOn w:val="Normal"/>
    <w:link w:val="HeaderChar"/>
    <w:uiPriority w:val="99"/>
    <w:unhideWhenUsed/>
    <w:rsid w:val="00772E8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2E8F"/>
    <w:rPr>
      <w:rFonts w:ascii="Times New Roman" w:hAnsi="Times New Roman"/>
      <w:color w:val="000000" w:themeColor="text1"/>
      <w:sz w:val="24"/>
    </w:rPr>
  </w:style>
  <w:style w:type="paragraph" w:styleId="Footer">
    <w:name w:val="footer"/>
    <w:basedOn w:val="Normal"/>
    <w:link w:val="FooterChar"/>
    <w:uiPriority w:val="99"/>
    <w:semiHidden/>
    <w:unhideWhenUsed/>
    <w:rsid w:val="00772E8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772E8F"/>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chart" Target="charts/chart1.xm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9724044911053134E-2"/>
          <c:y val="0.14326396700412466"/>
          <c:w val="0.85202482502187304"/>
          <c:h val="0.7278437070366206"/>
        </c:manualLayout>
      </c:layout>
      <c:lineChart>
        <c:grouping val="standard"/>
        <c:varyColors val="0"/>
        <c:ser>
          <c:idx val="0"/>
          <c:order val="0"/>
          <c:tx>
            <c:strRef>
              <c:f>Sheet1!$B$1</c:f>
              <c:strCache>
                <c:ptCount val="1"/>
                <c:pt idx="0">
                  <c:v>Budget (In Billion Pounds)</c:v>
                </c:pt>
              </c:strCache>
            </c:strRef>
          </c:tx>
          <c:spPr>
            <a:ln>
              <a:solidFill>
                <a:schemeClr val="accent1"/>
              </a:solidFill>
            </a:ln>
          </c:spPr>
          <c:marker>
            <c:symbol val="circle"/>
            <c:size val="6"/>
            <c:spPr>
              <a:solidFill>
                <a:schemeClr val="bg1"/>
              </a:solidFill>
              <a:ln>
                <a:solidFill>
                  <a:schemeClr val="accent1"/>
                </a:solidFill>
              </a:ln>
            </c:spPr>
          </c:marker>
          <c:dLbls>
            <c:dLbl>
              <c:idx val="0"/>
              <c:layout>
                <c:manualLayout>
                  <c:x val="-2.1464294146686987E-3"/>
                  <c:y val="5.001143399770533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1FE-4BE6-9222-ACDA6B3D4306}"/>
                </c:ext>
              </c:extLst>
            </c:dLbl>
            <c:dLbl>
              <c:idx val="1"/>
              <c:layout>
                <c:manualLayout>
                  <c:x val="0"/>
                  <c:y val="6.072816985435643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1FE-4BE6-9222-ACDA6B3D4306}"/>
                </c:ext>
              </c:extLst>
            </c:dLbl>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numRef>
              <c:f>Sheet1!$A$2:$A$4</c:f>
              <c:numCache>
                <c:formatCode>General</c:formatCode>
                <c:ptCount val="3"/>
                <c:pt idx="0">
                  <c:v>2009</c:v>
                </c:pt>
                <c:pt idx="1">
                  <c:v>2019</c:v>
                </c:pt>
                <c:pt idx="2">
                  <c:v>2020</c:v>
                </c:pt>
              </c:numCache>
            </c:numRef>
          </c:cat>
          <c:val>
            <c:numRef>
              <c:f>Sheet1!$B$2:$B$4</c:f>
              <c:numCache>
                <c:formatCode>0.00</c:formatCode>
                <c:ptCount val="3"/>
                <c:pt idx="0">
                  <c:v>14.8</c:v>
                </c:pt>
                <c:pt idx="1">
                  <c:v>18.25</c:v>
                </c:pt>
                <c:pt idx="2">
                  <c:v>18.8</c:v>
                </c:pt>
              </c:numCache>
            </c:numRef>
          </c:val>
          <c:smooth val="0"/>
          <c:extLst>
            <c:ext xmlns:c16="http://schemas.microsoft.com/office/drawing/2014/chart" uri="{C3380CC4-5D6E-409C-BE32-E72D297353CC}">
              <c16:uniqueId val="{00000002-C1FE-4BE6-9222-ACDA6B3D4306}"/>
            </c:ext>
          </c:extLst>
        </c:ser>
        <c:dLbls>
          <c:showLegendKey val="0"/>
          <c:showVal val="1"/>
          <c:showCatName val="0"/>
          <c:showSerName val="0"/>
          <c:showPercent val="0"/>
          <c:showBubbleSize val="0"/>
        </c:dLbls>
        <c:marker val="1"/>
        <c:smooth val="0"/>
        <c:axId val="65672320"/>
        <c:axId val="65674240"/>
      </c:lineChart>
      <c:catAx>
        <c:axId val="65672320"/>
        <c:scaling>
          <c:orientation val="minMax"/>
        </c:scaling>
        <c:delete val="0"/>
        <c:axPos val="b"/>
        <c:numFmt formatCode="General" sourceLinked="1"/>
        <c:majorTickMark val="out"/>
        <c:minorTickMark val="none"/>
        <c:tickLblPos val="nextTo"/>
        <c:crossAx val="65674240"/>
        <c:crosses val="autoZero"/>
        <c:auto val="1"/>
        <c:lblAlgn val="ctr"/>
        <c:lblOffset val="100"/>
        <c:noMultiLvlLbl val="0"/>
      </c:catAx>
      <c:valAx>
        <c:axId val="65674240"/>
        <c:scaling>
          <c:orientation val="minMax"/>
        </c:scaling>
        <c:delete val="0"/>
        <c:axPos val="l"/>
        <c:majorGridlines>
          <c:spPr>
            <a:ln>
              <a:noFill/>
            </a:ln>
          </c:spPr>
        </c:majorGridlines>
        <c:numFmt formatCode="0.00" sourceLinked="1"/>
        <c:majorTickMark val="out"/>
        <c:minorTickMark val="none"/>
        <c:tickLblPos val="nextTo"/>
        <c:crossAx val="65672320"/>
        <c:crosses val="autoZero"/>
        <c:crossBetween val="between"/>
      </c:valAx>
      <c:spPr>
        <a:ln>
          <a:solidFill>
            <a:schemeClr val="tx1"/>
          </a:solidFill>
        </a:ln>
      </c:spPr>
    </c:plotArea>
    <c:legend>
      <c:legendPos val="r"/>
      <c:layout>
        <c:manualLayout>
          <c:xMode val="edge"/>
          <c:yMode val="edge"/>
          <c:x val="0.38461924030329558"/>
          <c:y val="2.3644856892888377E-2"/>
          <c:w val="0.377771576981691"/>
          <c:h val="0.11543415297141897"/>
        </c:manualLayout>
      </c:layout>
      <c:overlay val="0"/>
    </c:legend>
    <c:plotVisOnly val="1"/>
    <c:dispBlanksAs val="zero"/>
    <c:showDLblsOverMax val="0"/>
  </c:chart>
  <c:txPr>
    <a:bodyPr/>
    <a:lstStyle/>
    <a:p>
      <a:pPr>
        <a:defRPr sz="1200">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2408</Words>
  <Characters>13729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2022-12-08T17:39:00Z</dcterms:created>
  <dcterms:modified xsi:type="dcterms:W3CDTF">2023-01-08T14:07:00Z</dcterms:modified>
</cp:coreProperties>
</file>