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D22CC3" w14:textId="1728B1EF" w:rsidR="009F5833" w:rsidRPr="00A57FA6" w:rsidRDefault="009F5833" w:rsidP="00583BEA">
      <w:pPr>
        <w:spacing w:line="276" w:lineRule="auto"/>
        <w:jc w:val="center"/>
        <w:rPr>
          <w:rFonts w:ascii="Times New Roman" w:hAnsi="Times New Roman" w:cs="Times New Roman"/>
        </w:rPr>
      </w:pPr>
      <w:r w:rsidRPr="00A57FA6">
        <w:rPr>
          <w:rFonts w:ascii="Times New Roman" w:hAnsi="Times New Roman" w:cs="Times New Roman"/>
          <w:u w:val="single"/>
        </w:rPr>
        <w:t>Dissertation Plan</w:t>
      </w:r>
      <w:r w:rsidR="00F04049" w:rsidRPr="00A57FA6">
        <w:rPr>
          <w:rFonts w:ascii="Times New Roman" w:hAnsi="Times New Roman" w:cs="Times New Roman"/>
          <w:u w:val="single"/>
        </w:rPr>
        <w:t xml:space="preserve"> and Bibliography</w:t>
      </w:r>
    </w:p>
    <w:p w14:paraId="4084395F" w14:textId="77777777" w:rsidR="009F5833" w:rsidRPr="00A57FA6" w:rsidRDefault="009F5833" w:rsidP="00583BEA">
      <w:pPr>
        <w:spacing w:line="276" w:lineRule="auto"/>
        <w:rPr>
          <w:rFonts w:ascii="Times New Roman" w:hAnsi="Times New Roman" w:cs="Times New Roman"/>
        </w:rPr>
      </w:pPr>
    </w:p>
    <w:p w14:paraId="02A9870F" w14:textId="60B2652D" w:rsidR="009F5833" w:rsidRPr="00A57FA6" w:rsidRDefault="009F5833" w:rsidP="00583BEA">
      <w:pPr>
        <w:spacing w:line="276" w:lineRule="auto"/>
        <w:rPr>
          <w:rFonts w:ascii="Times New Roman" w:hAnsi="Times New Roman" w:cs="Times New Roman"/>
        </w:rPr>
      </w:pPr>
      <w:r w:rsidRPr="00A57FA6">
        <w:rPr>
          <w:rFonts w:ascii="Times New Roman" w:hAnsi="Times New Roman" w:cs="Times New Roman"/>
        </w:rPr>
        <w:t>Title:</w:t>
      </w:r>
      <w:r w:rsidR="003B6FF1" w:rsidRPr="00A57FA6">
        <w:rPr>
          <w:rFonts w:ascii="Times New Roman" w:hAnsi="Times New Roman" w:cs="Times New Roman"/>
        </w:rPr>
        <w:t xml:space="preserve"> </w:t>
      </w:r>
      <w:r w:rsidR="003B6FF1" w:rsidRPr="00A57FA6">
        <w:rPr>
          <w:rFonts w:ascii="Times New Roman" w:hAnsi="Times New Roman" w:cs="Times New Roman"/>
          <w:u w:val="single"/>
        </w:rPr>
        <w:t xml:space="preserve">An analysis of the extent </w:t>
      </w:r>
      <w:r w:rsidR="00394C92" w:rsidRPr="00A57FA6">
        <w:rPr>
          <w:rFonts w:ascii="Times New Roman" w:hAnsi="Times New Roman" w:cs="Times New Roman"/>
          <w:u w:val="single"/>
        </w:rPr>
        <w:t xml:space="preserve">and purpose </w:t>
      </w:r>
      <w:r w:rsidR="003B6FF1" w:rsidRPr="00A57FA6">
        <w:rPr>
          <w:rFonts w:ascii="Times New Roman" w:hAnsi="Times New Roman" w:cs="Times New Roman"/>
          <w:u w:val="single"/>
        </w:rPr>
        <w:t>to which Euripides’ characters Electra and Helen have been perceived as ‘masculine’</w:t>
      </w:r>
    </w:p>
    <w:p w14:paraId="210B165E" w14:textId="77777777" w:rsidR="009F5833" w:rsidRPr="00A57FA6" w:rsidRDefault="009F5833" w:rsidP="00583BEA">
      <w:pPr>
        <w:spacing w:line="276" w:lineRule="auto"/>
        <w:rPr>
          <w:rFonts w:ascii="Times New Roman" w:hAnsi="Times New Roman" w:cs="Times New Roman"/>
        </w:rPr>
      </w:pPr>
    </w:p>
    <w:p w14:paraId="100D92E4" w14:textId="77777777" w:rsidR="009F5833" w:rsidRPr="00A57FA6" w:rsidRDefault="009F5833" w:rsidP="00583BEA">
      <w:pPr>
        <w:spacing w:line="276" w:lineRule="auto"/>
        <w:rPr>
          <w:rFonts w:ascii="Times New Roman" w:hAnsi="Times New Roman" w:cs="Times New Roman"/>
          <w:u w:val="single"/>
        </w:rPr>
      </w:pPr>
      <w:r w:rsidRPr="00A57FA6">
        <w:rPr>
          <w:rFonts w:ascii="Times New Roman" w:hAnsi="Times New Roman" w:cs="Times New Roman"/>
          <w:u w:val="single"/>
        </w:rPr>
        <w:t>Plan</w:t>
      </w:r>
    </w:p>
    <w:p w14:paraId="7ECC7B43" w14:textId="77777777" w:rsidR="009F5833" w:rsidRPr="00A57FA6" w:rsidRDefault="009F5833" w:rsidP="00583BEA">
      <w:pPr>
        <w:spacing w:line="276" w:lineRule="auto"/>
        <w:rPr>
          <w:rFonts w:ascii="Times New Roman" w:hAnsi="Times New Roman" w:cs="Times New Roman"/>
        </w:rPr>
      </w:pPr>
    </w:p>
    <w:p w14:paraId="3BCC1453" w14:textId="77777777" w:rsidR="009F5833" w:rsidRPr="00A57FA6" w:rsidRDefault="009F5833" w:rsidP="00583BEA">
      <w:pPr>
        <w:spacing w:line="276" w:lineRule="auto"/>
        <w:rPr>
          <w:rFonts w:ascii="Times New Roman" w:hAnsi="Times New Roman" w:cs="Times New Roman"/>
          <w:i/>
        </w:rPr>
      </w:pPr>
      <w:r w:rsidRPr="00A57FA6">
        <w:rPr>
          <w:rFonts w:ascii="Times New Roman" w:hAnsi="Times New Roman" w:cs="Times New Roman"/>
          <w:i/>
        </w:rPr>
        <w:t>Introduction</w:t>
      </w:r>
    </w:p>
    <w:p w14:paraId="4579741C" w14:textId="0EA44897" w:rsidR="004F0541" w:rsidRPr="00A57FA6" w:rsidRDefault="00765210" w:rsidP="00583BEA">
      <w:pPr>
        <w:spacing w:line="276" w:lineRule="auto"/>
        <w:rPr>
          <w:rFonts w:ascii="Times New Roman" w:hAnsi="Times New Roman" w:cs="Times New Roman"/>
        </w:rPr>
      </w:pPr>
      <w:r w:rsidRPr="00A57FA6">
        <w:rPr>
          <w:rFonts w:ascii="Times New Roman" w:hAnsi="Times New Roman" w:cs="Times New Roman"/>
        </w:rPr>
        <w:tab/>
        <w:t>This dissertation will analyse the characters of Electra</w:t>
      </w:r>
      <w:r w:rsidR="00870607" w:rsidRPr="00A57FA6">
        <w:rPr>
          <w:rStyle w:val="FootnoteReference"/>
          <w:rFonts w:ascii="Times New Roman" w:hAnsi="Times New Roman" w:cs="Times New Roman"/>
        </w:rPr>
        <w:footnoteReference w:id="1"/>
      </w:r>
      <w:r w:rsidRPr="00A57FA6">
        <w:rPr>
          <w:rFonts w:ascii="Times New Roman" w:hAnsi="Times New Roman" w:cs="Times New Roman"/>
        </w:rPr>
        <w:t xml:space="preserve"> and Helen</w:t>
      </w:r>
      <w:r w:rsidR="00870607" w:rsidRPr="00A57FA6">
        <w:rPr>
          <w:rStyle w:val="FootnoteReference"/>
          <w:rFonts w:ascii="Times New Roman" w:hAnsi="Times New Roman" w:cs="Times New Roman"/>
        </w:rPr>
        <w:footnoteReference w:id="2"/>
      </w:r>
      <w:r w:rsidRPr="00A57FA6">
        <w:rPr>
          <w:rFonts w:ascii="Times New Roman" w:hAnsi="Times New Roman" w:cs="Times New Roman"/>
        </w:rPr>
        <w:t xml:space="preserve"> in the plays by Euripides</w:t>
      </w:r>
      <w:r w:rsidR="004F0541" w:rsidRPr="00A57FA6">
        <w:rPr>
          <w:rFonts w:ascii="Times New Roman" w:hAnsi="Times New Roman" w:cs="Times New Roman"/>
        </w:rPr>
        <w:t xml:space="preserve"> and how their behaviour within the plays can be considered ‘masculine’ in the context of fifth century BCE Athens. These plays have been specifically chosen as a result of the way that Euripides writes women and how these women are specifically written. Electra has been written about by both Aeschylus and Sophocles as well, and therefore this representation of her has different portrayals to compare her to. Helen has been written about through classical history, and is portrayed differently each time, in his version Euripides has chosen a different and less well-known version of the Helen myth that provides two versions of Helen, and although the ‘phantom Helen’ is not viewed on stage, she and the ‘real Helen’ both represent and portray something different. Different translations of each play shall be will be used in order to demonstrate and analyse the differences in feminine and masculine values reflected in the translator’s historical context. The main challenge that will be faced with this dissertation is defining what is meant by ‘masculine’ and ‘feminine’ values, especially within an ancient context, as there is limited ancient evidence on the subject. A</w:t>
      </w:r>
      <w:r w:rsidR="006714B6" w:rsidRPr="00A57FA6">
        <w:rPr>
          <w:rFonts w:ascii="Times New Roman" w:hAnsi="Times New Roman" w:cs="Times New Roman"/>
        </w:rPr>
        <w:t>nother challenge that will be faced when writing and researching for this dissertation is that</w:t>
      </w:r>
      <w:r w:rsidR="004F0541" w:rsidRPr="00A57FA6">
        <w:rPr>
          <w:rFonts w:ascii="Times New Roman" w:hAnsi="Times New Roman" w:cs="Times New Roman"/>
        </w:rPr>
        <w:t xml:space="preserve"> the women portrayed in the plays are not usually Athenian and therefore it is unfair to expect the characters to conform to the life of a typical Athenian woman</w:t>
      </w:r>
      <w:r w:rsidR="006714B6" w:rsidRPr="00A57FA6">
        <w:rPr>
          <w:rFonts w:ascii="Times New Roman" w:hAnsi="Times New Roman" w:cs="Times New Roman"/>
        </w:rPr>
        <w:t>, as the cultures and behaviours across the city-states were varied.</w:t>
      </w:r>
    </w:p>
    <w:p w14:paraId="7A4FA8B4" w14:textId="77777777" w:rsidR="009F5833" w:rsidRPr="00A57FA6" w:rsidRDefault="009F5833" w:rsidP="00583BEA">
      <w:pPr>
        <w:spacing w:line="276" w:lineRule="auto"/>
        <w:rPr>
          <w:rFonts w:ascii="Times New Roman" w:hAnsi="Times New Roman" w:cs="Times New Roman"/>
        </w:rPr>
      </w:pPr>
    </w:p>
    <w:p w14:paraId="075D322F" w14:textId="0E99A1E9" w:rsidR="009F5833" w:rsidRPr="00A57FA6" w:rsidRDefault="009F5833" w:rsidP="00583BEA">
      <w:pPr>
        <w:spacing w:line="276" w:lineRule="auto"/>
        <w:rPr>
          <w:rFonts w:ascii="Times New Roman" w:hAnsi="Times New Roman" w:cs="Times New Roman"/>
          <w:i/>
        </w:rPr>
      </w:pPr>
      <w:r w:rsidRPr="00A57FA6">
        <w:rPr>
          <w:rFonts w:ascii="Times New Roman" w:hAnsi="Times New Roman" w:cs="Times New Roman"/>
          <w:i/>
        </w:rPr>
        <w:t xml:space="preserve">Section 1: </w:t>
      </w:r>
      <w:r w:rsidR="00765210" w:rsidRPr="00A57FA6">
        <w:rPr>
          <w:rFonts w:ascii="Times New Roman" w:hAnsi="Times New Roman" w:cs="Times New Roman"/>
          <w:i/>
        </w:rPr>
        <w:t>Theoretical approach and discussion of terms masculine and feminine</w:t>
      </w:r>
    </w:p>
    <w:p w14:paraId="2F646CDF" w14:textId="3FAB58E6" w:rsidR="000042B8" w:rsidRPr="00A57FA6" w:rsidRDefault="003B6FF1" w:rsidP="00583BEA">
      <w:pPr>
        <w:spacing w:line="276" w:lineRule="auto"/>
        <w:rPr>
          <w:rFonts w:ascii="Times New Roman" w:hAnsi="Times New Roman" w:cs="Times New Roman"/>
        </w:rPr>
      </w:pPr>
      <w:r w:rsidRPr="00A57FA6">
        <w:rPr>
          <w:rFonts w:ascii="Times New Roman" w:hAnsi="Times New Roman" w:cs="Times New Roman"/>
        </w:rPr>
        <w:tab/>
      </w:r>
      <w:r w:rsidR="000E773D" w:rsidRPr="00A57FA6">
        <w:rPr>
          <w:rFonts w:ascii="Times New Roman" w:hAnsi="Times New Roman" w:cs="Times New Roman"/>
        </w:rPr>
        <w:t xml:space="preserve">Before the characters of Electra and Helen can be analysed, the terms ‘masculine’ and ‘feminine’ must be discussed in order to define what is meant by these terms in a fifth century BCE Athenian context. These terms will be </w:t>
      </w:r>
      <w:r w:rsidR="000042B8" w:rsidRPr="00A57FA6">
        <w:rPr>
          <w:rFonts w:ascii="Times New Roman" w:hAnsi="Times New Roman" w:cs="Times New Roman"/>
        </w:rPr>
        <w:t xml:space="preserve">analysed and </w:t>
      </w:r>
      <w:r w:rsidR="000E773D" w:rsidRPr="00A57FA6">
        <w:rPr>
          <w:rFonts w:ascii="Times New Roman" w:hAnsi="Times New Roman" w:cs="Times New Roman"/>
        </w:rPr>
        <w:t>defined using modern scholars such as Beard</w:t>
      </w:r>
      <w:r w:rsidR="00167BBE" w:rsidRPr="00A57FA6">
        <w:rPr>
          <w:rFonts w:ascii="Times New Roman" w:hAnsi="Times New Roman" w:cs="Times New Roman"/>
        </w:rPr>
        <w:t>,</w:t>
      </w:r>
      <w:r w:rsidR="00870607" w:rsidRPr="00A57FA6">
        <w:rPr>
          <w:rStyle w:val="FootnoteReference"/>
          <w:rFonts w:ascii="Times New Roman" w:hAnsi="Times New Roman" w:cs="Times New Roman"/>
        </w:rPr>
        <w:footnoteReference w:id="3"/>
      </w:r>
      <w:r w:rsidR="000E773D" w:rsidRPr="00A57FA6">
        <w:rPr>
          <w:rFonts w:ascii="Times New Roman" w:hAnsi="Times New Roman" w:cs="Times New Roman"/>
        </w:rPr>
        <w:t xml:space="preserve"> Just</w:t>
      </w:r>
      <w:r w:rsidR="00870607" w:rsidRPr="00A57FA6">
        <w:rPr>
          <w:rStyle w:val="FootnoteReference"/>
          <w:rFonts w:ascii="Times New Roman" w:hAnsi="Times New Roman" w:cs="Times New Roman"/>
        </w:rPr>
        <w:footnoteReference w:id="4"/>
      </w:r>
      <w:r w:rsidR="000E773D" w:rsidRPr="00A57FA6">
        <w:rPr>
          <w:rFonts w:ascii="Times New Roman" w:hAnsi="Times New Roman" w:cs="Times New Roman"/>
        </w:rPr>
        <w:t xml:space="preserve"> and Seltman</w:t>
      </w:r>
      <w:r w:rsidR="00870607" w:rsidRPr="00A57FA6">
        <w:rPr>
          <w:rStyle w:val="FootnoteReference"/>
          <w:rFonts w:ascii="Times New Roman" w:hAnsi="Times New Roman" w:cs="Times New Roman"/>
        </w:rPr>
        <w:footnoteReference w:id="5"/>
      </w:r>
      <w:r w:rsidR="000E773D" w:rsidRPr="00A57FA6">
        <w:rPr>
          <w:rFonts w:ascii="Times New Roman" w:hAnsi="Times New Roman" w:cs="Times New Roman"/>
        </w:rPr>
        <w:t xml:space="preserve"> and their works on women in antiquity, as well as Xenophon’s Oeconomicus</w:t>
      </w:r>
      <w:r w:rsidR="00167BBE" w:rsidRPr="00A57FA6">
        <w:rPr>
          <w:rFonts w:ascii="Times New Roman" w:hAnsi="Times New Roman" w:cs="Times New Roman"/>
        </w:rPr>
        <w:t>,</w:t>
      </w:r>
      <w:r w:rsidR="00870607" w:rsidRPr="00A57FA6">
        <w:rPr>
          <w:rStyle w:val="FootnoteReference"/>
          <w:rFonts w:ascii="Times New Roman" w:hAnsi="Times New Roman" w:cs="Times New Roman"/>
        </w:rPr>
        <w:footnoteReference w:id="6"/>
      </w:r>
      <w:r w:rsidR="000E773D" w:rsidRPr="00A57FA6">
        <w:rPr>
          <w:rFonts w:ascii="Times New Roman" w:hAnsi="Times New Roman" w:cs="Times New Roman"/>
        </w:rPr>
        <w:t xml:space="preserve"> alongside </w:t>
      </w:r>
      <w:r w:rsidR="000042B8" w:rsidRPr="00A57FA6">
        <w:rPr>
          <w:rFonts w:ascii="Times New Roman" w:hAnsi="Times New Roman" w:cs="Times New Roman"/>
        </w:rPr>
        <w:t>iconography of women such as vase paintings, and headstones on graves displaying women in their day to day lives, and the behaviours that these artefacts portray. The theories discussed within this section to be implemented within the rest of the dissertation include gender theory, feminist theory and performance theory. As women and their behaviour</w:t>
      </w:r>
      <w:r w:rsidR="00167BBE" w:rsidRPr="00A57FA6">
        <w:rPr>
          <w:rFonts w:ascii="Times New Roman" w:hAnsi="Times New Roman" w:cs="Times New Roman"/>
        </w:rPr>
        <w:t>, speech and</w:t>
      </w:r>
      <w:r w:rsidR="000042B8" w:rsidRPr="00A57FA6">
        <w:rPr>
          <w:rFonts w:ascii="Times New Roman" w:hAnsi="Times New Roman" w:cs="Times New Roman"/>
        </w:rPr>
        <w:t xml:space="preserve"> depiction will be researched feminist theory should </w:t>
      </w:r>
      <w:r w:rsidR="000042B8" w:rsidRPr="00A57FA6">
        <w:rPr>
          <w:rFonts w:ascii="Times New Roman" w:hAnsi="Times New Roman" w:cs="Times New Roman"/>
        </w:rPr>
        <w:lastRenderedPageBreak/>
        <w:t xml:space="preserve">be discussed, and scholars such as </w:t>
      </w:r>
      <w:r w:rsidR="00167BBE" w:rsidRPr="00A57FA6">
        <w:rPr>
          <w:rFonts w:ascii="Times New Roman" w:hAnsi="Times New Roman" w:cs="Times New Roman"/>
        </w:rPr>
        <w:t>Gardiner</w:t>
      </w:r>
      <w:r w:rsidR="00167BBE" w:rsidRPr="00A57FA6">
        <w:rPr>
          <w:rStyle w:val="FootnoteReference"/>
          <w:rFonts w:ascii="Times New Roman" w:hAnsi="Times New Roman" w:cs="Times New Roman"/>
        </w:rPr>
        <w:footnoteReference w:id="7"/>
      </w:r>
      <w:r w:rsidR="000042B8" w:rsidRPr="00A57FA6">
        <w:rPr>
          <w:rFonts w:ascii="Times New Roman" w:hAnsi="Times New Roman" w:cs="Times New Roman"/>
        </w:rPr>
        <w:t xml:space="preserve"> will be considered</w:t>
      </w:r>
      <w:r w:rsidR="00167BBE" w:rsidRPr="00A57FA6">
        <w:rPr>
          <w:rFonts w:ascii="Times New Roman" w:hAnsi="Times New Roman" w:cs="Times New Roman"/>
        </w:rPr>
        <w:t xml:space="preserve"> and applied through this essay</w:t>
      </w:r>
      <w:r w:rsidR="000042B8" w:rsidRPr="00A57FA6">
        <w:rPr>
          <w:rFonts w:ascii="Times New Roman" w:hAnsi="Times New Roman" w:cs="Times New Roman"/>
        </w:rPr>
        <w:t xml:space="preserve">. In terms of gender theory </w:t>
      </w:r>
      <w:r w:rsidR="00673C4F" w:rsidRPr="00A57FA6">
        <w:rPr>
          <w:rFonts w:ascii="Times New Roman" w:hAnsi="Times New Roman" w:cs="Times New Roman"/>
        </w:rPr>
        <w:t>Seidler</w:t>
      </w:r>
      <w:r w:rsidR="00673C4F" w:rsidRPr="00A57FA6">
        <w:rPr>
          <w:rStyle w:val="FootnoteReference"/>
          <w:rFonts w:ascii="Times New Roman" w:hAnsi="Times New Roman" w:cs="Times New Roman"/>
        </w:rPr>
        <w:footnoteReference w:id="8"/>
      </w:r>
      <w:r w:rsidR="000042B8" w:rsidRPr="00A57FA6">
        <w:rPr>
          <w:rFonts w:ascii="Times New Roman" w:hAnsi="Times New Roman" w:cs="Times New Roman"/>
        </w:rPr>
        <w:t xml:space="preserve"> and </w:t>
      </w:r>
      <w:r w:rsidR="00EF4101" w:rsidRPr="00A57FA6">
        <w:rPr>
          <w:rFonts w:ascii="Times New Roman" w:hAnsi="Times New Roman" w:cs="Times New Roman"/>
        </w:rPr>
        <w:t>Connell</w:t>
      </w:r>
      <w:r w:rsidR="00EF4101" w:rsidRPr="00A57FA6">
        <w:rPr>
          <w:rStyle w:val="FootnoteReference"/>
          <w:rFonts w:ascii="Times New Roman" w:hAnsi="Times New Roman" w:cs="Times New Roman"/>
        </w:rPr>
        <w:footnoteReference w:id="9"/>
      </w:r>
      <w:r w:rsidR="000042B8" w:rsidRPr="00A57FA6">
        <w:rPr>
          <w:rFonts w:ascii="Times New Roman" w:hAnsi="Times New Roman" w:cs="Times New Roman"/>
        </w:rPr>
        <w:t xml:space="preserve"> and their research will be </w:t>
      </w:r>
      <w:r w:rsidR="009A0557" w:rsidRPr="00A57FA6">
        <w:rPr>
          <w:rFonts w:ascii="Times New Roman" w:hAnsi="Times New Roman" w:cs="Times New Roman"/>
        </w:rPr>
        <w:t>examined</w:t>
      </w:r>
      <w:r w:rsidR="000042B8" w:rsidRPr="00A57FA6">
        <w:rPr>
          <w:rFonts w:ascii="Times New Roman" w:hAnsi="Times New Roman" w:cs="Times New Roman"/>
        </w:rPr>
        <w:t xml:space="preserve"> and </w:t>
      </w:r>
      <w:r w:rsidR="009A0557" w:rsidRPr="00A57FA6">
        <w:rPr>
          <w:rFonts w:ascii="Times New Roman" w:hAnsi="Times New Roman" w:cs="Times New Roman"/>
        </w:rPr>
        <w:t>analysed</w:t>
      </w:r>
      <w:r w:rsidR="000042B8" w:rsidRPr="00A57FA6">
        <w:rPr>
          <w:rFonts w:ascii="Times New Roman" w:hAnsi="Times New Roman" w:cs="Times New Roman"/>
        </w:rPr>
        <w:t xml:space="preserve">. Both Electra and Helen are plays, and as a result performance theory will be used. It is important to consider that the actors on stage performing these plays were men that were portraying women, and therefore </w:t>
      </w:r>
      <w:r w:rsidR="001D3947" w:rsidRPr="00A57FA6">
        <w:rPr>
          <w:rFonts w:ascii="Times New Roman" w:hAnsi="Times New Roman" w:cs="Times New Roman"/>
        </w:rPr>
        <w:t>performance theory must be considered when discussing this topic</w:t>
      </w:r>
      <w:r w:rsidR="00C621A5" w:rsidRPr="00A57FA6">
        <w:rPr>
          <w:rFonts w:ascii="Times New Roman" w:hAnsi="Times New Roman" w:cs="Times New Roman"/>
        </w:rPr>
        <w:t xml:space="preserve"> and therefore, Cawthorn</w:t>
      </w:r>
      <w:r w:rsidR="00C621A5" w:rsidRPr="00A57FA6">
        <w:rPr>
          <w:rStyle w:val="FootnoteReference"/>
          <w:rFonts w:ascii="Times New Roman" w:hAnsi="Times New Roman" w:cs="Times New Roman"/>
        </w:rPr>
        <w:footnoteReference w:id="10"/>
      </w:r>
      <w:r w:rsidR="00C621A5" w:rsidRPr="00A57FA6">
        <w:rPr>
          <w:rFonts w:ascii="Times New Roman" w:hAnsi="Times New Roman" w:cs="Times New Roman"/>
        </w:rPr>
        <w:t xml:space="preserve"> and other scholars’ research shall be studied and regarded</w:t>
      </w:r>
      <w:r w:rsidR="001D3947" w:rsidRPr="00A57FA6">
        <w:rPr>
          <w:rFonts w:ascii="Times New Roman" w:hAnsi="Times New Roman" w:cs="Times New Roman"/>
        </w:rPr>
        <w:t>. In terms of gender and feminist theory, whilst many of the initial ideas for this are contemporary, it is important to not take away from the initial time that the play was written in, and therefore scholars such as Dillon</w:t>
      </w:r>
      <w:r w:rsidR="001D3947" w:rsidRPr="00A57FA6">
        <w:rPr>
          <w:rStyle w:val="FootnoteReference"/>
          <w:rFonts w:ascii="Times New Roman" w:hAnsi="Times New Roman" w:cs="Times New Roman"/>
        </w:rPr>
        <w:footnoteReference w:id="11"/>
      </w:r>
      <w:r w:rsidR="001D3947" w:rsidRPr="00A57FA6">
        <w:rPr>
          <w:rFonts w:ascii="Times New Roman" w:hAnsi="Times New Roman" w:cs="Times New Roman"/>
        </w:rPr>
        <w:t xml:space="preserve"> and his article on ‘Euripides and the Philosophy of his Time’ shall be discussed so that it is possible for these contemporary ideas to be included in the argument.</w:t>
      </w:r>
    </w:p>
    <w:p w14:paraId="76F08457" w14:textId="77777777" w:rsidR="009F5833" w:rsidRPr="00A57FA6" w:rsidRDefault="009F5833" w:rsidP="00583BEA">
      <w:pPr>
        <w:spacing w:line="276" w:lineRule="auto"/>
        <w:rPr>
          <w:rFonts w:ascii="Times New Roman" w:hAnsi="Times New Roman" w:cs="Times New Roman"/>
        </w:rPr>
      </w:pPr>
    </w:p>
    <w:p w14:paraId="4DB5D5E2" w14:textId="29D01C95" w:rsidR="009F5833" w:rsidRPr="00A57FA6" w:rsidRDefault="009F5833" w:rsidP="00583BEA">
      <w:pPr>
        <w:spacing w:line="276" w:lineRule="auto"/>
        <w:rPr>
          <w:rFonts w:ascii="Times New Roman" w:hAnsi="Times New Roman" w:cs="Times New Roman"/>
          <w:i/>
        </w:rPr>
      </w:pPr>
      <w:r w:rsidRPr="00A57FA6">
        <w:rPr>
          <w:rFonts w:ascii="Times New Roman" w:hAnsi="Times New Roman" w:cs="Times New Roman"/>
          <w:i/>
        </w:rPr>
        <w:t xml:space="preserve">Section 2: </w:t>
      </w:r>
      <w:r w:rsidR="001D3947" w:rsidRPr="00A57FA6">
        <w:rPr>
          <w:rFonts w:ascii="Times New Roman" w:hAnsi="Times New Roman" w:cs="Times New Roman"/>
          <w:i/>
        </w:rPr>
        <w:t xml:space="preserve">A close analysis of the behaviour of </w:t>
      </w:r>
      <w:r w:rsidR="00765210" w:rsidRPr="00A57FA6">
        <w:rPr>
          <w:rFonts w:ascii="Times New Roman" w:hAnsi="Times New Roman" w:cs="Times New Roman"/>
          <w:i/>
        </w:rPr>
        <w:t>Electra</w:t>
      </w:r>
    </w:p>
    <w:p w14:paraId="4E30058A" w14:textId="357FEC79" w:rsidR="001D3947" w:rsidRPr="00A57FA6" w:rsidRDefault="00765210" w:rsidP="00583BEA">
      <w:pPr>
        <w:spacing w:line="276" w:lineRule="auto"/>
        <w:rPr>
          <w:rFonts w:ascii="Times New Roman" w:hAnsi="Times New Roman" w:cs="Times New Roman"/>
        </w:rPr>
      </w:pPr>
      <w:r w:rsidRPr="00A57FA6">
        <w:rPr>
          <w:rFonts w:ascii="Times New Roman" w:hAnsi="Times New Roman" w:cs="Times New Roman"/>
        </w:rPr>
        <w:tab/>
        <w:t xml:space="preserve">A close analysis of the text and the character of Electra within the play will identify her behaviour and whether </w:t>
      </w:r>
      <w:r w:rsidR="00FD6A18" w:rsidRPr="00A57FA6">
        <w:rPr>
          <w:rFonts w:ascii="Times New Roman" w:hAnsi="Times New Roman" w:cs="Times New Roman"/>
        </w:rPr>
        <w:t>it</w:t>
      </w:r>
      <w:r w:rsidRPr="00A57FA6">
        <w:rPr>
          <w:rFonts w:ascii="Times New Roman" w:hAnsi="Times New Roman" w:cs="Times New Roman"/>
        </w:rPr>
        <w:t xml:space="preserve"> fits within the definition of ‘masculine’ behaviour</w:t>
      </w:r>
      <w:r w:rsidR="00870607" w:rsidRPr="00A57FA6">
        <w:rPr>
          <w:rFonts w:ascii="Times New Roman" w:hAnsi="Times New Roman" w:cs="Times New Roman"/>
        </w:rPr>
        <w:t xml:space="preserve"> mentioned in the above section, and the extent to which it</w:t>
      </w:r>
      <w:r w:rsidR="000042B8" w:rsidRPr="00A57FA6">
        <w:rPr>
          <w:rFonts w:ascii="Times New Roman" w:hAnsi="Times New Roman" w:cs="Times New Roman"/>
        </w:rPr>
        <w:t xml:space="preserve"> fits. </w:t>
      </w:r>
      <w:r w:rsidR="001D3947" w:rsidRPr="00A57FA6">
        <w:rPr>
          <w:rFonts w:ascii="Times New Roman" w:hAnsi="Times New Roman" w:cs="Times New Roman"/>
        </w:rPr>
        <w:t>Roisman’s commentary</w:t>
      </w:r>
      <w:r w:rsidR="00303C26" w:rsidRPr="00A57FA6">
        <w:rPr>
          <w:rStyle w:val="FootnoteReference"/>
          <w:rFonts w:ascii="Times New Roman" w:hAnsi="Times New Roman" w:cs="Times New Roman"/>
        </w:rPr>
        <w:footnoteReference w:id="12"/>
      </w:r>
      <w:r w:rsidR="001D3947" w:rsidRPr="00A57FA6">
        <w:rPr>
          <w:rFonts w:ascii="Times New Roman" w:hAnsi="Times New Roman" w:cs="Times New Roman"/>
        </w:rPr>
        <w:t xml:space="preserve"> among others shall be considered when analysing the play further, along with scholars such as </w:t>
      </w:r>
      <w:r w:rsidR="009A0557" w:rsidRPr="00A57FA6">
        <w:rPr>
          <w:rFonts w:ascii="Times New Roman" w:hAnsi="Times New Roman" w:cs="Times New Roman"/>
        </w:rPr>
        <w:t>Mossman</w:t>
      </w:r>
      <w:r w:rsidR="009A0557" w:rsidRPr="00A57FA6">
        <w:rPr>
          <w:rStyle w:val="FootnoteReference"/>
          <w:rFonts w:ascii="Times New Roman" w:hAnsi="Times New Roman" w:cs="Times New Roman"/>
        </w:rPr>
        <w:footnoteReference w:id="13"/>
      </w:r>
      <w:r w:rsidR="001D3947" w:rsidRPr="00A57FA6">
        <w:rPr>
          <w:rFonts w:ascii="Times New Roman" w:hAnsi="Times New Roman" w:cs="Times New Roman"/>
        </w:rPr>
        <w:t xml:space="preserve"> and </w:t>
      </w:r>
      <w:r w:rsidR="009A0557" w:rsidRPr="00A57FA6">
        <w:rPr>
          <w:rFonts w:ascii="Times New Roman" w:hAnsi="Times New Roman" w:cs="Times New Roman"/>
        </w:rPr>
        <w:t>Roisman</w:t>
      </w:r>
      <w:r w:rsidR="009A0557" w:rsidRPr="00A57FA6">
        <w:rPr>
          <w:rStyle w:val="FootnoteReference"/>
          <w:rFonts w:ascii="Times New Roman" w:hAnsi="Times New Roman" w:cs="Times New Roman"/>
        </w:rPr>
        <w:footnoteReference w:id="14"/>
      </w:r>
      <w:r w:rsidR="001D3947" w:rsidRPr="00A57FA6">
        <w:rPr>
          <w:rFonts w:ascii="Times New Roman" w:hAnsi="Times New Roman" w:cs="Times New Roman"/>
        </w:rPr>
        <w:t xml:space="preserve"> when examining Electra’s rhetoric and speeches</w:t>
      </w:r>
      <w:r w:rsidR="00D02357" w:rsidRPr="00A57FA6">
        <w:rPr>
          <w:rFonts w:ascii="Times New Roman" w:hAnsi="Times New Roman" w:cs="Times New Roman"/>
        </w:rPr>
        <w:t>, and McHardy</w:t>
      </w:r>
      <w:r w:rsidR="00D02357" w:rsidRPr="00A57FA6">
        <w:rPr>
          <w:rStyle w:val="FootnoteReference"/>
          <w:rFonts w:ascii="Times New Roman" w:hAnsi="Times New Roman" w:cs="Times New Roman"/>
        </w:rPr>
        <w:footnoteReference w:id="15"/>
      </w:r>
      <w:r w:rsidR="001D3947" w:rsidRPr="00A57FA6">
        <w:rPr>
          <w:rFonts w:ascii="Times New Roman" w:hAnsi="Times New Roman" w:cs="Times New Roman"/>
        </w:rPr>
        <w:t xml:space="preserve"> when analysing her actions.</w:t>
      </w:r>
      <w:r w:rsidR="003E2F9B" w:rsidRPr="00A57FA6">
        <w:rPr>
          <w:rFonts w:ascii="Times New Roman" w:hAnsi="Times New Roman" w:cs="Times New Roman"/>
        </w:rPr>
        <w:t xml:space="preserve"> </w:t>
      </w:r>
      <w:r w:rsidR="001D3947" w:rsidRPr="00A57FA6">
        <w:rPr>
          <w:rFonts w:ascii="Times New Roman" w:hAnsi="Times New Roman" w:cs="Times New Roman"/>
        </w:rPr>
        <w:t>Other factors including the change in Electra’s status will also be considered when interpreting her behaviour,</w:t>
      </w:r>
      <w:r w:rsidR="003E2F9B" w:rsidRPr="00A57FA6">
        <w:rPr>
          <w:rStyle w:val="FootnoteReference"/>
          <w:rFonts w:ascii="Times New Roman" w:hAnsi="Times New Roman" w:cs="Times New Roman"/>
        </w:rPr>
        <w:footnoteReference w:id="16"/>
      </w:r>
      <w:r w:rsidR="001D3947" w:rsidRPr="00A57FA6">
        <w:rPr>
          <w:rFonts w:ascii="Times New Roman" w:hAnsi="Times New Roman" w:cs="Times New Roman"/>
        </w:rPr>
        <w:t xml:space="preserve"> as before the play her status was drastically different to that within the play.</w:t>
      </w:r>
    </w:p>
    <w:p w14:paraId="7F149C56" w14:textId="77777777" w:rsidR="009F5833" w:rsidRPr="00A57FA6" w:rsidRDefault="009F5833" w:rsidP="00583BEA">
      <w:pPr>
        <w:spacing w:line="276" w:lineRule="auto"/>
        <w:rPr>
          <w:rFonts w:ascii="Times New Roman" w:hAnsi="Times New Roman" w:cs="Times New Roman"/>
        </w:rPr>
      </w:pPr>
    </w:p>
    <w:p w14:paraId="10F013D8" w14:textId="1219F759" w:rsidR="009F5833" w:rsidRPr="00A57FA6" w:rsidRDefault="009F5833" w:rsidP="00583BEA">
      <w:pPr>
        <w:spacing w:line="276" w:lineRule="auto"/>
        <w:rPr>
          <w:rFonts w:ascii="Times New Roman" w:hAnsi="Times New Roman" w:cs="Times New Roman"/>
          <w:i/>
        </w:rPr>
      </w:pPr>
      <w:r w:rsidRPr="00A57FA6">
        <w:rPr>
          <w:rFonts w:ascii="Times New Roman" w:hAnsi="Times New Roman" w:cs="Times New Roman"/>
          <w:i/>
        </w:rPr>
        <w:t xml:space="preserve">Section 3: </w:t>
      </w:r>
      <w:r w:rsidR="001D3947" w:rsidRPr="00A57FA6">
        <w:rPr>
          <w:rFonts w:ascii="Times New Roman" w:hAnsi="Times New Roman" w:cs="Times New Roman"/>
          <w:i/>
        </w:rPr>
        <w:t xml:space="preserve">A close analysis of the behaviour of </w:t>
      </w:r>
      <w:r w:rsidR="00765210" w:rsidRPr="00A57FA6">
        <w:rPr>
          <w:rFonts w:ascii="Times New Roman" w:hAnsi="Times New Roman" w:cs="Times New Roman"/>
          <w:i/>
        </w:rPr>
        <w:t>Helen</w:t>
      </w:r>
    </w:p>
    <w:p w14:paraId="09010D77" w14:textId="4AD90902" w:rsidR="001D3947" w:rsidRPr="00A57FA6" w:rsidRDefault="00765210" w:rsidP="00583BEA">
      <w:pPr>
        <w:spacing w:line="276" w:lineRule="auto"/>
        <w:rPr>
          <w:rFonts w:ascii="Times New Roman" w:hAnsi="Times New Roman" w:cs="Times New Roman"/>
        </w:rPr>
      </w:pPr>
      <w:r w:rsidRPr="00A57FA6">
        <w:rPr>
          <w:rFonts w:ascii="Times New Roman" w:hAnsi="Times New Roman" w:cs="Times New Roman"/>
        </w:rPr>
        <w:tab/>
        <w:t xml:space="preserve">A close analysis of the text and the character of Helen within the play will identify her behaviour and whether </w:t>
      </w:r>
      <w:r w:rsidR="00FD6A18" w:rsidRPr="00A57FA6">
        <w:rPr>
          <w:rFonts w:ascii="Times New Roman" w:hAnsi="Times New Roman" w:cs="Times New Roman"/>
        </w:rPr>
        <w:t>it</w:t>
      </w:r>
      <w:r w:rsidRPr="00A57FA6">
        <w:rPr>
          <w:rFonts w:ascii="Times New Roman" w:hAnsi="Times New Roman" w:cs="Times New Roman"/>
        </w:rPr>
        <w:t xml:space="preserve"> fits within the definition of ‘masculine’ behaviour</w:t>
      </w:r>
      <w:r w:rsidR="001D3947" w:rsidRPr="00A57FA6">
        <w:rPr>
          <w:rFonts w:ascii="Times New Roman" w:hAnsi="Times New Roman" w:cs="Times New Roman"/>
        </w:rPr>
        <w:t xml:space="preserve"> mentioned in section 1, and the extent to which it fits</w:t>
      </w:r>
      <w:r w:rsidRPr="00A57FA6">
        <w:rPr>
          <w:rFonts w:ascii="Times New Roman" w:hAnsi="Times New Roman" w:cs="Times New Roman"/>
        </w:rPr>
        <w:t xml:space="preserve">. </w:t>
      </w:r>
      <w:r w:rsidR="00FD6A18" w:rsidRPr="00A57FA6">
        <w:rPr>
          <w:rFonts w:ascii="Times New Roman" w:hAnsi="Times New Roman" w:cs="Times New Roman"/>
        </w:rPr>
        <w:t>Allan’s commentary</w:t>
      </w:r>
      <w:r w:rsidR="00FD6A18" w:rsidRPr="00A57FA6">
        <w:rPr>
          <w:rStyle w:val="FootnoteReference"/>
          <w:rFonts w:ascii="Times New Roman" w:hAnsi="Times New Roman" w:cs="Times New Roman"/>
        </w:rPr>
        <w:footnoteReference w:id="17"/>
      </w:r>
      <w:r w:rsidR="00C74AB7" w:rsidRPr="00A57FA6">
        <w:rPr>
          <w:rFonts w:ascii="Times New Roman" w:hAnsi="Times New Roman" w:cs="Times New Roman"/>
        </w:rPr>
        <w:t xml:space="preserve"> will be considered along with others to analyse the play further and develop the argument. </w:t>
      </w:r>
      <w:r w:rsidR="001944BF" w:rsidRPr="00A57FA6">
        <w:rPr>
          <w:rFonts w:ascii="Times New Roman" w:hAnsi="Times New Roman" w:cs="Times New Roman"/>
        </w:rPr>
        <w:t>As mentioned above, there are two versions of Helen within this play, one that is present throughout the play, and the phantom Helen that we hear of when Menelaus finds the real Helen, both of these Helen’s represent something, and therefore shall both be considered through the analysis</w:t>
      </w:r>
      <w:r w:rsidR="00612FBA" w:rsidRPr="00A57FA6">
        <w:rPr>
          <w:rFonts w:ascii="Times New Roman" w:hAnsi="Times New Roman" w:cs="Times New Roman"/>
        </w:rPr>
        <w:t>.</w:t>
      </w:r>
      <w:r w:rsidR="00612FBA" w:rsidRPr="00A57FA6">
        <w:rPr>
          <w:rStyle w:val="FootnoteReference"/>
          <w:rFonts w:ascii="Times New Roman" w:hAnsi="Times New Roman" w:cs="Times New Roman"/>
        </w:rPr>
        <w:footnoteReference w:id="18"/>
      </w:r>
      <w:r w:rsidR="00612FBA" w:rsidRPr="00A57FA6">
        <w:rPr>
          <w:rFonts w:ascii="Times New Roman" w:hAnsi="Times New Roman" w:cs="Times New Roman"/>
        </w:rPr>
        <w:t xml:space="preserve"> </w:t>
      </w:r>
      <w:r w:rsidR="00191A7A" w:rsidRPr="00A57FA6">
        <w:rPr>
          <w:rFonts w:ascii="Times New Roman" w:hAnsi="Times New Roman" w:cs="Times New Roman"/>
        </w:rPr>
        <w:t>Helen is a woman who has been written about through classical history and therefore comparisons to how she is portrayed in other versions of her mythology shall be used to form a deeper analysis, such as her portrayal by Homer in his epic storie</w:t>
      </w:r>
      <w:r w:rsidR="00BC27A9" w:rsidRPr="00A57FA6">
        <w:rPr>
          <w:rFonts w:ascii="Times New Roman" w:hAnsi="Times New Roman" w:cs="Times New Roman"/>
        </w:rPr>
        <w:t>s</w:t>
      </w:r>
      <w:r w:rsidR="00191A7A" w:rsidRPr="00A57FA6">
        <w:rPr>
          <w:rFonts w:ascii="Times New Roman" w:hAnsi="Times New Roman" w:cs="Times New Roman"/>
        </w:rPr>
        <w:t>.</w:t>
      </w:r>
      <w:r w:rsidR="00BC27A9" w:rsidRPr="00A57FA6">
        <w:rPr>
          <w:rFonts w:ascii="Times New Roman" w:hAnsi="Times New Roman" w:cs="Times New Roman"/>
        </w:rPr>
        <w:t xml:space="preserve"> </w:t>
      </w:r>
    </w:p>
    <w:p w14:paraId="78F3158A" w14:textId="77777777" w:rsidR="009F5833" w:rsidRPr="00A57FA6" w:rsidRDefault="009F5833" w:rsidP="00583BEA">
      <w:pPr>
        <w:spacing w:line="276" w:lineRule="auto"/>
        <w:rPr>
          <w:rFonts w:ascii="Times New Roman" w:hAnsi="Times New Roman" w:cs="Times New Roman"/>
        </w:rPr>
      </w:pPr>
    </w:p>
    <w:p w14:paraId="377C67CC" w14:textId="77777777" w:rsidR="00C74AB7" w:rsidRPr="00A57FA6" w:rsidRDefault="009F5833" w:rsidP="00583BEA">
      <w:pPr>
        <w:spacing w:line="276" w:lineRule="auto"/>
        <w:rPr>
          <w:rFonts w:ascii="Times New Roman" w:hAnsi="Times New Roman" w:cs="Times New Roman"/>
          <w:i/>
        </w:rPr>
      </w:pPr>
      <w:r w:rsidRPr="00A57FA6">
        <w:rPr>
          <w:rFonts w:ascii="Times New Roman" w:hAnsi="Times New Roman" w:cs="Times New Roman"/>
          <w:i/>
        </w:rPr>
        <w:t>Conclusion</w:t>
      </w:r>
    </w:p>
    <w:p w14:paraId="41BA4161" w14:textId="5E4421C6" w:rsidR="009F5833" w:rsidRPr="00A57FA6" w:rsidRDefault="001B4DF8" w:rsidP="00583BEA">
      <w:pPr>
        <w:spacing w:line="276" w:lineRule="auto"/>
        <w:rPr>
          <w:rFonts w:ascii="Times New Roman" w:hAnsi="Times New Roman" w:cs="Times New Roman"/>
        </w:rPr>
      </w:pPr>
      <w:r w:rsidRPr="00A57FA6">
        <w:rPr>
          <w:rFonts w:ascii="Times New Roman" w:hAnsi="Times New Roman" w:cs="Times New Roman"/>
        </w:rPr>
        <w:tab/>
        <w:t xml:space="preserve">The conclusion of this dissertation will bring together the analysis of the characters in sections two and three, along with the theories and definitions mentioned in section one to finalise the argument and bring about an answer of whether or not Helen and Electra can be considered as masculine within fifth century BCE Athens. Further avenues of research could include an analysis of other female protagonists within Euripides’ tragedies; it could also include an analysis of other tragic authors and whether or not they also portray their female protagonists as masculine and to what extent that they do. </w:t>
      </w:r>
      <w:r w:rsidR="005C4F0B" w:rsidRPr="00A57FA6">
        <w:rPr>
          <w:rFonts w:ascii="Times New Roman" w:hAnsi="Times New Roman" w:cs="Times New Roman"/>
        </w:rPr>
        <w:t>This conclusion will acknowledge that other academics could interpret the scholarship on masculinity and femininity differently and therefore form a different opinion or conclusion to that displayed within this dissertation.</w:t>
      </w:r>
      <w:r w:rsidR="009F5833" w:rsidRPr="00A57FA6">
        <w:rPr>
          <w:rFonts w:ascii="Times New Roman" w:hAnsi="Times New Roman" w:cs="Times New Roman"/>
        </w:rPr>
        <w:br w:type="page"/>
      </w:r>
    </w:p>
    <w:p w14:paraId="351D75FB" w14:textId="77777777" w:rsidR="009F5833" w:rsidRPr="00A57FA6" w:rsidRDefault="009F5833" w:rsidP="00583BEA">
      <w:pPr>
        <w:spacing w:line="276" w:lineRule="auto"/>
        <w:rPr>
          <w:rFonts w:ascii="Times New Roman" w:hAnsi="Times New Roman" w:cs="Times New Roman"/>
          <w:u w:val="single"/>
        </w:rPr>
      </w:pPr>
      <w:r w:rsidRPr="00A57FA6">
        <w:rPr>
          <w:rFonts w:ascii="Times New Roman" w:hAnsi="Times New Roman" w:cs="Times New Roman"/>
          <w:u w:val="single"/>
        </w:rPr>
        <w:lastRenderedPageBreak/>
        <w:t>Bibliography</w:t>
      </w:r>
    </w:p>
    <w:p w14:paraId="36F3C259" w14:textId="701B2DD2" w:rsidR="009F5833" w:rsidRPr="00A57FA6" w:rsidRDefault="009F5833" w:rsidP="00583BEA">
      <w:pPr>
        <w:spacing w:line="276" w:lineRule="auto"/>
        <w:rPr>
          <w:rFonts w:ascii="Times New Roman" w:hAnsi="Times New Roman" w:cs="Times New Roman"/>
        </w:rPr>
      </w:pPr>
    </w:p>
    <w:p w14:paraId="3D899B70" w14:textId="337E8B40" w:rsidR="009F5833" w:rsidRPr="00A57FA6" w:rsidRDefault="009F5833" w:rsidP="00583BEA">
      <w:pPr>
        <w:spacing w:line="276" w:lineRule="auto"/>
        <w:rPr>
          <w:rFonts w:ascii="Times New Roman" w:hAnsi="Times New Roman" w:cs="Times New Roman"/>
        </w:rPr>
      </w:pPr>
      <w:r w:rsidRPr="00A57FA6">
        <w:rPr>
          <w:rFonts w:ascii="Times New Roman" w:hAnsi="Times New Roman" w:cs="Times New Roman"/>
          <w:b/>
        </w:rPr>
        <w:t>Ancient</w:t>
      </w:r>
      <w:r w:rsidR="00A57FA6">
        <w:rPr>
          <w:rFonts w:ascii="Times New Roman" w:hAnsi="Times New Roman" w:cs="Times New Roman"/>
          <w:b/>
        </w:rPr>
        <w:t xml:space="preserve"> Sources</w:t>
      </w:r>
      <w:r w:rsidRPr="00A57FA6">
        <w:rPr>
          <w:rFonts w:ascii="Times New Roman" w:hAnsi="Times New Roman" w:cs="Times New Roman"/>
        </w:rPr>
        <w:t>:</w:t>
      </w:r>
    </w:p>
    <w:p w14:paraId="6930F0CA" w14:textId="53CE5FAA" w:rsidR="009F5833" w:rsidRPr="00A57FA6" w:rsidRDefault="009F5833" w:rsidP="00583BEA">
      <w:pPr>
        <w:spacing w:line="276" w:lineRule="auto"/>
        <w:rPr>
          <w:rFonts w:ascii="Times New Roman" w:hAnsi="Times New Roman" w:cs="Times New Roman"/>
        </w:rPr>
      </w:pPr>
    </w:p>
    <w:p w14:paraId="2F38DB78" w14:textId="5492315A" w:rsidR="00B253AB" w:rsidRPr="00A57FA6" w:rsidRDefault="00B253AB" w:rsidP="00583BEA">
      <w:pPr>
        <w:spacing w:line="276" w:lineRule="auto"/>
        <w:rPr>
          <w:rFonts w:ascii="Times New Roman" w:hAnsi="Times New Roman" w:cs="Times New Roman"/>
        </w:rPr>
      </w:pPr>
      <w:r w:rsidRPr="00A57FA6">
        <w:rPr>
          <w:rFonts w:ascii="Times New Roman" w:hAnsi="Times New Roman" w:cs="Times New Roman"/>
        </w:rPr>
        <w:t xml:space="preserve">Euripides, </w:t>
      </w:r>
      <w:r w:rsidRPr="00583BEA">
        <w:rPr>
          <w:rFonts w:ascii="Times New Roman" w:hAnsi="Times New Roman" w:cs="Times New Roman"/>
          <w:i/>
        </w:rPr>
        <w:t>Electra</w:t>
      </w:r>
      <w:r w:rsidRPr="00A57FA6">
        <w:rPr>
          <w:rFonts w:ascii="Times New Roman" w:hAnsi="Times New Roman" w:cs="Times New Roman"/>
        </w:rPr>
        <w:t>. A. S. Way (trans.). 1912. London: Willian Heinemann</w:t>
      </w:r>
    </w:p>
    <w:p w14:paraId="78EBE2E5" w14:textId="77777777" w:rsidR="00B253AB" w:rsidRPr="00A57FA6" w:rsidRDefault="00B253AB" w:rsidP="00583BEA">
      <w:pPr>
        <w:spacing w:line="276" w:lineRule="auto"/>
        <w:rPr>
          <w:rFonts w:ascii="Times New Roman" w:hAnsi="Times New Roman" w:cs="Times New Roman"/>
        </w:rPr>
      </w:pPr>
    </w:p>
    <w:p w14:paraId="2FCB883F" w14:textId="077C2EED" w:rsidR="009F5833" w:rsidRPr="00A57FA6" w:rsidRDefault="009F5833" w:rsidP="00583BEA">
      <w:pPr>
        <w:spacing w:line="276" w:lineRule="auto"/>
        <w:rPr>
          <w:rFonts w:ascii="Times New Roman" w:hAnsi="Times New Roman" w:cs="Times New Roman"/>
        </w:rPr>
      </w:pPr>
      <w:r w:rsidRPr="00A57FA6">
        <w:rPr>
          <w:rFonts w:ascii="Times New Roman" w:hAnsi="Times New Roman" w:cs="Times New Roman"/>
        </w:rPr>
        <w:t>Euripides</w:t>
      </w:r>
      <w:r w:rsidR="00B253AB" w:rsidRPr="00A57FA6">
        <w:rPr>
          <w:rFonts w:ascii="Times New Roman" w:hAnsi="Times New Roman" w:cs="Times New Roman"/>
        </w:rPr>
        <w:t xml:space="preserve">, </w:t>
      </w:r>
      <w:r w:rsidR="00B253AB" w:rsidRPr="00583BEA">
        <w:rPr>
          <w:rFonts w:ascii="Times New Roman" w:hAnsi="Times New Roman" w:cs="Times New Roman"/>
          <w:i/>
        </w:rPr>
        <w:t>Helen</w:t>
      </w:r>
      <w:r w:rsidR="00B253AB" w:rsidRPr="00A57FA6">
        <w:rPr>
          <w:rFonts w:ascii="Times New Roman" w:hAnsi="Times New Roman" w:cs="Times New Roman"/>
        </w:rPr>
        <w:t>. A. S. Way (trans.). 1912. Cambridge: Harvard University Press</w:t>
      </w:r>
    </w:p>
    <w:p w14:paraId="4220FCC9" w14:textId="068E77D3" w:rsidR="00B253AB" w:rsidRPr="00A57FA6" w:rsidRDefault="00B253AB" w:rsidP="00583BEA">
      <w:pPr>
        <w:spacing w:line="276" w:lineRule="auto"/>
        <w:rPr>
          <w:rFonts w:ascii="Times New Roman" w:hAnsi="Times New Roman" w:cs="Times New Roman"/>
        </w:rPr>
      </w:pPr>
    </w:p>
    <w:p w14:paraId="4FB0FC5D" w14:textId="3C2DDB43" w:rsidR="00B253AB" w:rsidRPr="00A57FA6" w:rsidRDefault="00B253AB" w:rsidP="00583BEA">
      <w:pPr>
        <w:spacing w:line="276" w:lineRule="auto"/>
        <w:rPr>
          <w:rFonts w:ascii="Times New Roman" w:hAnsi="Times New Roman" w:cs="Times New Roman"/>
        </w:rPr>
      </w:pPr>
      <w:r w:rsidRPr="00A57FA6">
        <w:rPr>
          <w:rFonts w:ascii="Times New Roman" w:hAnsi="Times New Roman" w:cs="Times New Roman"/>
        </w:rPr>
        <w:t xml:space="preserve">Euripides, </w:t>
      </w:r>
      <w:r w:rsidRPr="00583BEA">
        <w:rPr>
          <w:rFonts w:ascii="Times New Roman" w:hAnsi="Times New Roman" w:cs="Times New Roman"/>
          <w:i/>
        </w:rPr>
        <w:t>Medea and Other Plays</w:t>
      </w:r>
      <w:r w:rsidRPr="00A57FA6">
        <w:rPr>
          <w:rFonts w:ascii="Times New Roman" w:hAnsi="Times New Roman" w:cs="Times New Roman"/>
        </w:rPr>
        <w:t xml:space="preserve">. P. </w:t>
      </w:r>
      <w:proofErr w:type="spellStart"/>
      <w:r w:rsidRPr="00A57FA6">
        <w:rPr>
          <w:rFonts w:ascii="Times New Roman" w:hAnsi="Times New Roman" w:cs="Times New Roman"/>
        </w:rPr>
        <w:t>Vellacott</w:t>
      </w:r>
      <w:proofErr w:type="spellEnd"/>
      <w:r w:rsidRPr="00A57FA6">
        <w:rPr>
          <w:rFonts w:ascii="Times New Roman" w:hAnsi="Times New Roman" w:cs="Times New Roman"/>
        </w:rPr>
        <w:t xml:space="preserve"> (trans.). 1963. London: </w:t>
      </w:r>
      <w:r w:rsidR="00150361" w:rsidRPr="00A57FA6">
        <w:rPr>
          <w:rFonts w:ascii="Times New Roman" w:hAnsi="Times New Roman" w:cs="Times New Roman"/>
        </w:rPr>
        <w:t>T</w:t>
      </w:r>
      <w:r w:rsidRPr="00A57FA6">
        <w:rPr>
          <w:rFonts w:ascii="Times New Roman" w:hAnsi="Times New Roman" w:cs="Times New Roman"/>
        </w:rPr>
        <w:t>he Penguin Group</w:t>
      </w:r>
    </w:p>
    <w:p w14:paraId="46415EA6" w14:textId="54D8E0D1" w:rsidR="00765210" w:rsidRPr="00A57FA6" w:rsidRDefault="00765210" w:rsidP="00583BEA">
      <w:pPr>
        <w:spacing w:line="276" w:lineRule="auto"/>
        <w:rPr>
          <w:rFonts w:ascii="Times New Roman" w:hAnsi="Times New Roman" w:cs="Times New Roman"/>
        </w:rPr>
      </w:pPr>
    </w:p>
    <w:p w14:paraId="1F359BF4" w14:textId="4766055B" w:rsidR="00765210" w:rsidRPr="00A57FA6" w:rsidRDefault="00765210" w:rsidP="00583BEA">
      <w:pPr>
        <w:spacing w:line="276" w:lineRule="auto"/>
        <w:rPr>
          <w:rFonts w:ascii="Times New Roman" w:hAnsi="Times New Roman" w:cs="Times New Roman"/>
        </w:rPr>
      </w:pPr>
      <w:r w:rsidRPr="00A57FA6">
        <w:rPr>
          <w:rFonts w:ascii="Times New Roman" w:hAnsi="Times New Roman" w:cs="Times New Roman"/>
        </w:rPr>
        <w:t xml:space="preserve">Euripides, </w:t>
      </w:r>
      <w:r w:rsidRPr="00583BEA">
        <w:rPr>
          <w:rFonts w:ascii="Times New Roman" w:hAnsi="Times New Roman" w:cs="Times New Roman"/>
          <w:i/>
        </w:rPr>
        <w:t>The Bacchae and Other Plays</w:t>
      </w:r>
      <w:r w:rsidRPr="00A57FA6">
        <w:rPr>
          <w:rFonts w:ascii="Times New Roman" w:hAnsi="Times New Roman" w:cs="Times New Roman"/>
        </w:rPr>
        <w:t xml:space="preserve">. P. </w:t>
      </w:r>
      <w:proofErr w:type="spellStart"/>
      <w:r w:rsidRPr="00A57FA6">
        <w:rPr>
          <w:rFonts w:ascii="Times New Roman" w:hAnsi="Times New Roman" w:cs="Times New Roman"/>
        </w:rPr>
        <w:t>Vellacott</w:t>
      </w:r>
      <w:proofErr w:type="spellEnd"/>
      <w:r w:rsidRPr="00A57FA6">
        <w:rPr>
          <w:rFonts w:ascii="Times New Roman" w:hAnsi="Times New Roman" w:cs="Times New Roman"/>
        </w:rPr>
        <w:t xml:space="preserve"> (trans.). 1954. London: The Penguin Group</w:t>
      </w:r>
    </w:p>
    <w:p w14:paraId="32B1E9D0" w14:textId="6E639C63" w:rsidR="00482537" w:rsidRPr="00A57FA6" w:rsidRDefault="00482537" w:rsidP="00583BEA">
      <w:pPr>
        <w:spacing w:line="276" w:lineRule="auto"/>
        <w:rPr>
          <w:rFonts w:ascii="Times New Roman" w:hAnsi="Times New Roman" w:cs="Times New Roman"/>
        </w:rPr>
      </w:pPr>
    </w:p>
    <w:p w14:paraId="7E737B45" w14:textId="22C6C66E" w:rsidR="00482537" w:rsidRDefault="00482537" w:rsidP="00583BEA">
      <w:pPr>
        <w:spacing w:line="276" w:lineRule="auto"/>
        <w:rPr>
          <w:rFonts w:ascii="Times New Roman" w:hAnsi="Times New Roman" w:cs="Times New Roman"/>
        </w:rPr>
      </w:pPr>
      <w:r w:rsidRPr="00A57FA6">
        <w:rPr>
          <w:rFonts w:ascii="Times New Roman" w:hAnsi="Times New Roman" w:cs="Times New Roman"/>
        </w:rPr>
        <w:t xml:space="preserve">Xenophon, </w:t>
      </w:r>
      <w:proofErr w:type="spellStart"/>
      <w:r w:rsidRPr="00583BEA">
        <w:rPr>
          <w:rFonts w:ascii="Times New Roman" w:hAnsi="Times New Roman" w:cs="Times New Roman"/>
          <w:i/>
        </w:rPr>
        <w:t>Oeconomicus</w:t>
      </w:r>
      <w:proofErr w:type="spellEnd"/>
      <w:r w:rsidRPr="00A57FA6">
        <w:rPr>
          <w:rFonts w:ascii="Times New Roman" w:hAnsi="Times New Roman" w:cs="Times New Roman"/>
        </w:rPr>
        <w:t>. E. C. Marchant (trans.). 1923. Cambridge: Harvard University Press</w:t>
      </w:r>
    </w:p>
    <w:p w14:paraId="3EB71E7C" w14:textId="77777777" w:rsidR="00955D28" w:rsidRPr="00A57FA6" w:rsidRDefault="00955D28" w:rsidP="00583BEA">
      <w:pPr>
        <w:spacing w:line="276" w:lineRule="auto"/>
        <w:rPr>
          <w:rFonts w:ascii="Times New Roman" w:hAnsi="Times New Roman" w:cs="Times New Roman"/>
        </w:rPr>
      </w:pPr>
    </w:p>
    <w:p w14:paraId="5B79C869" w14:textId="77777777" w:rsidR="009F5833" w:rsidRPr="00A57FA6" w:rsidRDefault="009F5833" w:rsidP="00583BEA">
      <w:pPr>
        <w:spacing w:line="276" w:lineRule="auto"/>
        <w:rPr>
          <w:rFonts w:ascii="Times New Roman" w:hAnsi="Times New Roman" w:cs="Times New Roman"/>
        </w:rPr>
      </w:pPr>
    </w:p>
    <w:p w14:paraId="16EF0DE6" w14:textId="0042404D" w:rsidR="009F5833" w:rsidRPr="00A57FA6" w:rsidRDefault="009F5833" w:rsidP="00583BEA">
      <w:pPr>
        <w:spacing w:line="276" w:lineRule="auto"/>
        <w:rPr>
          <w:rFonts w:ascii="Times New Roman" w:hAnsi="Times New Roman" w:cs="Times New Roman"/>
        </w:rPr>
      </w:pPr>
      <w:r w:rsidRPr="00A57FA6">
        <w:rPr>
          <w:rFonts w:ascii="Times New Roman" w:hAnsi="Times New Roman" w:cs="Times New Roman"/>
          <w:b/>
        </w:rPr>
        <w:t>Modern</w:t>
      </w:r>
      <w:r w:rsidR="00A57FA6">
        <w:rPr>
          <w:rFonts w:ascii="Times New Roman" w:hAnsi="Times New Roman" w:cs="Times New Roman"/>
          <w:b/>
        </w:rPr>
        <w:t xml:space="preserve"> Sources</w:t>
      </w:r>
      <w:r w:rsidRPr="00A57FA6">
        <w:rPr>
          <w:rFonts w:ascii="Times New Roman" w:hAnsi="Times New Roman" w:cs="Times New Roman"/>
        </w:rPr>
        <w:t>:</w:t>
      </w:r>
    </w:p>
    <w:p w14:paraId="0CD1DF06" w14:textId="1D679370" w:rsidR="009F5833" w:rsidRPr="00A57FA6" w:rsidRDefault="009F5833" w:rsidP="00583BEA">
      <w:pPr>
        <w:spacing w:line="276" w:lineRule="auto"/>
        <w:rPr>
          <w:rFonts w:ascii="Times New Roman" w:hAnsi="Times New Roman" w:cs="Times New Roman"/>
          <w:u w:val="single"/>
        </w:rPr>
      </w:pPr>
    </w:p>
    <w:p w14:paraId="7CAB3FDF" w14:textId="1F1B26E7" w:rsidR="00765210" w:rsidRPr="00A57FA6" w:rsidRDefault="00765210" w:rsidP="00583BEA">
      <w:pPr>
        <w:spacing w:line="276" w:lineRule="auto"/>
        <w:rPr>
          <w:rFonts w:ascii="Times New Roman" w:hAnsi="Times New Roman" w:cs="Times New Roman"/>
        </w:rPr>
      </w:pPr>
      <w:r w:rsidRPr="00A57FA6">
        <w:rPr>
          <w:rFonts w:ascii="Times New Roman" w:hAnsi="Times New Roman" w:cs="Times New Roman"/>
        </w:rPr>
        <w:t xml:space="preserve">Allan, W. 2008. </w:t>
      </w:r>
      <w:r w:rsidRPr="00583BEA">
        <w:rPr>
          <w:rFonts w:ascii="Times New Roman" w:hAnsi="Times New Roman" w:cs="Times New Roman"/>
          <w:i/>
        </w:rPr>
        <w:t>Euripides Helen</w:t>
      </w:r>
      <w:r w:rsidRPr="00A57FA6">
        <w:rPr>
          <w:rFonts w:ascii="Times New Roman" w:hAnsi="Times New Roman" w:cs="Times New Roman"/>
        </w:rPr>
        <w:t>. Cambridge: Cambridge University Press</w:t>
      </w:r>
    </w:p>
    <w:p w14:paraId="6FB02875" w14:textId="540D07B7" w:rsidR="00612FBA" w:rsidRPr="00A57FA6" w:rsidRDefault="00612FBA" w:rsidP="00583BEA">
      <w:pPr>
        <w:spacing w:line="276" w:lineRule="auto"/>
        <w:rPr>
          <w:rFonts w:ascii="Times New Roman" w:hAnsi="Times New Roman" w:cs="Times New Roman"/>
        </w:rPr>
      </w:pPr>
    </w:p>
    <w:p w14:paraId="12EDD106" w14:textId="33D3A7C0" w:rsidR="00612FBA" w:rsidRPr="00A57FA6" w:rsidRDefault="00612FBA" w:rsidP="00583BEA">
      <w:pPr>
        <w:spacing w:line="276" w:lineRule="auto"/>
        <w:rPr>
          <w:rFonts w:ascii="Times New Roman" w:hAnsi="Times New Roman" w:cs="Times New Roman"/>
        </w:rPr>
      </w:pPr>
      <w:r w:rsidRPr="00A57FA6">
        <w:rPr>
          <w:rFonts w:ascii="Times New Roman" w:hAnsi="Times New Roman" w:cs="Times New Roman"/>
        </w:rPr>
        <w:t xml:space="preserve">Austin, N. </w:t>
      </w:r>
      <w:r w:rsidRPr="00583BEA">
        <w:rPr>
          <w:rFonts w:ascii="Times New Roman" w:hAnsi="Times New Roman" w:cs="Times New Roman"/>
          <w:i/>
        </w:rPr>
        <w:t>Helen of Troy and Her Shameless Phantom</w:t>
      </w:r>
      <w:r w:rsidRPr="00A57FA6">
        <w:rPr>
          <w:rFonts w:ascii="Times New Roman" w:hAnsi="Times New Roman" w:cs="Times New Roman"/>
        </w:rPr>
        <w:t>. Ithaca: Cornell University Press</w:t>
      </w:r>
    </w:p>
    <w:p w14:paraId="2C560D90" w14:textId="77777777" w:rsidR="00765210" w:rsidRPr="00A57FA6" w:rsidRDefault="00765210" w:rsidP="00583BEA">
      <w:pPr>
        <w:spacing w:line="276" w:lineRule="auto"/>
        <w:rPr>
          <w:rFonts w:ascii="Times New Roman" w:hAnsi="Times New Roman" w:cs="Times New Roman"/>
        </w:rPr>
      </w:pPr>
    </w:p>
    <w:p w14:paraId="426EEFF5" w14:textId="50BE3723" w:rsidR="00816901" w:rsidRPr="00A57FA6" w:rsidRDefault="00816901" w:rsidP="00583BEA">
      <w:pPr>
        <w:spacing w:line="276" w:lineRule="auto"/>
        <w:rPr>
          <w:rFonts w:ascii="Times New Roman" w:hAnsi="Times New Roman" w:cs="Times New Roman"/>
        </w:rPr>
      </w:pPr>
      <w:r w:rsidRPr="00A57FA6">
        <w:rPr>
          <w:rFonts w:ascii="Times New Roman" w:hAnsi="Times New Roman" w:cs="Times New Roman"/>
        </w:rPr>
        <w:t xml:space="preserve">Beard, M. 1993. ‘The Classical Woman’, </w:t>
      </w:r>
      <w:r w:rsidR="00150361" w:rsidRPr="00583BEA">
        <w:rPr>
          <w:rFonts w:ascii="Times New Roman" w:hAnsi="Times New Roman" w:cs="Times New Roman"/>
          <w:i/>
        </w:rPr>
        <w:t>History</w:t>
      </w:r>
      <w:r w:rsidR="00150361" w:rsidRPr="00A57FA6">
        <w:rPr>
          <w:rFonts w:ascii="Times New Roman" w:hAnsi="Times New Roman" w:cs="Times New Roman"/>
        </w:rPr>
        <w:t xml:space="preserve"> </w:t>
      </w:r>
      <w:r w:rsidR="00150361" w:rsidRPr="00583BEA">
        <w:rPr>
          <w:rFonts w:ascii="Times New Roman" w:hAnsi="Times New Roman" w:cs="Times New Roman"/>
          <w:i/>
        </w:rPr>
        <w:t>Today</w:t>
      </w:r>
      <w:r w:rsidR="00150361" w:rsidRPr="00A57FA6">
        <w:rPr>
          <w:rFonts w:ascii="Times New Roman" w:hAnsi="Times New Roman" w:cs="Times New Roman"/>
        </w:rPr>
        <w:t>. 43, pp. 29-36</w:t>
      </w:r>
    </w:p>
    <w:p w14:paraId="38FB5D0E" w14:textId="77777777" w:rsidR="00816901" w:rsidRPr="00A57FA6" w:rsidRDefault="00816901" w:rsidP="00583BEA">
      <w:pPr>
        <w:spacing w:line="276" w:lineRule="auto"/>
        <w:rPr>
          <w:rFonts w:ascii="Times New Roman" w:hAnsi="Times New Roman" w:cs="Times New Roman"/>
        </w:rPr>
      </w:pPr>
    </w:p>
    <w:p w14:paraId="298FFE37" w14:textId="2B56275F" w:rsidR="00B253AB" w:rsidRPr="00A57FA6" w:rsidRDefault="00B253AB" w:rsidP="00583BEA">
      <w:pPr>
        <w:spacing w:line="276" w:lineRule="auto"/>
        <w:rPr>
          <w:rFonts w:ascii="Times New Roman" w:hAnsi="Times New Roman" w:cs="Times New Roman"/>
        </w:rPr>
      </w:pPr>
      <w:proofErr w:type="spellStart"/>
      <w:r w:rsidRPr="00A57FA6">
        <w:rPr>
          <w:rFonts w:ascii="Times New Roman" w:hAnsi="Times New Roman" w:cs="Times New Roman"/>
        </w:rPr>
        <w:t>Blessington</w:t>
      </w:r>
      <w:proofErr w:type="spellEnd"/>
      <w:r w:rsidRPr="00A57FA6">
        <w:rPr>
          <w:rFonts w:ascii="Times New Roman" w:hAnsi="Times New Roman" w:cs="Times New Roman"/>
        </w:rPr>
        <w:t xml:space="preserve">, F. C. </w:t>
      </w:r>
      <w:r w:rsidR="00583BEA">
        <w:rPr>
          <w:rFonts w:ascii="Times New Roman" w:hAnsi="Times New Roman" w:cs="Times New Roman"/>
        </w:rPr>
        <w:t>2</w:t>
      </w:r>
      <w:r w:rsidRPr="00A57FA6">
        <w:rPr>
          <w:rFonts w:ascii="Times New Roman" w:hAnsi="Times New Roman" w:cs="Times New Roman"/>
        </w:rPr>
        <w:t xml:space="preserve">015. </w:t>
      </w:r>
      <w:r w:rsidRPr="00583BEA">
        <w:rPr>
          <w:rFonts w:ascii="Times New Roman" w:hAnsi="Times New Roman" w:cs="Times New Roman"/>
          <w:i/>
        </w:rPr>
        <w:t>Trojan Women; Helen, Hecuba: three plays about women and the Trojan War</w:t>
      </w:r>
      <w:r w:rsidRPr="00A57FA6">
        <w:rPr>
          <w:rFonts w:ascii="Times New Roman" w:hAnsi="Times New Roman" w:cs="Times New Roman"/>
        </w:rPr>
        <w:t>. Madison: Wisconsin University Press</w:t>
      </w:r>
    </w:p>
    <w:p w14:paraId="02253D62" w14:textId="77777777" w:rsidR="00B253AB" w:rsidRPr="00A57FA6" w:rsidRDefault="00B253AB" w:rsidP="00583BEA">
      <w:pPr>
        <w:spacing w:line="276" w:lineRule="auto"/>
        <w:rPr>
          <w:rFonts w:ascii="Times New Roman" w:hAnsi="Times New Roman" w:cs="Times New Roman"/>
          <w:u w:val="single"/>
        </w:rPr>
      </w:pPr>
    </w:p>
    <w:p w14:paraId="0E599105" w14:textId="32699D44" w:rsidR="00B253AB" w:rsidRPr="00A57FA6" w:rsidRDefault="00B253AB" w:rsidP="00583BEA">
      <w:pPr>
        <w:spacing w:line="276" w:lineRule="auto"/>
        <w:rPr>
          <w:rFonts w:ascii="Times New Roman" w:hAnsi="Times New Roman" w:cs="Times New Roman"/>
        </w:rPr>
      </w:pPr>
      <w:proofErr w:type="spellStart"/>
      <w:r w:rsidRPr="00A57FA6">
        <w:rPr>
          <w:rFonts w:ascii="Times New Roman" w:hAnsi="Times New Roman" w:cs="Times New Roman"/>
        </w:rPr>
        <w:t>Bouvrie</w:t>
      </w:r>
      <w:proofErr w:type="spellEnd"/>
      <w:r w:rsidRPr="00A57FA6">
        <w:rPr>
          <w:rFonts w:ascii="Times New Roman" w:hAnsi="Times New Roman" w:cs="Times New Roman"/>
        </w:rPr>
        <w:t xml:space="preserve">, S. D. 1990. </w:t>
      </w:r>
      <w:r w:rsidRPr="00583BEA">
        <w:rPr>
          <w:rFonts w:ascii="Times New Roman" w:hAnsi="Times New Roman" w:cs="Times New Roman"/>
          <w:i/>
        </w:rPr>
        <w:t>Women in Greek Tragedy: An anthropological Approach</w:t>
      </w:r>
      <w:r w:rsidRPr="00A57FA6">
        <w:rPr>
          <w:rFonts w:ascii="Times New Roman" w:hAnsi="Times New Roman" w:cs="Times New Roman"/>
        </w:rPr>
        <w:t>. Oslo: Norwegian University Press</w:t>
      </w:r>
    </w:p>
    <w:p w14:paraId="18C31378" w14:textId="0ECEAD4D" w:rsidR="00150361" w:rsidRPr="00A57FA6" w:rsidRDefault="00150361" w:rsidP="00583BEA">
      <w:pPr>
        <w:spacing w:line="276" w:lineRule="auto"/>
        <w:rPr>
          <w:rFonts w:ascii="Times New Roman" w:hAnsi="Times New Roman" w:cs="Times New Roman"/>
        </w:rPr>
      </w:pPr>
    </w:p>
    <w:p w14:paraId="29DB1A1F" w14:textId="068C5984" w:rsidR="00150361" w:rsidRPr="00A57FA6" w:rsidRDefault="00150361" w:rsidP="00583BEA">
      <w:pPr>
        <w:spacing w:line="276" w:lineRule="auto"/>
        <w:rPr>
          <w:rFonts w:ascii="Times New Roman" w:hAnsi="Times New Roman" w:cs="Times New Roman"/>
        </w:rPr>
      </w:pPr>
      <w:proofErr w:type="spellStart"/>
      <w:r w:rsidRPr="00A57FA6">
        <w:rPr>
          <w:rFonts w:ascii="Times New Roman" w:hAnsi="Times New Roman" w:cs="Times New Roman"/>
        </w:rPr>
        <w:t>Budin</w:t>
      </w:r>
      <w:proofErr w:type="spellEnd"/>
      <w:r w:rsidRPr="00A57FA6">
        <w:rPr>
          <w:rFonts w:ascii="Times New Roman" w:hAnsi="Times New Roman" w:cs="Times New Roman"/>
        </w:rPr>
        <w:t xml:space="preserve">, S. L. and </w:t>
      </w:r>
      <w:proofErr w:type="spellStart"/>
      <w:r w:rsidRPr="00A57FA6">
        <w:rPr>
          <w:rFonts w:ascii="Times New Roman" w:hAnsi="Times New Roman" w:cs="Times New Roman"/>
        </w:rPr>
        <w:t>Turfa</w:t>
      </w:r>
      <w:proofErr w:type="spellEnd"/>
      <w:r w:rsidRPr="00A57FA6">
        <w:rPr>
          <w:rFonts w:ascii="Times New Roman" w:hAnsi="Times New Roman" w:cs="Times New Roman"/>
        </w:rPr>
        <w:t xml:space="preserve">, J. M. 2016. </w:t>
      </w:r>
      <w:r w:rsidR="00EB1A7D" w:rsidRPr="00583BEA">
        <w:rPr>
          <w:rFonts w:ascii="Times New Roman" w:hAnsi="Times New Roman" w:cs="Times New Roman"/>
          <w:i/>
        </w:rPr>
        <w:t>Women in Antiquity: real women across the ancient world</w:t>
      </w:r>
      <w:r w:rsidR="00EB1A7D" w:rsidRPr="00A57FA6">
        <w:rPr>
          <w:rFonts w:ascii="Times New Roman" w:hAnsi="Times New Roman" w:cs="Times New Roman"/>
        </w:rPr>
        <w:t>. London: Routledge</w:t>
      </w:r>
    </w:p>
    <w:p w14:paraId="5152CBA2" w14:textId="705AE5E8" w:rsidR="00C621A5" w:rsidRPr="00A57FA6" w:rsidRDefault="00C621A5" w:rsidP="00583BEA">
      <w:pPr>
        <w:spacing w:line="276" w:lineRule="auto"/>
        <w:rPr>
          <w:rFonts w:ascii="Times New Roman" w:hAnsi="Times New Roman" w:cs="Times New Roman"/>
        </w:rPr>
      </w:pPr>
    </w:p>
    <w:p w14:paraId="6A32F03D" w14:textId="42BC631F" w:rsidR="00C621A5" w:rsidRPr="00A57FA6" w:rsidRDefault="00C621A5" w:rsidP="00583BEA">
      <w:pPr>
        <w:spacing w:line="276" w:lineRule="auto"/>
        <w:rPr>
          <w:rFonts w:ascii="Times New Roman" w:hAnsi="Times New Roman" w:cs="Times New Roman"/>
        </w:rPr>
      </w:pPr>
      <w:proofErr w:type="spellStart"/>
      <w:r w:rsidRPr="00A57FA6">
        <w:rPr>
          <w:rFonts w:ascii="Times New Roman" w:hAnsi="Times New Roman" w:cs="Times New Roman"/>
        </w:rPr>
        <w:t>Cawthorn</w:t>
      </w:r>
      <w:proofErr w:type="spellEnd"/>
      <w:r w:rsidRPr="00A57FA6">
        <w:rPr>
          <w:rFonts w:ascii="Times New Roman" w:hAnsi="Times New Roman" w:cs="Times New Roman"/>
        </w:rPr>
        <w:t xml:space="preserve">, K. 2008. </w:t>
      </w:r>
      <w:r w:rsidRPr="00583BEA">
        <w:rPr>
          <w:rFonts w:ascii="Times New Roman" w:hAnsi="Times New Roman" w:cs="Times New Roman"/>
          <w:i/>
        </w:rPr>
        <w:t>Becoming Female: The Male Body in Greek Tragedy</w:t>
      </w:r>
      <w:r w:rsidRPr="00A57FA6">
        <w:rPr>
          <w:rFonts w:ascii="Times New Roman" w:hAnsi="Times New Roman" w:cs="Times New Roman"/>
        </w:rPr>
        <w:t>. London: Bloomsbury</w:t>
      </w:r>
    </w:p>
    <w:p w14:paraId="6DA4DCCE" w14:textId="68B7B455" w:rsidR="00167BBE" w:rsidRPr="00A57FA6" w:rsidRDefault="00167BBE" w:rsidP="00583BEA">
      <w:pPr>
        <w:spacing w:line="276" w:lineRule="auto"/>
        <w:rPr>
          <w:rFonts w:ascii="Times New Roman" w:hAnsi="Times New Roman" w:cs="Times New Roman"/>
        </w:rPr>
      </w:pPr>
    </w:p>
    <w:p w14:paraId="6A8E177D" w14:textId="76D16431" w:rsidR="00167BBE" w:rsidRPr="00A57FA6" w:rsidRDefault="00167BBE" w:rsidP="00583BEA">
      <w:pPr>
        <w:spacing w:line="276" w:lineRule="auto"/>
        <w:rPr>
          <w:rFonts w:ascii="Times New Roman" w:hAnsi="Times New Roman" w:cs="Times New Roman"/>
        </w:rPr>
      </w:pPr>
      <w:proofErr w:type="spellStart"/>
      <w:r w:rsidRPr="00A57FA6">
        <w:rPr>
          <w:rFonts w:ascii="Times New Roman" w:hAnsi="Times New Roman" w:cs="Times New Roman"/>
        </w:rPr>
        <w:t>Clatterbaugh</w:t>
      </w:r>
      <w:proofErr w:type="spellEnd"/>
      <w:r w:rsidRPr="00A57FA6">
        <w:rPr>
          <w:rFonts w:ascii="Times New Roman" w:hAnsi="Times New Roman" w:cs="Times New Roman"/>
        </w:rPr>
        <w:t xml:space="preserve">, K. 1997. </w:t>
      </w:r>
      <w:r w:rsidRPr="00583BEA">
        <w:rPr>
          <w:rFonts w:ascii="Times New Roman" w:hAnsi="Times New Roman" w:cs="Times New Roman"/>
          <w:i/>
        </w:rPr>
        <w:t>Contemporary Perspectives on Masculinity: Men, Women, and Politics in Modern Society</w:t>
      </w:r>
      <w:r w:rsidRPr="00A57FA6">
        <w:rPr>
          <w:rFonts w:ascii="Times New Roman" w:hAnsi="Times New Roman" w:cs="Times New Roman"/>
        </w:rPr>
        <w:t>. (2</w:t>
      </w:r>
      <w:r w:rsidRPr="00A57FA6">
        <w:rPr>
          <w:rFonts w:ascii="Times New Roman" w:hAnsi="Times New Roman" w:cs="Times New Roman"/>
          <w:vertAlign w:val="superscript"/>
        </w:rPr>
        <w:t>nd</w:t>
      </w:r>
      <w:r w:rsidRPr="00A57FA6">
        <w:rPr>
          <w:rFonts w:ascii="Times New Roman" w:hAnsi="Times New Roman" w:cs="Times New Roman"/>
        </w:rPr>
        <w:t xml:space="preserve"> ed.) New York: Routledge</w:t>
      </w:r>
    </w:p>
    <w:p w14:paraId="22825394" w14:textId="7CCD13ED" w:rsidR="00EB1A7D" w:rsidRPr="00A57FA6" w:rsidRDefault="00EB1A7D" w:rsidP="00583BEA">
      <w:pPr>
        <w:spacing w:line="276" w:lineRule="auto"/>
        <w:rPr>
          <w:rFonts w:ascii="Times New Roman" w:hAnsi="Times New Roman" w:cs="Times New Roman"/>
        </w:rPr>
      </w:pPr>
    </w:p>
    <w:p w14:paraId="62827005" w14:textId="6406CD35" w:rsidR="00EB1A7D" w:rsidRPr="00A57FA6" w:rsidRDefault="00EB1A7D" w:rsidP="00583BEA">
      <w:pPr>
        <w:spacing w:line="276" w:lineRule="auto"/>
        <w:rPr>
          <w:rFonts w:ascii="Times New Roman" w:hAnsi="Times New Roman" w:cs="Times New Roman"/>
        </w:rPr>
      </w:pPr>
      <w:r w:rsidRPr="00A57FA6">
        <w:rPr>
          <w:rFonts w:ascii="Times New Roman" w:hAnsi="Times New Roman" w:cs="Times New Roman"/>
        </w:rPr>
        <w:t xml:space="preserve">Cohen, D. 1989. ‘Seclusion, separation, and the status of women in classical Athens’, </w:t>
      </w:r>
      <w:r w:rsidRPr="00583BEA">
        <w:rPr>
          <w:rFonts w:ascii="Times New Roman" w:hAnsi="Times New Roman" w:cs="Times New Roman"/>
          <w:i/>
        </w:rPr>
        <w:t>Greece</w:t>
      </w:r>
      <w:r w:rsidRPr="00A57FA6">
        <w:rPr>
          <w:rFonts w:ascii="Times New Roman" w:hAnsi="Times New Roman" w:cs="Times New Roman"/>
        </w:rPr>
        <w:t xml:space="preserve"> </w:t>
      </w:r>
      <w:r w:rsidRPr="00583BEA">
        <w:rPr>
          <w:rFonts w:ascii="Times New Roman" w:hAnsi="Times New Roman" w:cs="Times New Roman"/>
          <w:i/>
        </w:rPr>
        <w:t>and Rome</w:t>
      </w:r>
      <w:r w:rsidRPr="00A57FA6">
        <w:rPr>
          <w:rFonts w:ascii="Times New Roman" w:hAnsi="Times New Roman" w:cs="Times New Roman"/>
        </w:rPr>
        <w:t>. 36, pp. 3-16</w:t>
      </w:r>
    </w:p>
    <w:p w14:paraId="73FB5673" w14:textId="0C305EB6" w:rsidR="006C1DEA" w:rsidRPr="00A57FA6" w:rsidRDefault="006C1DEA" w:rsidP="00583BEA">
      <w:pPr>
        <w:spacing w:line="276" w:lineRule="auto"/>
        <w:rPr>
          <w:rFonts w:ascii="Times New Roman" w:hAnsi="Times New Roman" w:cs="Times New Roman"/>
        </w:rPr>
      </w:pPr>
    </w:p>
    <w:p w14:paraId="36AE1302" w14:textId="2D0F6FE1" w:rsidR="006C1DEA" w:rsidRPr="00A57FA6" w:rsidRDefault="006C1DEA" w:rsidP="00583BEA">
      <w:pPr>
        <w:spacing w:line="276" w:lineRule="auto"/>
        <w:rPr>
          <w:rFonts w:ascii="Times New Roman" w:hAnsi="Times New Roman" w:cs="Times New Roman"/>
        </w:rPr>
      </w:pPr>
      <w:r w:rsidRPr="00A57FA6">
        <w:rPr>
          <w:rFonts w:ascii="Times New Roman" w:hAnsi="Times New Roman" w:cs="Times New Roman"/>
        </w:rPr>
        <w:lastRenderedPageBreak/>
        <w:t xml:space="preserve">Connell, R. W. and Messerschmidt, J. W. 2005. ‘Hegemonic </w:t>
      </w:r>
      <w:r w:rsidR="005F0A4D" w:rsidRPr="00A57FA6">
        <w:rPr>
          <w:rFonts w:ascii="Times New Roman" w:hAnsi="Times New Roman" w:cs="Times New Roman"/>
        </w:rPr>
        <w:t>Masculinity</w:t>
      </w:r>
      <w:r w:rsidRPr="00A57FA6">
        <w:rPr>
          <w:rFonts w:ascii="Times New Roman" w:hAnsi="Times New Roman" w:cs="Times New Roman"/>
        </w:rPr>
        <w:t xml:space="preserve">: Rethinking the Concept’, in </w:t>
      </w:r>
      <w:r w:rsidRPr="00583BEA">
        <w:rPr>
          <w:rFonts w:ascii="Times New Roman" w:hAnsi="Times New Roman" w:cs="Times New Roman"/>
          <w:i/>
        </w:rPr>
        <w:t>Gender and Society</w:t>
      </w:r>
      <w:r w:rsidRPr="00A57FA6">
        <w:rPr>
          <w:rFonts w:ascii="Times New Roman" w:hAnsi="Times New Roman" w:cs="Times New Roman"/>
        </w:rPr>
        <w:t>. 19, 6, pp. 829 - 859</w:t>
      </w:r>
    </w:p>
    <w:p w14:paraId="03FEF14E" w14:textId="77777777" w:rsidR="00B253AB" w:rsidRPr="00A57FA6" w:rsidRDefault="00B253AB" w:rsidP="00583BEA">
      <w:pPr>
        <w:spacing w:line="276" w:lineRule="auto"/>
        <w:rPr>
          <w:rFonts w:ascii="Times New Roman" w:hAnsi="Times New Roman" w:cs="Times New Roman"/>
          <w:u w:val="single"/>
        </w:rPr>
      </w:pPr>
    </w:p>
    <w:p w14:paraId="360B553E" w14:textId="5006979F" w:rsidR="009F5833" w:rsidRPr="00A57FA6" w:rsidRDefault="009F5833" w:rsidP="00583BEA">
      <w:pPr>
        <w:spacing w:line="276" w:lineRule="auto"/>
        <w:rPr>
          <w:rFonts w:ascii="Times New Roman" w:hAnsi="Times New Roman" w:cs="Times New Roman"/>
        </w:rPr>
      </w:pPr>
      <w:r w:rsidRPr="00A57FA6">
        <w:rPr>
          <w:rFonts w:ascii="Times New Roman" w:hAnsi="Times New Roman" w:cs="Times New Roman"/>
        </w:rPr>
        <w:t>Dillon, J. 2004. ‘Euripides and the philosophy of his time’,</w:t>
      </w:r>
      <w:r w:rsidR="00583BEA">
        <w:rPr>
          <w:rFonts w:ascii="Times New Roman" w:hAnsi="Times New Roman" w:cs="Times New Roman"/>
        </w:rPr>
        <w:t xml:space="preserve"> in</w:t>
      </w:r>
      <w:r w:rsidRPr="00A57FA6">
        <w:rPr>
          <w:rFonts w:ascii="Times New Roman" w:hAnsi="Times New Roman" w:cs="Times New Roman"/>
        </w:rPr>
        <w:t xml:space="preserve"> </w:t>
      </w:r>
      <w:r w:rsidRPr="00583BEA">
        <w:rPr>
          <w:rFonts w:ascii="Times New Roman" w:hAnsi="Times New Roman" w:cs="Times New Roman"/>
          <w:i/>
        </w:rPr>
        <w:t>Classics Ireland</w:t>
      </w:r>
      <w:r w:rsidRPr="00A57FA6">
        <w:rPr>
          <w:rFonts w:ascii="Times New Roman" w:hAnsi="Times New Roman" w:cs="Times New Roman"/>
        </w:rPr>
        <w:t>. 11, pp. 47-73</w:t>
      </w:r>
    </w:p>
    <w:p w14:paraId="2814DDFF" w14:textId="5235D9F2" w:rsidR="003B68F0" w:rsidRPr="00A57FA6" w:rsidRDefault="003B68F0" w:rsidP="00583BEA">
      <w:pPr>
        <w:spacing w:line="276" w:lineRule="auto"/>
        <w:rPr>
          <w:rFonts w:ascii="Times New Roman" w:hAnsi="Times New Roman" w:cs="Times New Roman"/>
        </w:rPr>
      </w:pPr>
    </w:p>
    <w:p w14:paraId="76F6F29A" w14:textId="00F366A5" w:rsidR="00EB1A7D" w:rsidRPr="00A57FA6" w:rsidRDefault="00EB1A7D" w:rsidP="00583BEA">
      <w:pPr>
        <w:spacing w:line="276" w:lineRule="auto"/>
        <w:rPr>
          <w:rFonts w:ascii="Times New Roman" w:hAnsi="Times New Roman" w:cs="Times New Roman"/>
        </w:rPr>
      </w:pPr>
      <w:proofErr w:type="spellStart"/>
      <w:r w:rsidRPr="00A57FA6">
        <w:rPr>
          <w:rFonts w:ascii="Times New Roman" w:hAnsi="Times New Roman" w:cs="Times New Roman"/>
        </w:rPr>
        <w:t>Fantham</w:t>
      </w:r>
      <w:proofErr w:type="spellEnd"/>
      <w:r w:rsidR="00390B7F" w:rsidRPr="00A57FA6">
        <w:rPr>
          <w:rFonts w:ascii="Times New Roman" w:hAnsi="Times New Roman" w:cs="Times New Roman"/>
        </w:rPr>
        <w:t>, E</w:t>
      </w:r>
      <w:r w:rsidR="00482537" w:rsidRPr="00A57FA6">
        <w:rPr>
          <w:rFonts w:ascii="Times New Roman" w:hAnsi="Times New Roman" w:cs="Times New Roman"/>
        </w:rPr>
        <w:t xml:space="preserve">. 1995. </w:t>
      </w:r>
      <w:r w:rsidR="00482537" w:rsidRPr="00583BEA">
        <w:rPr>
          <w:rFonts w:ascii="Times New Roman" w:hAnsi="Times New Roman" w:cs="Times New Roman"/>
          <w:i/>
        </w:rPr>
        <w:t>Women in the classical world: Image and text</w:t>
      </w:r>
      <w:r w:rsidR="00482537" w:rsidRPr="00A57FA6">
        <w:rPr>
          <w:rFonts w:ascii="Times New Roman" w:hAnsi="Times New Roman" w:cs="Times New Roman"/>
        </w:rPr>
        <w:t>. Oxford: Oxford University Press</w:t>
      </w:r>
    </w:p>
    <w:p w14:paraId="1563CFA1" w14:textId="77777777" w:rsidR="00EB1A7D" w:rsidRPr="00A57FA6" w:rsidRDefault="00EB1A7D" w:rsidP="00583BEA">
      <w:pPr>
        <w:spacing w:line="276" w:lineRule="auto"/>
        <w:rPr>
          <w:rFonts w:ascii="Times New Roman" w:hAnsi="Times New Roman" w:cs="Times New Roman"/>
        </w:rPr>
      </w:pPr>
    </w:p>
    <w:p w14:paraId="51D6032B" w14:textId="77FBC0E5" w:rsidR="003B68F0" w:rsidRPr="00A57FA6" w:rsidRDefault="003B68F0" w:rsidP="00583BEA">
      <w:pPr>
        <w:spacing w:line="276" w:lineRule="auto"/>
        <w:rPr>
          <w:rFonts w:ascii="Times New Roman" w:hAnsi="Times New Roman" w:cs="Times New Roman"/>
        </w:rPr>
      </w:pPr>
      <w:r w:rsidRPr="00A57FA6">
        <w:rPr>
          <w:rFonts w:ascii="Times New Roman" w:hAnsi="Times New Roman" w:cs="Times New Roman"/>
        </w:rPr>
        <w:t xml:space="preserve">Ferguson, J. 1972. </w:t>
      </w:r>
      <w:r w:rsidRPr="00583BEA">
        <w:rPr>
          <w:rFonts w:ascii="Times New Roman" w:hAnsi="Times New Roman" w:cs="Times New Roman"/>
          <w:i/>
        </w:rPr>
        <w:t>A Companion to Greek Tragedy</w:t>
      </w:r>
      <w:r w:rsidRPr="00A57FA6">
        <w:rPr>
          <w:rFonts w:ascii="Times New Roman" w:hAnsi="Times New Roman" w:cs="Times New Roman"/>
        </w:rPr>
        <w:t>. Austin: University of Texas Press</w:t>
      </w:r>
    </w:p>
    <w:p w14:paraId="2AC8D352" w14:textId="755FB2A6" w:rsidR="000660E5" w:rsidRPr="00A57FA6" w:rsidRDefault="000660E5" w:rsidP="00583BEA">
      <w:pPr>
        <w:spacing w:line="276" w:lineRule="auto"/>
        <w:rPr>
          <w:rFonts w:ascii="Times New Roman" w:hAnsi="Times New Roman" w:cs="Times New Roman"/>
        </w:rPr>
      </w:pPr>
    </w:p>
    <w:p w14:paraId="73557D8B" w14:textId="368A5A5F" w:rsidR="000660E5" w:rsidRPr="00A57FA6" w:rsidRDefault="000660E5" w:rsidP="00583BEA">
      <w:pPr>
        <w:spacing w:line="276" w:lineRule="auto"/>
        <w:rPr>
          <w:rFonts w:ascii="Times New Roman" w:hAnsi="Times New Roman" w:cs="Times New Roman"/>
        </w:rPr>
      </w:pPr>
      <w:r w:rsidRPr="00A57FA6">
        <w:rPr>
          <w:rFonts w:ascii="Times New Roman" w:hAnsi="Times New Roman" w:cs="Times New Roman"/>
        </w:rPr>
        <w:t xml:space="preserve">Foley, H, P. 2003. </w:t>
      </w:r>
      <w:r w:rsidRPr="00583BEA">
        <w:rPr>
          <w:rFonts w:ascii="Times New Roman" w:hAnsi="Times New Roman" w:cs="Times New Roman"/>
          <w:i/>
        </w:rPr>
        <w:t>Female Acts in Greek Tragedy</w:t>
      </w:r>
      <w:r w:rsidRPr="00A57FA6">
        <w:rPr>
          <w:rFonts w:ascii="Times New Roman" w:hAnsi="Times New Roman" w:cs="Times New Roman"/>
        </w:rPr>
        <w:t>. Princeton: Princeton University Press</w:t>
      </w:r>
    </w:p>
    <w:p w14:paraId="74B9B3E4" w14:textId="133739AD" w:rsidR="00612FBA" w:rsidRPr="00A57FA6" w:rsidRDefault="00612FBA" w:rsidP="00583BEA">
      <w:pPr>
        <w:spacing w:line="276" w:lineRule="auto"/>
        <w:rPr>
          <w:rFonts w:ascii="Times New Roman" w:hAnsi="Times New Roman" w:cs="Times New Roman"/>
        </w:rPr>
      </w:pPr>
    </w:p>
    <w:p w14:paraId="48AC6176" w14:textId="02414F7B" w:rsidR="00612FBA" w:rsidRPr="00A57FA6" w:rsidRDefault="00612FBA" w:rsidP="00583BEA">
      <w:pPr>
        <w:spacing w:line="276" w:lineRule="auto"/>
        <w:rPr>
          <w:rFonts w:ascii="Times New Roman" w:hAnsi="Times New Roman" w:cs="Times New Roman"/>
        </w:rPr>
      </w:pPr>
      <w:r w:rsidRPr="00A57FA6">
        <w:rPr>
          <w:rFonts w:ascii="Times New Roman" w:hAnsi="Times New Roman" w:cs="Times New Roman"/>
        </w:rPr>
        <w:t xml:space="preserve">Foxhall, L. and Salmon, J. 1998. </w:t>
      </w:r>
      <w:r w:rsidRPr="00583BEA">
        <w:rPr>
          <w:rFonts w:ascii="Times New Roman" w:hAnsi="Times New Roman" w:cs="Times New Roman"/>
          <w:i/>
        </w:rPr>
        <w:t>When Men Were Men: Masculinity, Power and Identity in Classical Antiquity</w:t>
      </w:r>
      <w:r w:rsidRPr="00A57FA6">
        <w:rPr>
          <w:rFonts w:ascii="Times New Roman" w:hAnsi="Times New Roman" w:cs="Times New Roman"/>
        </w:rPr>
        <w:t>. London: Routledge</w:t>
      </w:r>
    </w:p>
    <w:p w14:paraId="5371A118" w14:textId="036404FD" w:rsidR="00167BBE" w:rsidRPr="00A57FA6" w:rsidRDefault="00167BBE" w:rsidP="00583BEA">
      <w:pPr>
        <w:spacing w:line="276" w:lineRule="auto"/>
        <w:rPr>
          <w:rFonts w:ascii="Times New Roman" w:hAnsi="Times New Roman" w:cs="Times New Roman"/>
        </w:rPr>
      </w:pPr>
    </w:p>
    <w:p w14:paraId="69FC1D05" w14:textId="75B462AC" w:rsidR="00167BBE" w:rsidRPr="00A57FA6" w:rsidRDefault="00167BBE" w:rsidP="00583BEA">
      <w:pPr>
        <w:spacing w:line="276" w:lineRule="auto"/>
        <w:rPr>
          <w:rFonts w:ascii="Times New Roman" w:hAnsi="Times New Roman" w:cs="Times New Roman"/>
        </w:rPr>
      </w:pPr>
      <w:r w:rsidRPr="00A57FA6">
        <w:rPr>
          <w:rFonts w:ascii="Times New Roman" w:hAnsi="Times New Roman" w:cs="Times New Roman"/>
        </w:rPr>
        <w:t xml:space="preserve">Gardiner, J. 2002. </w:t>
      </w:r>
      <w:r w:rsidRPr="00583BEA">
        <w:rPr>
          <w:rFonts w:ascii="Times New Roman" w:hAnsi="Times New Roman" w:cs="Times New Roman"/>
          <w:i/>
        </w:rPr>
        <w:t>Masculinity Studies and Feminist Theory: New Directions</w:t>
      </w:r>
      <w:r w:rsidRPr="00A57FA6">
        <w:rPr>
          <w:rFonts w:ascii="Times New Roman" w:hAnsi="Times New Roman" w:cs="Times New Roman"/>
        </w:rPr>
        <w:t>. New York: Columbia University Press</w:t>
      </w:r>
    </w:p>
    <w:p w14:paraId="57E197AA" w14:textId="77777777" w:rsidR="009F5833" w:rsidRPr="00A57FA6" w:rsidRDefault="009F5833" w:rsidP="00583BEA">
      <w:pPr>
        <w:spacing w:line="276" w:lineRule="auto"/>
        <w:rPr>
          <w:rFonts w:ascii="Times New Roman" w:hAnsi="Times New Roman" w:cs="Times New Roman"/>
        </w:rPr>
      </w:pPr>
    </w:p>
    <w:p w14:paraId="140D7B03" w14:textId="530CD115" w:rsidR="009F5833" w:rsidRPr="00A57FA6" w:rsidRDefault="009F5833" w:rsidP="00583BEA">
      <w:pPr>
        <w:spacing w:line="276" w:lineRule="auto"/>
        <w:rPr>
          <w:rFonts w:ascii="Times New Roman" w:hAnsi="Times New Roman" w:cs="Times New Roman"/>
        </w:rPr>
      </w:pPr>
      <w:r w:rsidRPr="00A57FA6">
        <w:rPr>
          <w:rFonts w:ascii="Times New Roman" w:hAnsi="Times New Roman" w:cs="Times New Roman"/>
        </w:rPr>
        <w:t xml:space="preserve">Gregory, J. W. 2005. </w:t>
      </w:r>
      <w:r w:rsidRPr="00583BEA">
        <w:rPr>
          <w:rFonts w:ascii="Times New Roman" w:hAnsi="Times New Roman" w:cs="Times New Roman"/>
          <w:i/>
        </w:rPr>
        <w:t>A Companion to Greek Tragedy</w:t>
      </w:r>
      <w:r w:rsidRPr="00A57FA6">
        <w:rPr>
          <w:rFonts w:ascii="Times New Roman" w:hAnsi="Times New Roman" w:cs="Times New Roman"/>
        </w:rPr>
        <w:t>. Oxford: Blackwell</w:t>
      </w:r>
    </w:p>
    <w:p w14:paraId="2DBDEB7F" w14:textId="6A002AF2" w:rsidR="00BE27A0" w:rsidRPr="00A57FA6" w:rsidRDefault="00BE27A0" w:rsidP="00583BEA">
      <w:pPr>
        <w:spacing w:line="276" w:lineRule="auto"/>
        <w:rPr>
          <w:rFonts w:ascii="Times New Roman" w:hAnsi="Times New Roman" w:cs="Times New Roman"/>
        </w:rPr>
      </w:pPr>
    </w:p>
    <w:p w14:paraId="237C6E84" w14:textId="65D036AC" w:rsidR="00BE27A0" w:rsidRPr="00A57FA6" w:rsidRDefault="00BE27A0" w:rsidP="00583BEA">
      <w:pPr>
        <w:spacing w:line="276" w:lineRule="auto"/>
        <w:rPr>
          <w:rFonts w:ascii="Times New Roman" w:hAnsi="Times New Roman" w:cs="Times New Roman"/>
        </w:rPr>
      </w:pPr>
      <w:proofErr w:type="spellStart"/>
      <w:r w:rsidRPr="00A57FA6">
        <w:rPr>
          <w:rFonts w:ascii="Times New Roman" w:hAnsi="Times New Roman" w:cs="Times New Roman"/>
        </w:rPr>
        <w:t>Goward</w:t>
      </w:r>
      <w:proofErr w:type="spellEnd"/>
      <w:r w:rsidRPr="00A57FA6">
        <w:rPr>
          <w:rFonts w:ascii="Times New Roman" w:hAnsi="Times New Roman" w:cs="Times New Roman"/>
        </w:rPr>
        <w:t xml:space="preserve">, B. </w:t>
      </w:r>
      <w:r w:rsidR="000660E5" w:rsidRPr="00A57FA6">
        <w:rPr>
          <w:rFonts w:ascii="Times New Roman" w:hAnsi="Times New Roman" w:cs="Times New Roman"/>
        </w:rPr>
        <w:t xml:space="preserve">1999. </w:t>
      </w:r>
      <w:r w:rsidR="000660E5" w:rsidRPr="00583BEA">
        <w:rPr>
          <w:rFonts w:ascii="Times New Roman" w:hAnsi="Times New Roman" w:cs="Times New Roman"/>
          <w:i/>
        </w:rPr>
        <w:t>Telling Tragedy: Narrative Technique in Aeschylus, Sophocles and Euripides</w:t>
      </w:r>
      <w:r w:rsidR="000660E5" w:rsidRPr="00A57FA6">
        <w:rPr>
          <w:rFonts w:ascii="Times New Roman" w:hAnsi="Times New Roman" w:cs="Times New Roman"/>
        </w:rPr>
        <w:t>. London: Duckworth</w:t>
      </w:r>
    </w:p>
    <w:p w14:paraId="5CE30B76" w14:textId="77777777" w:rsidR="009F5833" w:rsidRPr="00A57FA6" w:rsidRDefault="009F5833" w:rsidP="00583BEA">
      <w:pPr>
        <w:spacing w:line="276" w:lineRule="auto"/>
        <w:rPr>
          <w:rFonts w:ascii="Times New Roman" w:hAnsi="Times New Roman" w:cs="Times New Roman"/>
          <w:u w:val="single"/>
        </w:rPr>
      </w:pPr>
    </w:p>
    <w:p w14:paraId="59372C8C" w14:textId="77777777" w:rsidR="009F5833" w:rsidRPr="00A57FA6" w:rsidRDefault="009F5833" w:rsidP="00583BEA">
      <w:pPr>
        <w:spacing w:line="276" w:lineRule="auto"/>
        <w:rPr>
          <w:rFonts w:ascii="Times New Roman" w:hAnsi="Times New Roman" w:cs="Times New Roman"/>
        </w:rPr>
      </w:pPr>
      <w:r w:rsidRPr="00A57FA6">
        <w:rPr>
          <w:rFonts w:ascii="Times New Roman" w:hAnsi="Times New Roman" w:cs="Times New Roman"/>
        </w:rPr>
        <w:t xml:space="preserve">Hall, E. 1997. ‘The sociology of Athenian Tragedy’, in Easterling, P. E. (ed.) </w:t>
      </w:r>
      <w:r w:rsidRPr="00583BEA">
        <w:rPr>
          <w:rFonts w:ascii="Times New Roman" w:hAnsi="Times New Roman" w:cs="Times New Roman"/>
          <w:i/>
        </w:rPr>
        <w:t>The Cambridge Companion to Greek Tragedy</w:t>
      </w:r>
      <w:r w:rsidRPr="00A57FA6">
        <w:rPr>
          <w:rFonts w:ascii="Times New Roman" w:hAnsi="Times New Roman" w:cs="Times New Roman"/>
        </w:rPr>
        <w:t>. Cambridge: Cambridge University Press, pp. 91-126</w:t>
      </w:r>
    </w:p>
    <w:p w14:paraId="24F186C5" w14:textId="77777777" w:rsidR="009F5833" w:rsidRPr="00A57FA6" w:rsidRDefault="009F5833" w:rsidP="00583BEA">
      <w:pPr>
        <w:spacing w:line="276" w:lineRule="auto"/>
        <w:rPr>
          <w:rFonts w:ascii="Times New Roman" w:hAnsi="Times New Roman" w:cs="Times New Roman"/>
        </w:rPr>
      </w:pPr>
    </w:p>
    <w:p w14:paraId="256FAC3B" w14:textId="0B6CF8CF" w:rsidR="009F5833" w:rsidRPr="00A57FA6" w:rsidRDefault="009F5833" w:rsidP="00583BEA">
      <w:pPr>
        <w:spacing w:line="276" w:lineRule="auto"/>
        <w:rPr>
          <w:rFonts w:ascii="Times New Roman" w:hAnsi="Times New Roman" w:cs="Times New Roman"/>
        </w:rPr>
      </w:pPr>
      <w:r w:rsidRPr="00A57FA6">
        <w:rPr>
          <w:rFonts w:ascii="Times New Roman" w:hAnsi="Times New Roman" w:cs="Times New Roman"/>
        </w:rPr>
        <w:t xml:space="preserve">Harris, W. V. 2003. ‘The Rage of Women’, </w:t>
      </w:r>
      <w:r w:rsidRPr="00583BEA">
        <w:rPr>
          <w:rFonts w:ascii="Times New Roman" w:hAnsi="Times New Roman" w:cs="Times New Roman"/>
          <w:i/>
        </w:rPr>
        <w:t>Yale Classical Studies</w:t>
      </w:r>
      <w:r w:rsidRPr="00A57FA6">
        <w:rPr>
          <w:rFonts w:ascii="Times New Roman" w:hAnsi="Times New Roman" w:cs="Times New Roman"/>
        </w:rPr>
        <w:t>. 32, pp.121-143</w:t>
      </w:r>
    </w:p>
    <w:p w14:paraId="6E91CFB3" w14:textId="6ADA0731" w:rsidR="00150361" w:rsidRPr="00A57FA6" w:rsidRDefault="00150361" w:rsidP="00583BEA">
      <w:pPr>
        <w:spacing w:line="276" w:lineRule="auto"/>
        <w:rPr>
          <w:rFonts w:ascii="Times New Roman" w:hAnsi="Times New Roman" w:cs="Times New Roman"/>
        </w:rPr>
      </w:pPr>
    </w:p>
    <w:p w14:paraId="4952D990" w14:textId="5FFAC522" w:rsidR="00150361" w:rsidRPr="00A57FA6" w:rsidRDefault="00150361" w:rsidP="00583BEA">
      <w:pPr>
        <w:spacing w:line="276" w:lineRule="auto"/>
        <w:rPr>
          <w:rFonts w:ascii="Times New Roman" w:hAnsi="Times New Roman" w:cs="Times New Roman"/>
        </w:rPr>
      </w:pPr>
      <w:r w:rsidRPr="00A57FA6">
        <w:rPr>
          <w:rFonts w:ascii="Times New Roman" w:hAnsi="Times New Roman" w:cs="Times New Roman"/>
        </w:rPr>
        <w:t xml:space="preserve">Hawley, R. and </w:t>
      </w:r>
      <w:proofErr w:type="spellStart"/>
      <w:r w:rsidRPr="00A57FA6">
        <w:rPr>
          <w:rFonts w:ascii="Times New Roman" w:hAnsi="Times New Roman" w:cs="Times New Roman"/>
        </w:rPr>
        <w:t>Levick</w:t>
      </w:r>
      <w:proofErr w:type="spellEnd"/>
      <w:r w:rsidRPr="00A57FA6">
        <w:rPr>
          <w:rFonts w:ascii="Times New Roman" w:hAnsi="Times New Roman" w:cs="Times New Roman"/>
        </w:rPr>
        <w:t xml:space="preserve">, B. 1995. </w:t>
      </w:r>
      <w:r w:rsidRPr="00583BEA">
        <w:rPr>
          <w:rFonts w:ascii="Times New Roman" w:hAnsi="Times New Roman" w:cs="Times New Roman"/>
          <w:i/>
        </w:rPr>
        <w:t>Women in Antiquity: new assessments</w:t>
      </w:r>
      <w:r w:rsidRPr="00A57FA6">
        <w:rPr>
          <w:rFonts w:ascii="Times New Roman" w:hAnsi="Times New Roman" w:cs="Times New Roman"/>
        </w:rPr>
        <w:t>. London: Routledge</w:t>
      </w:r>
    </w:p>
    <w:p w14:paraId="51FA69DB" w14:textId="14B57B6C" w:rsidR="009F5833" w:rsidRPr="00A57FA6" w:rsidRDefault="009F5833" w:rsidP="00583BEA">
      <w:pPr>
        <w:spacing w:line="276" w:lineRule="auto"/>
        <w:rPr>
          <w:rFonts w:ascii="Times New Roman" w:hAnsi="Times New Roman" w:cs="Times New Roman"/>
          <w:u w:val="single"/>
        </w:rPr>
      </w:pPr>
    </w:p>
    <w:p w14:paraId="114C898C" w14:textId="6A3C7EA8" w:rsidR="00482537" w:rsidRPr="00A57FA6" w:rsidRDefault="00482537" w:rsidP="00583BEA">
      <w:pPr>
        <w:spacing w:line="276" w:lineRule="auto"/>
        <w:rPr>
          <w:rFonts w:ascii="Times New Roman" w:hAnsi="Times New Roman" w:cs="Times New Roman"/>
        </w:rPr>
      </w:pPr>
      <w:r w:rsidRPr="00A57FA6">
        <w:rPr>
          <w:rFonts w:ascii="Times New Roman" w:hAnsi="Times New Roman" w:cs="Times New Roman"/>
        </w:rPr>
        <w:t xml:space="preserve">Just, R. 1989. </w:t>
      </w:r>
      <w:r w:rsidRPr="00583BEA">
        <w:rPr>
          <w:rFonts w:ascii="Times New Roman" w:hAnsi="Times New Roman" w:cs="Times New Roman"/>
          <w:i/>
        </w:rPr>
        <w:t>Women in Athenian law and life</w:t>
      </w:r>
      <w:r w:rsidRPr="00A57FA6">
        <w:rPr>
          <w:rFonts w:ascii="Times New Roman" w:hAnsi="Times New Roman" w:cs="Times New Roman"/>
        </w:rPr>
        <w:t>. London: Routledge</w:t>
      </w:r>
    </w:p>
    <w:p w14:paraId="450E78D7" w14:textId="77777777" w:rsidR="00482537" w:rsidRPr="00A57FA6" w:rsidRDefault="00482537" w:rsidP="00583BEA">
      <w:pPr>
        <w:spacing w:line="276" w:lineRule="auto"/>
        <w:rPr>
          <w:rFonts w:ascii="Times New Roman" w:hAnsi="Times New Roman" w:cs="Times New Roman"/>
          <w:u w:val="single"/>
        </w:rPr>
      </w:pPr>
    </w:p>
    <w:p w14:paraId="39A38E86" w14:textId="08E91601" w:rsidR="009F5833" w:rsidRPr="00A57FA6" w:rsidRDefault="009F5833" w:rsidP="00583BEA">
      <w:pPr>
        <w:spacing w:line="276" w:lineRule="auto"/>
        <w:rPr>
          <w:rFonts w:ascii="Times New Roman" w:hAnsi="Times New Roman" w:cs="Times New Roman"/>
        </w:rPr>
      </w:pPr>
      <w:r w:rsidRPr="00A57FA6">
        <w:rPr>
          <w:rFonts w:ascii="Times New Roman" w:hAnsi="Times New Roman" w:cs="Times New Roman"/>
        </w:rPr>
        <w:t xml:space="preserve">Katz, M. A. 1994. ‘The Character of Tragedy: Women and the Greek Imagination’, </w:t>
      </w:r>
      <w:r w:rsidRPr="00583BEA">
        <w:rPr>
          <w:rFonts w:ascii="Times New Roman" w:hAnsi="Times New Roman" w:cs="Times New Roman"/>
          <w:i/>
        </w:rPr>
        <w:t>Arethusa</w:t>
      </w:r>
      <w:r w:rsidRPr="00A57FA6">
        <w:rPr>
          <w:rFonts w:ascii="Times New Roman" w:hAnsi="Times New Roman" w:cs="Times New Roman"/>
        </w:rPr>
        <w:t>. 27, pp. 81-103</w:t>
      </w:r>
    </w:p>
    <w:p w14:paraId="70FDDB5C" w14:textId="55D53EB3" w:rsidR="00EB5C4C" w:rsidRPr="00A57FA6" w:rsidRDefault="00EB5C4C" w:rsidP="00583BEA">
      <w:pPr>
        <w:spacing w:line="276" w:lineRule="auto"/>
        <w:rPr>
          <w:rFonts w:ascii="Times New Roman" w:hAnsi="Times New Roman" w:cs="Times New Roman"/>
        </w:rPr>
      </w:pPr>
    </w:p>
    <w:p w14:paraId="70D3309E" w14:textId="4C01FB55" w:rsidR="00EB5C4C" w:rsidRPr="00A57FA6" w:rsidRDefault="00EB5C4C" w:rsidP="00583BEA">
      <w:pPr>
        <w:spacing w:line="276" w:lineRule="auto"/>
        <w:rPr>
          <w:rFonts w:ascii="Times New Roman" w:hAnsi="Times New Roman" w:cs="Times New Roman"/>
        </w:rPr>
      </w:pPr>
      <w:proofErr w:type="spellStart"/>
      <w:r w:rsidRPr="00A57FA6">
        <w:rPr>
          <w:rFonts w:ascii="Times New Roman" w:hAnsi="Times New Roman" w:cs="Times New Roman"/>
        </w:rPr>
        <w:t>Lardinois</w:t>
      </w:r>
      <w:proofErr w:type="spellEnd"/>
      <w:r w:rsidRPr="00A57FA6">
        <w:rPr>
          <w:rFonts w:ascii="Times New Roman" w:hAnsi="Times New Roman" w:cs="Times New Roman"/>
        </w:rPr>
        <w:t xml:space="preserve">, A. and McClure, L. 2001. </w:t>
      </w:r>
      <w:r w:rsidRPr="00583BEA">
        <w:rPr>
          <w:rFonts w:ascii="Times New Roman" w:hAnsi="Times New Roman" w:cs="Times New Roman"/>
          <w:i/>
        </w:rPr>
        <w:t>Making Silence Speak: Women’s Voices in Greek Literature and Society</w:t>
      </w:r>
      <w:r w:rsidRPr="00A57FA6">
        <w:rPr>
          <w:rFonts w:ascii="Times New Roman" w:hAnsi="Times New Roman" w:cs="Times New Roman"/>
        </w:rPr>
        <w:t xml:space="preserve">. Princeton: Princeton </w:t>
      </w:r>
      <w:r w:rsidR="00A1246A" w:rsidRPr="00A57FA6">
        <w:rPr>
          <w:rFonts w:ascii="Times New Roman" w:hAnsi="Times New Roman" w:cs="Times New Roman"/>
        </w:rPr>
        <w:t>University</w:t>
      </w:r>
      <w:r w:rsidRPr="00A57FA6">
        <w:rPr>
          <w:rFonts w:ascii="Times New Roman" w:hAnsi="Times New Roman" w:cs="Times New Roman"/>
        </w:rPr>
        <w:t xml:space="preserve"> Press</w:t>
      </w:r>
    </w:p>
    <w:p w14:paraId="4A476F89" w14:textId="50E5B18F" w:rsidR="009F5833" w:rsidRPr="00A57FA6" w:rsidRDefault="009F5833" w:rsidP="00583BEA">
      <w:pPr>
        <w:spacing w:line="276" w:lineRule="auto"/>
        <w:rPr>
          <w:rFonts w:ascii="Times New Roman" w:hAnsi="Times New Roman" w:cs="Times New Roman"/>
          <w:u w:val="single"/>
        </w:rPr>
      </w:pPr>
    </w:p>
    <w:p w14:paraId="16D9A919" w14:textId="028A3702" w:rsidR="00150361" w:rsidRPr="00A57FA6" w:rsidRDefault="00150361" w:rsidP="00583BEA">
      <w:pPr>
        <w:spacing w:line="276" w:lineRule="auto"/>
        <w:rPr>
          <w:rFonts w:ascii="Times New Roman" w:hAnsi="Times New Roman" w:cs="Times New Roman"/>
        </w:rPr>
      </w:pPr>
      <w:proofErr w:type="spellStart"/>
      <w:r w:rsidRPr="00A57FA6">
        <w:rPr>
          <w:rFonts w:ascii="Times New Roman" w:hAnsi="Times New Roman" w:cs="Times New Roman"/>
        </w:rPr>
        <w:t>McAuslan</w:t>
      </w:r>
      <w:proofErr w:type="spellEnd"/>
      <w:r w:rsidRPr="00A57FA6">
        <w:rPr>
          <w:rFonts w:ascii="Times New Roman" w:hAnsi="Times New Roman" w:cs="Times New Roman"/>
        </w:rPr>
        <w:t xml:space="preserve">, I. and </w:t>
      </w:r>
      <w:proofErr w:type="spellStart"/>
      <w:r w:rsidRPr="00A57FA6">
        <w:rPr>
          <w:rFonts w:ascii="Times New Roman" w:hAnsi="Times New Roman" w:cs="Times New Roman"/>
        </w:rPr>
        <w:t>Walcot</w:t>
      </w:r>
      <w:proofErr w:type="spellEnd"/>
      <w:r w:rsidRPr="00A57FA6">
        <w:rPr>
          <w:rFonts w:ascii="Times New Roman" w:hAnsi="Times New Roman" w:cs="Times New Roman"/>
        </w:rPr>
        <w:t xml:space="preserve">, P. 1996. </w:t>
      </w:r>
      <w:r w:rsidRPr="00583BEA">
        <w:rPr>
          <w:rFonts w:ascii="Times New Roman" w:hAnsi="Times New Roman" w:cs="Times New Roman"/>
          <w:i/>
        </w:rPr>
        <w:t>Women in Antiquity</w:t>
      </w:r>
      <w:r w:rsidRPr="00A57FA6">
        <w:rPr>
          <w:rFonts w:ascii="Times New Roman" w:hAnsi="Times New Roman" w:cs="Times New Roman"/>
        </w:rPr>
        <w:t>. Oxford: Oxford University Press</w:t>
      </w:r>
    </w:p>
    <w:p w14:paraId="1AC399D9" w14:textId="77777777" w:rsidR="00150361" w:rsidRPr="00A57FA6" w:rsidRDefault="00150361" w:rsidP="00583BEA">
      <w:pPr>
        <w:spacing w:line="276" w:lineRule="auto"/>
        <w:rPr>
          <w:rFonts w:ascii="Times New Roman" w:hAnsi="Times New Roman" w:cs="Times New Roman"/>
          <w:u w:val="single"/>
        </w:rPr>
      </w:pPr>
    </w:p>
    <w:p w14:paraId="219DC288" w14:textId="3A55CCF6" w:rsidR="009F5833" w:rsidRPr="00A57FA6" w:rsidRDefault="009F5833" w:rsidP="00583BEA">
      <w:pPr>
        <w:spacing w:line="276" w:lineRule="auto"/>
        <w:rPr>
          <w:rFonts w:ascii="Times New Roman" w:hAnsi="Times New Roman" w:cs="Times New Roman"/>
        </w:rPr>
      </w:pPr>
      <w:r w:rsidRPr="00A57FA6">
        <w:rPr>
          <w:rFonts w:ascii="Times New Roman" w:hAnsi="Times New Roman" w:cs="Times New Roman"/>
        </w:rPr>
        <w:t xml:space="preserve">McClure, L. K. 2015. ‘Tokens of Identity and Recognition in Greek Tragedy’, </w:t>
      </w:r>
      <w:r w:rsidR="00583BEA">
        <w:rPr>
          <w:rFonts w:ascii="Times New Roman" w:hAnsi="Times New Roman" w:cs="Times New Roman"/>
        </w:rPr>
        <w:t xml:space="preserve">in </w:t>
      </w:r>
      <w:r w:rsidRPr="00583BEA">
        <w:rPr>
          <w:rFonts w:ascii="Times New Roman" w:hAnsi="Times New Roman" w:cs="Times New Roman"/>
          <w:i/>
        </w:rPr>
        <w:t>Illinois Classical Studies</w:t>
      </w:r>
      <w:r w:rsidRPr="00A57FA6">
        <w:rPr>
          <w:rFonts w:ascii="Times New Roman" w:hAnsi="Times New Roman" w:cs="Times New Roman"/>
        </w:rPr>
        <w:t>. 40(2), pp. 219-236</w:t>
      </w:r>
    </w:p>
    <w:p w14:paraId="7A5384FF" w14:textId="77777777" w:rsidR="009F5833" w:rsidRPr="00A57FA6" w:rsidRDefault="009F5833" w:rsidP="00583BEA">
      <w:pPr>
        <w:spacing w:line="276" w:lineRule="auto"/>
        <w:rPr>
          <w:rFonts w:ascii="Times New Roman" w:hAnsi="Times New Roman" w:cs="Times New Roman"/>
          <w:u w:val="single"/>
        </w:rPr>
      </w:pPr>
    </w:p>
    <w:p w14:paraId="67D6D076" w14:textId="453853ED" w:rsidR="009F5833" w:rsidRPr="00A57FA6" w:rsidRDefault="009F5833" w:rsidP="00583BEA">
      <w:pPr>
        <w:spacing w:line="276" w:lineRule="auto"/>
        <w:rPr>
          <w:rFonts w:ascii="Times New Roman" w:hAnsi="Times New Roman" w:cs="Times New Roman"/>
        </w:rPr>
      </w:pPr>
      <w:proofErr w:type="spellStart"/>
      <w:r w:rsidRPr="00A57FA6">
        <w:rPr>
          <w:rFonts w:ascii="Times New Roman" w:hAnsi="Times New Roman" w:cs="Times New Roman"/>
        </w:rPr>
        <w:lastRenderedPageBreak/>
        <w:t>McHardy</w:t>
      </w:r>
      <w:proofErr w:type="spellEnd"/>
      <w:r w:rsidRPr="00A57FA6">
        <w:rPr>
          <w:rFonts w:ascii="Times New Roman" w:hAnsi="Times New Roman" w:cs="Times New Roman"/>
        </w:rPr>
        <w:t xml:space="preserve">, F. 1997. ‘Violent femmes: women and revenge in Greek tragedy’, </w:t>
      </w:r>
      <w:r w:rsidR="00583BEA">
        <w:rPr>
          <w:rFonts w:ascii="Times New Roman" w:hAnsi="Times New Roman" w:cs="Times New Roman"/>
        </w:rPr>
        <w:t xml:space="preserve">in </w:t>
      </w:r>
      <w:r w:rsidRPr="00583BEA">
        <w:rPr>
          <w:rFonts w:ascii="Times New Roman" w:hAnsi="Times New Roman" w:cs="Times New Roman"/>
          <w:i/>
        </w:rPr>
        <w:t>Pegasus</w:t>
      </w:r>
      <w:r w:rsidRPr="00A57FA6">
        <w:rPr>
          <w:rFonts w:ascii="Times New Roman" w:hAnsi="Times New Roman" w:cs="Times New Roman"/>
        </w:rPr>
        <w:t>. 40, pp. 22-27</w:t>
      </w:r>
    </w:p>
    <w:p w14:paraId="30FFF573" w14:textId="5DF9EE09" w:rsidR="00811104" w:rsidRPr="00A57FA6" w:rsidRDefault="00811104" w:rsidP="00583BEA">
      <w:pPr>
        <w:spacing w:line="276" w:lineRule="auto"/>
        <w:rPr>
          <w:rFonts w:ascii="Times New Roman" w:hAnsi="Times New Roman" w:cs="Times New Roman"/>
        </w:rPr>
      </w:pPr>
    </w:p>
    <w:p w14:paraId="582DAF2D" w14:textId="449DF3D3" w:rsidR="00974665" w:rsidRPr="00A57FA6" w:rsidRDefault="00974665" w:rsidP="00583BEA">
      <w:pPr>
        <w:spacing w:line="276" w:lineRule="auto"/>
        <w:rPr>
          <w:rFonts w:ascii="Times New Roman" w:hAnsi="Times New Roman" w:cs="Times New Roman"/>
        </w:rPr>
      </w:pPr>
      <w:r w:rsidRPr="00A57FA6">
        <w:rPr>
          <w:rFonts w:ascii="Times New Roman" w:hAnsi="Times New Roman" w:cs="Times New Roman"/>
        </w:rPr>
        <w:t xml:space="preserve">Mossman, J. 2001. ‘Women’s Speech in Greek Tragedy: The Case of Electra and Clytemnestra in </w:t>
      </w:r>
      <w:r w:rsidR="007F3A0E" w:rsidRPr="00A57FA6">
        <w:rPr>
          <w:rFonts w:ascii="Times New Roman" w:hAnsi="Times New Roman" w:cs="Times New Roman"/>
        </w:rPr>
        <w:t xml:space="preserve">Euripides’ “Electra”’, in </w:t>
      </w:r>
      <w:r w:rsidR="007F3A0E" w:rsidRPr="00583BEA">
        <w:rPr>
          <w:rFonts w:ascii="Times New Roman" w:hAnsi="Times New Roman" w:cs="Times New Roman"/>
          <w:i/>
        </w:rPr>
        <w:t>Classical Quarterly</w:t>
      </w:r>
      <w:r w:rsidR="007F3A0E" w:rsidRPr="00A57FA6">
        <w:rPr>
          <w:rFonts w:ascii="Times New Roman" w:hAnsi="Times New Roman" w:cs="Times New Roman"/>
        </w:rPr>
        <w:t>. 52, 2, pp. 374 – 384</w:t>
      </w:r>
    </w:p>
    <w:p w14:paraId="7A9FBD9D" w14:textId="5D3A39AD" w:rsidR="00541F8B" w:rsidRPr="00A57FA6" w:rsidRDefault="00541F8B" w:rsidP="00583BEA">
      <w:pPr>
        <w:spacing w:line="276" w:lineRule="auto"/>
        <w:rPr>
          <w:rFonts w:ascii="Times New Roman" w:hAnsi="Times New Roman" w:cs="Times New Roman"/>
        </w:rPr>
      </w:pPr>
    </w:p>
    <w:p w14:paraId="1DC3959D" w14:textId="0EA8CD55" w:rsidR="00541F8B" w:rsidRPr="00A57FA6" w:rsidRDefault="00541F8B" w:rsidP="00583BEA">
      <w:pPr>
        <w:spacing w:line="276" w:lineRule="auto"/>
        <w:rPr>
          <w:rFonts w:ascii="Times New Roman" w:hAnsi="Times New Roman" w:cs="Times New Roman"/>
        </w:rPr>
      </w:pPr>
      <w:r w:rsidRPr="00A57FA6">
        <w:rPr>
          <w:rFonts w:ascii="Times New Roman" w:hAnsi="Times New Roman" w:cs="Times New Roman"/>
        </w:rPr>
        <w:t xml:space="preserve">Powell, A. 1990. </w:t>
      </w:r>
      <w:r w:rsidRPr="00583BEA">
        <w:rPr>
          <w:rFonts w:ascii="Times New Roman" w:hAnsi="Times New Roman" w:cs="Times New Roman"/>
          <w:i/>
        </w:rPr>
        <w:t>Euripides, Women and Sexuality</w:t>
      </w:r>
      <w:r w:rsidRPr="00A57FA6">
        <w:rPr>
          <w:rFonts w:ascii="Times New Roman" w:hAnsi="Times New Roman" w:cs="Times New Roman"/>
        </w:rPr>
        <w:t>. London: Routledge</w:t>
      </w:r>
    </w:p>
    <w:p w14:paraId="63B38100" w14:textId="77777777" w:rsidR="00974665" w:rsidRPr="00A57FA6" w:rsidRDefault="00974665" w:rsidP="00583BEA">
      <w:pPr>
        <w:spacing w:line="276" w:lineRule="auto"/>
        <w:rPr>
          <w:rFonts w:ascii="Times New Roman" w:hAnsi="Times New Roman" w:cs="Times New Roman"/>
        </w:rPr>
      </w:pPr>
    </w:p>
    <w:p w14:paraId="24B5A35A" w14:textId="122D89B0" w:rsidR="00811104" w:rsidRPr="00A57FA6" w:rsidRDefault="00811104" w:rsidP="00583BEA">
      <w:pPr>
        <w:spacing w:line="276" w:lineRule="auto"/>
        <w:rPr>
          <w:rFonts w:ascii="Times New Roman" w:hAnsi="Times New Roman" w:cs="Times New Roman"/>
        </w:rPr>
      </w:pPr>
      <w:proofErr w:type="spellStart"/>
      <w:r w:rsidRPr="00A57FA6">
        <w:rPr>
          <w:rFonts w:ascii="Times New Roman" w:hAnsi="Times New Roman" w:cs="Times New Roman"/>
        </w:rPr>
        <w:t>Roisman</w:t>
      </w:r>
      <w:proofErr w:type="spellEnd"/>
      <w:r w:rsidRPr="00A57FA6">
        <w:rPr>
          <w:rFonts w:ascii="Times New Roman" w:hAnsi="Times New Roman" w:cs="Times New Roman"/>
        </w:rPr>
        <w:t xml:space="preserve">, H. 2011. </w:t>
      </w:r>
      <w:r w:rsidRPr="00583BEA">
        <w:rPr>
          <w:rFonts w:ascii="Times New Roman" w:hAnsi="Times New Roman" w:cs="Times New Roman"/>
          <w:i/>
        </w:rPr>
        <w:t>Euripides’ Electra: A Commentary</w:t>
      </w:r>
      <w:r w:rsidRPr="00A57FA6">
        <w:rPr>
          <w:rFonts w:ascii="Times New Roman" w:hAnsi="Times New Roman" w:cs="Times New Roman"/>
        </w:rPr>
        <w:t>. Oklahoma: University of Oklahoma Press</w:t>
      </w:r>
    </w:p>
    <w:p w14:paraId="50F2B806" w14:textId="77777777" w:rsidR="009F5833" w:rsidRPr="00A57FA6" w:rsidRDefault="009F5833" w:rsidP="00583BEA">
      <w:pPr>
        <w:spacing w:line="276" w:lineRule="auto"/>
        <w:rPr>
          <w:rFonts w:ascii="Times New Roman" w:hAnsi="Times New Roman" w:cs="Times New Roman"/>
          <w:u w:val="single"/>
        </w:rPr>
      </w:pPr>
    </w:p>
    <w:p w14:paraId="3791CC44" w14:textId="4BCC14D9" w:rsidR="00EB4617" w:rsidRPr="00A57FA6" w:rsidRDefault="009F5833" w:rsidP="00583BEA">
      <w:pPr>
        <w:spacing w:line="276" w:lineRule="auto"/>
        <w:rPr>
          <w:rFonts w:ascii="Times New Roman" w:hAnsi="Times New Roman" w:cs="Times New Roman"/>
        </w:rPr>
      </w:pPr>
      <w:proofErr w:type="spellStart"/>
      <w:r w:rsidRPr="00A57FA6">
        <w:rPr>
          <w:rFonts w:ascii="Times New Roman" w:hAnsi="Times New Roman" w:cs="Times New Roman"/>
        </w:rPr>
        <w:t>Roisman</w:t>
      </w:r>
      <w:proofErr w:type="spellEnd"/>
      <w:r w:rsidRPr="00A57FA6">
        <w:rPr>
          <w:rFonts w:ascii="Times New Roman" w:hAnsi="Times New Roman" w:cs="Times New Roman"/>
        </w:rPr>
        <w:t xml:space="preserve">, H. M. 2004. </w:t>
      </w:r>
      <w:r w:rsidR="00EB4617" w:rsidRPr="00A57FA6">
        <w:rPr>
          <w:rFonts w:ascii="Times New Roman" w:hAnsi="Times New Roman" w:cs="Times New Roman"/>
        </w:rPr>
        <w:t xml:space="preserve">‘Women’s Free Speech in Greek Tragedy’, in </w:t>
      </w:r>
      <w:proofErr w:type="spellStart"/>
      <w:r w:rsidR="00EB4617" w:rsidRPr="00A57FA6">
        <w:rPr>
          <w:rFonts w:ascii="Times New Roman" w:hAnsi="Times New Roman" w:cs="Times New Roman"/>
        </w:rPr>
        <w:t>Sluiter</w:t>
      </w:r>
      <w:proofErr w:type="spellEnd"/>
      <w:r w:rsidR="00EB4617" w:rsidRPr="00A57FA6">
        <w:rPr>
          <w:rFonts w:ascii="Times New Roman" w:hAnsi="Times New Roman" w:cs="Times New Roman"/>
        </w:rPr>
        <w:t xml:space="preserve">, I. and Rosen, R. M. (eds.) </w:t>
      </w:r>
      <w:r w:rsidR="00EB4617" w:rsidRPr="00583BEA">
        <w:rPr>
          <w:rFonts w:ascii="Times New Roman" w:hAnsi="Times New Roman" w:cs="Times New Roman"/>
          <w:i/>
        </w:rPr>
        <w:t>Free Speech in Classical Antiquity</w:t>
      </w:r>
      <w:r w:rsidR="00EB4617" w:rsidRPr="00A57FA6">
        <w:rPr>
          <w:rFonts w:ascii="Times New Roman" w:hAnsi="Times New Roman" w:cs="Times New Roman"/>
        </w:rPr>
        <w:t>. Leiden: Brill</w:t>
      </w:r>
    </w:p>
    <w:p w14:paraId="6F4897A7" w14:textId="4EEEE52B" w:rsidR="0039138F" w:rsidRPr="00A57FA6" w:rsidRDefault="0039138F" w:rsidP="00583BEA">
      <w:pPr>
        <w:spacing w:line="276" w:lineRule="auto"/>
        <w:rPr>
          <w:rFonts w:ascii="Times New Roman" w:hAnsi="Times New Roman" w:cs="Times New Roman"/>
        </w:rPr>
      </w:pPr>
    </w:p>
    <w:p w14:paraId="3DDA7412" w14:textId="54ECF9D4" w:rsidR="0039138F" w:rsidRPr="00A57FA6" w:rsidRDefault="0039138F" w:rsidP="00583BEA">
      <w:pPr>
        <w:spacing w:line="276" w:lineRule="auto"/>
        <w:rPr>
          <w:rFonts w:ascii="Times New Roman" w:hAnsi="Times New Roman" w:cs="Times New Roman"/>
        </w:rPr>
      </w:pPr>
      <w:r w:rsidRPr="00A57FA6">
        <w:rPr>
          <w:rFonts w:ascii="Times New Roman" w:hAnsi="Times New Roman" w:cs="Times New Roman"/>
        </w:rPr>
        <w:t xml:space="preserve">Seidler, V. J. 1994. </w:t>
      </w:r>
      <w:r w:rsidRPr="00583BEA">
        <w:rPr>
          <w:rFonts w:ascii="Times New Roman" w:hAnsi="Times New Roman" w:cs="Times New Roman"/>
          <w:i/>
        </w:rPr>
        <w:t>Unreasonable Men: Masculinity and social theory</w:t>
      </w:r>
      <w:r w:rsidRPr="00A57FA6">
        <w:rPr>
          <w:rFonts w:ascii="Times New Roman" w:hAnsi="Times New Roman" w:cs="Times New Roman"/>
        </w:rPr>
        <w:t>. London: Routledge</w:t>
      </w:r>
    </w:p>
    <w:p w14:paraId="581148A8" w14:textId="4F26D83E" w:rsidR="00EB4617" w:rsidRPr="00A57FA6" w:rsidRDefault="00EB4617" w:rsidP="00583BEA">
      <w:pPr>
        <w:spacing w:line="276" w:lineRule="auto"/>
        <w:rPr>
          <w:rFonts w:ascii="Times New Roman" w:hAnsi="Times New Roman" w:cs="Times New Roman"/>
          <w:u w:val="single"/>
        </w:rPr>
      </w:pPr>
    </w:p>
    <w:p w14:paraId="204290E7" w14:textId="3E0DF18A" w:rsidR="00816901" w:rsidRPr="00A57FA6" w:rsidRDefault="00816901" w:rsidP="00583BEA">
      <w:pPr>
        <w:spacing w:line="276" w:lineRule="auto"/>
        <w:rPr>
          <w:rFonts w:ascii="Times New Roman" w:hAnsi="Times New Roman" w:cs="Times New Roman"/>
        </w:rPr>
      </w:pPr>
      <w:proofErr w:type="spellStart"/>
      <w:r w:rsidRPr="00A57FA6">
        <w:rPr>
          <w:rFonts w:ascii="Times New Roman" w:hAnsi="Times New Roman" w:cs="Times New Roman"/>
        </w:rPr>
        <w:t>Seltman</w:t>
      </w:r>
      <w:proofErr w:type="spellEnd"/>
      <w:r w:rsidRPr="00A57FA6">
        <w:rPr>
          <w:rFonts w:ascii="Times New Roman" w:hAnsi="Times New Roman" w:cs="Times New Roman"/>
        </w:rPr>
        <w:t xml:space="preserve">, C. 1956. </w:t>
      </w:r>
      <w:r w:rsidRPr="00583BEA">
        <w:rPr>
          <w:rFonts w:ascii="Times New Roman" w:hAnsi="Times New Roman" w:cs="Times New Roman"/>
          <w:i/>
        </w:rPr>
        <w:t>Women in Antiquity</w:t>
      </w:r>
      <w:r w:rsidRPr="00A57FA6">
        <w:rPr>
          <w:rFonts w:ascii="Times New Roman" w:hAnsi="Times New Roman" w:cs="Times New Roman"/>
        </w:rPr>
        <w:t>. London: Pan Books</w:t>
      </w:r>
    </w:p>
    <w:p w14:paraId="3FD0FA80" w14:textId="77777777" w:rsidR="00816901" w:rsidRPr="00A57FA6" w:rsidRDefault="00816901" w:rsidP="00583BEA">
      <w:pPr>
        <w:spacing w:line="276" w:lineRule="auto"/>
        <w:rPr>
          <w:rFonts w:ascii="Times New Roman" w:hAnsi="Times New Roman" w:cs="Times New Roman"/>
        </w:rPr>
      </w:pPr>
    </w:p>
    <w:p w14:paraId="25C93444" w14:textId="640C1775" w:rsidR="00F04049" w:rsidRPr="00A57FA6" w:rsidRDefault="00EB4617" w:rsidP="00583BEA">
      <w:pPr>
        <w:spacing w:line="276" w:lineRule="auto"/>
        <w:rPr>
          <w:rFonts w:ascii="Times New Roman" w:hAnsi="Times New Roman" w:cs="Times New Roman"/>
        </w:rPr>
      </w:pPr>
      <w:r w:rsidRPr="00A57FA6">
        <w:rPr>
          <w:rFonts w:ascii="Times New Roman" w:hAnsi="Times New Roman" w:cs="Times New Roman"/>
        </w:rPr>
        <w:t xml:space="preserve">Summons, B. 2005. ‘Gender Reversal in Greek Tragedy’, </w:t>
      </w:r>
      <w:r w:rsidR="00583BEA">
        <w:rPr>
          <w:rFonts w:ascii="Times New Roman" w:hAnsi="Times New Roman" w:cs="Times New Roman"/>
        </w:rPr>
        <w:t xml:space="preserve">in </w:t>
      </w:r>
      <w:r w:rsidRPr="00583BEA">
        <w:rPr>
          <w:rFonts w:ascii="Times New Roman" w:hAnsi="Times New Roman" w:cs="Times New Roman"/>
          <w:i/>
        </w:rPr>
        <w:t>Pegasus</w:t>
      </w:r>
      <w:r w:rsidRPr="00A57FA6">
        <w:rPr>
          <w:rFonts w:ascii="Times New Roman" w:hAnsi="Times New Roman" w:cs="Times New Roman"/>
        </w:rPr>
        <w:t>. 48, pp. 10-14</w:t>
      </w:r>
    </w:p>
    <w:p w14:paraId="1F076981" w14:textId="7A6747DC" w:rsidR="00BC27A9" w:rsidRPr="00A57FA6" w:rsidRDefault="00BC27A9" w:rsidP="00583BEA">
      <w:pPr>
        <w:spacing w:line="276" w:lineRule="auto"/>
        <w:rPr>
          <w:rFonts w:ascii="Times New Roman" w:hAnsi="Times New Roman" w:cs="Times New Roman"/>
        </w:rPr>
      </w:pPr>
    </w:p>
    <w:p w14:paraId="673CC67E" w14:textId="72C02447" w:rsidR="00BC27A9" w:rsidRPr="00A57FA6" w:rsidRDefault="00BC27A9" w:rsidP="00583BEA">
      <w:pPr>
        <w:spacing w:line="276" w:lineRule="auto"/>
        <w:rPr>
          <w:rFonts w:ascii="Times New Roman" w:hAnsi="Times New Roman" w:cs="Times New Roman"/>
        </w:rPr>
      </w:pPr>
      <w:r w:rsidRPr="00A57FA6">
        <w:rPr>
          <w:rFonts w:ascii="Times New Roman" w:hAnsi="Times New Roman" w:cs="Times New Roman"/>
        </w:rPr>
        <w:t>Z</w:t>
      </w:r>
      <w:r w:rsidR="00955D28">
        <w:rPr>
          <w:rFonts w:ascii="Times New Roman" w:hAnsi="Times New Roman" w:cs="Times New Roman"/>
        </w:rPr>
        <w:t>e</w:t>
      </w:r>
      <w:r w:rsidRPr="00A57FA6">
        <w:rPr>
          <w:rFonts w:ascii="Times New Roman" w:hAnsi="Times New Roman" w:cs="Times New Roman"/>
        </w:rPr>
        <w:t xml:space="preserve">itlin, F. I. 1996. </w:t>
      </w:r>
      <w:bookmarkStart w:id="0" w:name="_GoBack"/>
      <w:r w:rsidRPr="00583BEA">
        <w:rPr>
          <w:rFonts w:ascii="Times New Roman" w:hAnsi="Times New Roman" w:cs="Times New Roman"/>
          <w:i/>
        </w:rPr>
        <w:t>Playing the Other: gender and society in classical Greek literature</w:t>
      </w:r>
      <w:bookmarkEnd w:id="0"/>
      <w:r w:rsidRPr="00A57FA6">
        <w:rPr>
          <w:rFonts w:ascii="Times New Roman" w:hAnsi="Times New Roman" w:cs="Times New Roman"/>
        </w:rPr>
        <w:t>. Chicago: University of Chicago Press</w:t>
      </w:r>
    </w:p>
    <w:sectPr w:rsidR="00BC27A9" w:rsidRPr="00A57FA6" w:rsidSect="00E65D9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E96980" w14:textId="77777777" w:rsidR="00396A93" w:rsidRDefault="00396A93" w:rsidP="00870607">
      <w:r>
        <w:separator/>
      </w:r>
    </w:p>
  </w:endnote>
  <w:endnote w:type="continuationSeparator" w:id="0">
    <w:p w14:paraId="697294B8" w14:textId="77777777" w:rsidR="00396A93" w:rsidRDefault="00396A93" w:rsidP="008706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C44273" w14:textId="77777777" w:rsidR="00396A93" w:rsidRDefault="00396A93" w:rsidP="00870607">
      <w:r>
        <w:separator/>
      </w:r>
    </w:p>
  </w:footnote>
  <w:footnote w:type="continuationSeparator" w:id="0">
    <w:p w14:paraId="51E227FB" w14:textId="77777777" w:rsidR="00396A93" w:rsidRDefault="00396A93" w:rsidP="00870607">
      <w:r>
        <w:continuationSeparator/>
      </w:r>
    </w:p>
  </w:footnote>
  <w:footnote w:id="1">
    <w:p w14:paraId="3A8BA712" w14:textId="65EEF4B9" w:rsidR="00870607" w:rsidRPr="00870607" w:rsidRDefault="00870607">
      <w:pPr>
        <w:pStyle w:val="FootnoteText"/>
      </w:pPr>
      <w:r>
        <w:rPr>
          <w:rStyle w:val="FootnoteReference"/>
        </w:rPr>
        <w:footnoteRef/>
      </w:r>
      <w:r>
        <w:t xml:space="preserve"> Euripides, </w:t>
      </w:r>
      <w:r>
        <w:rPr>
          <w:i/>
        </w:rPr>
        <w:t>Electra</w:t>
      </w:r>
      <w:r>
        <w:t xml:space="preserve">, 1912; Euripides, </w:t>
      </w:r>
      <w:r>
        <w:rPr>
          <w:i/>
        </w:rPr>
        <w:t>Electra</w:t>
      </w:r>
      <w:r>
        <w:t>, 1963</w:t>
      </w:r>
    </w:p>
  </w:footnote>
  <w:footnote w:id="2">
    <w:p w14:paraId="001FD95A" w14:textId="2D84DDFD" w:rsidR="00870607" w:rsidRPr="00870607" w:rsidRDefault="00870607">
      <w:pPr>
        <w:pStyle w:val="FootnoteText"/>
      </w:pPr>
      <w:r>
        <w:rPr>
          <w:rStyle w:val="FootnoteReference"/>
        </w:rPr>
        <w:footnoteRef/>
      </w:r>
      <w:r>
        <w:t xml:space="preserve"> Euripides, </w:t>
      </w:r>
      <w:r>
        <w:rPr>
          <w:i/>
        </w:rPr>
        <w:t>Helen</w:t>
      </w:r>
      <w:r>
        <w:t xml:space="preserve">, 1912; Euripides, </w:t>
      </w:r>
      <w:r>
        <w:rPr>
          <w:i/>
        </w:rPr>
        <w:t>Helen</w:t>
      </w:r>
      <w:r>
        <w:t>, 1954</w:t>
      </w:r>
    </w:p>
  </w:footnote>
  <w:footnote w:id="3">
    <w:p w14:paraId="083AA798" w14:textId="54E1B9D3" w:rsidR="00870607" w:rsidRDefault="00870607">
      <w:pPr>
        <w:pStyle w:val="FootnoteText"/>
      </w:pPr>
      <w:r>
        <w:rPr>
          <w:rStyle w:val="FootnoteReference"/>
        </w:rPr>
        <w:footnoteRef/>
      </w:r>
      <w:r>
        <w:t xml:space="preserve"> Beard, 1993</w:t>
      </w:r>
    </w:p>
  </w:footnote>
  <w:footnote w:id="4">
    <w:p w14:paraId="06904333" w14:textId="23211E8B" w:rsidR="00870607" w:rsidRDefault="00870607">
      <w:pPr>
        <w:pStyle w:val="FootnoteText"/>
      </w:pPr>
      <w:r>
        <w:rPr>
          <w:rStyle w:val="FootnoteReference"/>
        </w:rPr>
        <w:footnoteRef/>
      </w:r>
      <w:r>
        <w:t xml:space="preserve"> Just, 1989</w:t>
      </w:r>
    </w:p>
  </w:footnote>
  <w:footnote w:id="5">
    <w:p w14:paraId="5B31B3E3" w14:textId="228A4740" w:rsidR="00870607" w:rsidRDefault="00870607">
      <w:pPr>
        <w:pStyle w:val="FootnoteText"/>
      </w:pPr>
      <w:r>
        <w:rPr>
          <w:rStyle w:val="FootnoteReference"/>
        </w:rPr>
        <w:footnoteRef/>
      </w:r>
      <w:r>
        <w:t xml:space="preserve"> </w:t>
      </w:r>
      <w:proofErr w:type="spellStart"/>
      <w:r>
        <w:t>Seltman</w:t>
      </w:r>
      <w:proofErr w:type="spellEnd"/>
      <w:r>
        <w:t>, 1956</w:t>
      </w:r>
    </w:p>
  </w:footnote>
  <w:footnote w:id="6">
    <w:p w14:paraId="6FA1CD95" w14:textId="5DD98F66" w:rsidR="00870607" w:rsidRPr="00870607" w:rsidRDefault="00870607">
      <w:pPr>
        <w:pStyle w:val="FootnoteText"/>
      </w:pPr>
      <w:r>
        <w:rPr>
          <w:rStyle w:val="FootnoteReference"/>
        </w:rPr>
        <w:footnoteRef/>
      </w:r>
      <w:r>
        <w:t xml:space="preserve"> Xenophon, </w:t>
      </w:r>
      <w:proofErr w:type="spellStart"/>
      <w:r>
        <w:rPr>
          <w:i/>
        </w:rPr>
        <w:t>Oeconomicus</w:t>
      </w:r>
      <w:proofErr w:type="spellEnd"/>
      <w:r>
        <w:t>, 1923</w:t>
      </w:r>
    </w:p>
  </w:footnote>
  <w:footnote w:id="7">
    <w:p w14:paraId="76574A4A" w14:textId="7FC8DCD1" w:rsidR="00167BBE" w:rsidRDefault="00167BBE">
      <w:pPr>
        <w:pStyle w:val="FootnoteText"/>
      </w:pPr>
      <w:r>
        <w:rPr>
          <w:rStyle w:val="FootnoteReference"/>
        </w:rPr>
        <w:footnoteRef/>
      </w:r>
      <w:r>
        <w:t xml:space="preserve"> Gardiner, </w:t>
      </w:r>
      <w:r w:rsidR="00673C4F">
        <w:t>2002</w:t>
      </w:r>
    </w:p>
  </w:footnote>
  <w:footnote w:id="8">
    <w:p w14:paraId="1D94AC78" w14:textId="2A227DF5" w:rsidR="00673C4F" w:rsidRDefault="00673C4F">
      <w:pPr>
        <w:pStyle w:val="FootnoteText"/>
      </w:pPr>
      <w:r>
        <w:rPr>
          <w:rStyle w:val="FootnoteReference"/>
        </w:rPr>
        <w:footnoteRef/>
      </w:r>
      <w:r>
        <w:t xml:space="preserve"> Seidler, 1994</w:t>
      </w:r>
    </w:p>
  </w:footnote>
  <w:footnote w:id="9">
    <w:p w14:paraId="0C7E3C80" w14:textId="72A68E9E" w:rsidR="00EF4101" w:rsidRDefault="00EF4101">
      <w:pPr>
        <w:pStyle w:val="FootnoteText"/>
      </w:pPr>
      <w:r>
        <w:rPr>
          <w:rStyle w:val="FootnoteReference"/>
        </w:rPr>
        <w:footnoteRef/>
      </w:r>
      <w:r>
        <w:t xml:space="preserve"> Connell et al., 2005</w:t>
      </w:r>
    </w:p>
  </w:footnote>
  <w:footnote w:id="10">
    <w:p w14:paraId="086F4838" w14:textId="779E14AE" w:rsidR="00C621A5" w:rsidRDefault="00C621A5">
      <w:pPr>
        <w:pStyle w:val="FootnoteText"/>
      </w:pPr>
      <w:r>
        <w:rPr>
          <w:rStyle w:val="FootnoteReference"/>
        </w:rPr>
        <w:footnoteRef/>
      </w:r>
      <w:r>
        <w:t xml:space="preserve"> </w:t>
      </w:r>
      <w:proofErr w:type="spellStart"/>
      <w:r>
        <w:t>Cawthorn</w:t>
      </w:r>
      <w:proofErr w:type="spellEnd"/>
      <w:r>
        <w:t>, 2008</w:t>
      </w:r>
    </w:p>
  </w:footnote>
  <w:footnote w:id="11">
    <w:p w14:paraId="0635DC1B" w14:textId="5762C70D" w:rsidR="001D3947" w:rsidRDefault="001D3947">
      <w:pPr>
        <w:pStyle w:val="FootnoteText"/>
      </w:pPr>
      <w:r>
        <w:rPr>
          <w:rStyle w:val="FootnoteReference"/>
        </w:rPr>
        <w:footnoteRef/>
      </w:r>
      <w:r>
        <w:t xml:space="preserve"> Dillon, 2004</w:t>
      </w:r>
    </w:p>
  </w:footnote>
  <w:footnote w:id="12">
    <w:p w14:paraId="43CC2BAB" w14:textId="46CDBE3C" w:rsidR="00303C26" w:rsidRDefault="00303C26">
      <w:pPr>
        <w:pStyle w:val="FootnoteText"/>
      </w:pPr>
      <w:r>
        <w:rPr>
          <w:rStyle w:val="FootnoteReference"/>
        </w:rPr>
        <w:footnoteRef/>
      </w:r>
      <w:r>
        <w:t xml:space="preserve"> </w:t>
      </w:r>
      <w:proofErr w:type="spellStart"/>
      <w:r>
        <w:t>Roisman</w:t>
      </w:r>
      <w:proofErr w:type="spellEnd"/>
      <w:r w:rsidR="00FF3666">
        <w:t xml:space="preserve">, </w:t>
      </w:r>
      <w:r w:rsidR="005F0A4D">
        <w:t>2011</w:t>
      </w:r>
    </w:p>
  </w:footnote>
  <w:footnote w:id="13">
    <w:p w14:paraId="2972C916" w14:textId="07617EF9" w:rsidR="009A0557" w:rsidRDefault="009A0557">
      <w:pPr>
        <w:pStyle w:val="FootnoteText"/>
      </w:pPr>
      <w:r>
        <w:rPr>
          <w:rStyle w:val="FootnoteReference"/>
        </w:rPr>
        <w:footnoteRef/>
      </w:r>
      <w:r>
        <w:t xml:space="preserve"> Mossman, 2001</w:t>
      </w:r>
    </w:p>
  </w:footnote>
  <w:footnote w:id="14">
    <w:p w14:paraId="5D1FF6D5" w14:textId="32A13689" w:rsidR="009A0557" w:rsidRDefault="009A0557">
      <w:pPr>
        <w:pStyle w:val="FootnoteText"/>
      </w:pPr>
      <w:r>
        <w:rPr>
          <w:rStyle w:val="FootnoteReference"/>
        </w:rPr>
        <w:footnoteRef/>
      </w:r>
      <w:r>
        <w:t xml:space="preserve"> </w:t>
      </w:r>
      <w:proofErr w:type="spellStart"/>
      <w:r>
        <w:t>Roisman</w:t>
      </w:r>
      <w:proofErr w:type="spellEnd"/>
      <w:r>
        <w:t>, 2004</w:t>
      </w:r>
    </w:p>
  </w:footnote>
  <w:footnote w:id="15">
    <w:p w14:paraId="648B986B" w14:textId="6A6E6515" w:rsidR="00D02357" w:rsidRDefault="00D02357">
      <w:pPr>
        <w:pStyle w:val="FootnoteText"/>
      </w:pPr>
      <w:r>
        <w:rPr>
          <w:rStyle w:val="FootnoteReference"/>
        </w:rPr>
        <w:footnoteRef/>
      </w:r>
      <w:r>
        <w:t xml:space="preserve"> </w:t>
      </w:r>
      <w:proofErr w:type="spellStart"/>
      <w:r>
        <w:t>McHardy</w:t>
      </w:r>
      <w:proofErr w:type="spellEnd"/>
      <w:r>
        <w:t>, 1997</w:t>
      </w:r>
    </w:p>
  </w:footnote>
  <w:footnote w:id="16">
    <w:p w14:paraId="251BE0AE" w14:textId="1F6C1C1B" w:rsidR="003E2F9B" w:rsidRDefault="003E2F9B">
      <w:pPr>
        <w:pStyle w:val="FootnoteText"/>
      </w:pPr>
      <w:r>
        <w:rPr>
          <w:rStyle w:val="FootnoteReference"/>
        </w:rPr>
        <w:footnoteRef/>
      </w:r>
      <w:r>
        <w:t xml:space="preserve"> Cohen, 1989</w:t>
      </w:r>
    </w:p>
  </w:footnote>
  <w:footnote w:id="17">
    <w:p w14:paraId="612BC101" w14:textId="79D94FF5" w:rsidR="00FD6A18" w:rsidRDefault="00FD6A18">
      <w:pPr>
        <w:pStyle w:val="FootnoteText"/>
      </w:pPr>
      <w:r>
        <w:rPr>
          <w:rStyle w:val="FootnoteReference"/>
        </w:rPr>
        <w:footnoteRef/>
      </w:r>
      <w:r>
        <w:t xml:space="preserve"> Allan, 2008</w:t>
      </w:r>
    </w:p>
  </w:footnote>
  <w:footnote w:id="18">
    <w:p w14:paraId="467505B3" w14:textId="69132910" w:rsidR="00612FBA" w:rsidRDefault="00612FBA">
      <w:pPr>
        <w:pStyle w:val="FootnoteText"/>
      </w:pPr>
      <w:r>
        <w:rPr>
          <w:rStyle w:val="FootnoteReference"/>
        </w:rPr>
        <w:footnoteRef/>
      </w:r>
      <w:r>
        <w:t xml:space="preserve"> Austin, 2008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E14652"/>
    <w:multiLevelType w:val="hybridMultilevel"/>
    <w:tmpl w:val="F53E03DC"/>
    <w:lvl w:ilvl="0" w:tplc="B6B0F614">
      <w:start w:val="5"/>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946"/>
    <w:rsid w:val="000042B8"/>
    <w:rsid w:val="00040E05"/>
    <w:rsid w:val="000660E5"/>
    <w:rsid w:val="000E5801"/>
    <w:rsid w:val="000E773D"/>
    <w:rsid w:val="0012322B"/>
    <w:rsid w:val="00131AFD"/>
    <w:rsid w:val="00150361"/>
    <w:rsid w:val="00167BBE"/>
    <w:rsid w:val="00191A7A"/>
    <w:rsid w:val="001944BF"/>
    <w:rsid w:val="001B4DF8"/>
    <w:rsid w:val="001D3947"/>
    <w:rsid w:val="00303C26"/>
    <w:rsid w:val="00312387"/>
    <w:rsid w:val="00343308"/>
    <w:rsid w:val="00383495"/>
    <w:rsid w:val="00390B7F"/>
    <w:rsid w:val="0039138F"/>
    <w:rsid w:val="00394C92"/>
    <w:rsid w:val="00396A93"/>
    <w:rsid w:val="003B68F0"/>
    <w:rsid w:val="003B6FF1"/>
    <w:rsid w:val="003E2F9B"/>
    <w:rsid w:val="00482537"/>
    <w:rsid w:val="004C0C9B"/>
    <w:rsid w:val="004F0541"/>
    <w:rsid w:val="00541F8B"/>
    <w:rsid w:val="00583BEA"/>
    <w:rsid w:val="005C4F0B"/>
    <w:rsid w:val="005F0A4D"/>
    <w:rsid w:val="005F281F"/>
    <w:rsid w:val="00612FBA"/>
    <w:rsid w:val="00615946"/>
    <w:rsid w:val="00637BFE"/>
    <w:rsid w:val="00662EF0"/>
    <w:rsid w:val="0067112C"/>
    <w:rsid w:val="006714B6"/>
    <w:rsid w:val="00673C4F"/>
    <w:rsid w:val="006C1DEA"/>
    <w:rsid w:val="00765210"/>
    <w:rsid w:val="007D6F1C"/>
    <w:rsid w:val="007F3A0E"/>
    <w:rsid w:val="00811104"/>
    <w:rsid w:val="00816901"/>
    <w:rsid w:val="00870607"/>
    <w:rsid w:val="008D6D2D"/>
    <w:rsid w:val="00915CDD"/>
    <w:rsid w:val="00955D28"/>
    <w:rsid w:val="00961DA8"/>
    <w:rsid w:val="00974665"/>
    <w:rsid w:val="009A0557"/>
    <w:rsid w:val="009B1ED1"/>
    <w:rsid w:val="009F5833"/>
    <w:rsid w:val="00A1246A"/>
    <w:rsid w:val="00A57FA6"/>
    <w:rsid w:val="00B253AB"/>
    <w:rsid w:val="00BC27A9"/>
    <w:rsid w:val="00BE27A0"/>
    <w:rsid w:val="00C57DBF"/>
    <w:rsid w:val="00C621A5"/>
    <w:rsid w:val="00C74AB7"/>
    <w:rsid w:val="00CF3DF2"/>
    <w:rsid w:val="00D02357"/>
    <w:rsid w:val="00D2249D"/>
    <w:rsid w:val="00E22ED6"/>
    <w:rsid w:val="00E51227"/>
    <w:rsid w:val="00E65D92"/>
    <w:rsid w:val="00E74190"/>
    <w:rsid w:val="00EB1A7D"/>
    <w:rsid w:val="00EB4617"/>
    <w:rsid w:val="00EB5C4C"/>
    <w:rsid w:val="00EC3CFC"/>
    <w:rsid w:val="00ED6D12"/>
    <w:rsid w:val="00EF4101"/>
    <w:rsid w:val="00F04049"/>
    <w:rsid w:val="00F70878"/>
    <w:rsid w:val="00F7713E"/>
    <w:rsid w:val="00FD6A18"/>
    <w:rsid w:val="00FF3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CB7B3"/>
  <w14:defaultImageDpi w14:val="32767"/>
  <w15:chartTrackingRefBased/>
  <w15:docId w15:val="{F46E3715-378C-474F-A399-D5AC280A5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1594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5801"/>
    <w:pPr>
      <w:ind w:left="720"/>
      <w:contextualSpacing/>
    </w:pPr>
  </w:style>
  <w:style w:type="paragraph" w:styleId="FootnoteText">
    <w:name w:val="footnote text"/>
    <w:basedOn w:val="Normal"/>
    <w:link w:val="FootnoteTextChar"/>
    <w:uiPriority w:val="99"/>
    <w:semiHidden/>
    <w:unhideWhenUsed/>
    <w:rsid w:val="00870607"/>
    <w:rPr>
      <w:sz w:val="20"/>
      <w:szCs w:val="20"/>
    </w:rPr>
  </w:style>
  <w:style w:type="character" w:customStyle="1" w:styleId="FootnoteTextChar">
    <w:name w:val="Footnote Text Char"/>
    <w:basedOn w:val="DefaultParagraphFont"/>
    <w:link w:val="FootnoteText"/>
    <w:uiPriority w:val="99"/>
    <w:semiHidden/>
    <w:rsid w:val="00870607"/>
    <w:rPr>
      <w:sz w:val="20"/>
      <w:szCs w:val="20"/>
    </w:rPr>
  </w:style>
  <w:style w:type="character" w:styleId="FootnoteReference">
    <w:name w:val="footnote reference"/>
    <w:basedOn w:val="DefaultParagraphFont"/>
    <w:uiPriority w:val="99"/>
    <w:semiHidden/>
    <w:unhideWhenUsed/>
    <w:rsid w:val="0087060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EAB3BD-C30A-AA4F-A68B-9B5528369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736</TotalTime>
  <Pages>6</Pages>
  <Words>1614</Words>
  <Characters>8619</Characters>
  <Application>Microsoft Office Word</Application>
  <DocSecurity>0</DocSecurity>
  <Lines>210</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dc:creator>
  <cp:keywords/>
  <dc:description/>
  <cp:lastModifiedBy>Elizabeth Cawdell</cp:lastModifiedBy>
  <cp:revision>59</cp:revision>
  <cp:lastPrinted>2019-10-11T21:03:00Z</cp:lastPrinted>
  <dcterms:created xsi:type="dcterms:W3CDTF">2019-09-26T11:33:00Z</dcterms:created>
  <dcterms:modified xsi:type="dcterms:W3CDTF">2019-10-11T21:23:00Z</dcterms:modified>
</cp:coreProperties>
</file>