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66CA2" w14:textId="77777777" w:rsidR="00A501A7" w:rsidRDefault="00A501A7" w:rsidP="00C540BE">
      <w:pPr>
        <w:spacing w:after="80" w:line="360" w:lineRule="auto"/>
        <w:rPr>
          <w:rFonts w:ascii="Times New Roman" w:eastAsia="Times New Roman" w:hAnsi="Times New Roman" w:cs="Times New Roman"/>
          <w:b/>
          <w:bCs/>
          <w:sz w:val="24"/>
          <w:szCs w:val="24"/>
        </w:rPr>
      </w:pPr>
    </w:p>
    <w:p w14:paraId="55626F6C" w14:textId="77777777" w:rsidR="00A501A7" w:rsidRDefault="00A501A7" w:rsidP="00C540BE">
      <w:pPr>
        <w:spacing w:after="80" w:line="360" w:lineRule="auto"/>
        <w:rPr>
          <w:rFonts w:ascii="Times New Roman" w:eastAsia="Times New Roman" w:hAnsi="Times New Roman" w:cs="Times New Roman"/>
          <w:b/>
          <w:bCs/>
          <w:sz w:val="24"/>
          <w:szCs w:val="24"/>
        </w:rPr>
      </w:pPr>
    </w:p>
    <w:p w14:paraId="3C5963A4" w14:textId="1A4BE7D2" w:rsidR="00A501A7" w:rsidRDefault="00C540BE" w:rsidP="00C540BE">
      <w:pPr>
        <w:spacing w:after="80" w:line="360" w:lineRule="auto"/>
        <w:rPr>
          <w:rFonts w:ascii="Times New Roman" w:eastAsia="Times New Roman" w:hAnsi="Times New Roman" w:cs="Times New Roman"/>
          <w:b/>
          <w:bCs/>
          <w:sz w:val="24"/>
          <w:szCs w:val="24"/>
        </w:rPr>
      </w:pPr>
      <w:r>
        <w:rPr>
          <w:noProof/>
        </w:rPr>
        <w:drawing>
          <wp:inline distT="0" distB="0" distL="0" distR="0" wp14:anchorId="6D0913D7" wp14:editId="6B4012CE">
            <wp:extent cx="4794250" cy="2136857"/>
            <wp:effectExtent l="0" t="0" r="635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12265" cy="2144886"/>
                    </a:xfrm>
                    <a:prstGeom prst="rect">
                      <a:avLst/>
                    </a:prstGeom>
                    <a:noFill/>
                    <a:ln>
                      <a:noFill/>
                    </a:ln>
                  </pic:spPr>
                </pic:pic>
              </a:graphicData>
            </a:graphic>
          </wp:inline>
        </w:drawing>
      </w:r>
    </w:p>
    <w:p w14:paraId="4C506983" w14:textId="77777777" w:rsidR="00A501A7" w:rsidRDefault="00A501A7" w:rsidP="00C540BE">
      <w:pPr>
        <w:spacing w:after="80" w:line="360" w:lineRule="auto"/>
        <w:rPr>
          <w:rFonts w:ascii="Times New Roman" w:eastAsia="Times New Roman" w:hAnsi="Times New Roman" w:cs="Times New Roman"/>
          <w:b/>
          <w:bCs/>
          <w:sz w:val="24"/>
          <w:szCs w:val="24"/>
        </w:rPr>
      </w:pPr>
    </w:p>
    <w:p w14:paraId="43ECA5C0" w14:textId="77777777" w:rsidR="00A501A7" w:rsidRDefault="00A501A7" w:rsidP="00C540BE">
      <w:pPr>
        <w:spacing w:after="80" w:line="360" w:lineRule="auto"/>
        <w:rPr>
          <w:rFonts w:ascii="Times New Roman" w:eastAsia="Times New Roman" w:hAnsi="Times New Roman" w:cs="Times New Roman"/>
          <w:b/>
          <w:bCs/>
          <w:sz w:val="24"/>
          <w:szCs w:val="24"/>
        </w:rPr>
      </w:pPr>
    </w:p>
    <w:p w14:paraId="4F916585" w14:textId="65ED236F" w:rsidR="0006597F" w:rsidRPr="00794C7F" w:rsidRDefault="0006597F" w:rsidP="003A5AEF">
      <w:pPr>
        <w:spacing w:after="80" w:line="360" w:lineRule="auto"/>
        <w:jc w:val="center"/>
        <w:rPr>
          <w:rFonts w:ascii="Agency FB" w:eastAsia="Times New Roman" w:hAnsi="Agency FB" w:cs="Times New Roman"/>
          <w:bCs/>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4C7F">
        <w:rPr>
          <w:rFonts w:ascii="Agency FB" w:hAnsi="Agency FB"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Coursework </w:t>
      </w:r>
      <w:r w:rsidR="00833EC3" w:rsidRPr="00794C7F">
        <w:rPr>
          <w:rFonts w:ascii="Agency FB" w:hAnsi="Agency FB"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r w:rsidRPr="00794C7F">
        <w:rPr>
          <w:rFonts w:ascii="Agency FB" w:hAnsi="Agency FB"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94C7F">
        <w:rPr>
          <w:rFonts w:ascii="Agency FB" w:eastAsia="Times New Roman" w:hAnsi="Agency FB" w:cs="Times New Roman"/>
          <w:bCs/>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Security and Governance Framework for Health</w:t>
      </w:r>
      <w:r w:rsidR="003A5AEF" w:rsidRPr="00794C7F">
        <w:rPr>
          <w:rFonts w:ascii="Agency FB" w:eastAsia="Times New Roman" w:hAnsi="Agency FB" w:cs="Times New Roman"/>
          <w:bCs/>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94C7F">
        <w:rPr>
          <w:rFonts w:ascii="Agency FB" w:eastAsia="Times New Roman" w:hAnsi="Agency FB" w:cs="Times New Roman"/>
          <w:bCs/>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Plus Analytics (HPA)</w:t>
      </w:r>
    </w:p>
    <w:p w14:paraId="6AA67D58" w14:textId="17F06C45" w:rsidR="0006597F" w:rsidRPr="00B969DC" w:rsidRDefault="0006597F" w:rsidP="00254950">
      <w:pP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AC46D4" w14:textId="6E8CA021" w:rsidR="0006597F" w:rsidRPr="0006597F" w:rsidRDefault="0006597F" w:rsidP="0006597F">
      <w:pPr>
        <w:jc w:val="cente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bookmarkStart w:id="0" w:name="_Toc51004456"/>
      <w:r w:rsidR="00833EC3"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00833EC3">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Computer </w:t>
      </w:r>
      <w:bookmarkEnd w:id="0"/>
      <w:r w:rsidRPr="0006597F">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Networks and Cyber Security Essentials</w:t>
      </w:r>
      <w:r w:rsidRPr="0006597F">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D49B2F" w14:textId="77777777" w:rsidR="0006597F" w:rsidRPr="0006597F" w:rsidRDefault="0006597F" w:rsidP="0006597F">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06597F">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ACCA4024</w:t>
      </w:r>
    </w:p>
    <w:p w14:paraId="66923097" w14:textId="4D7A672A" w:rsidR="0006597F" w:rsidRPr="0006597F" w:rsidRDefault="0006597F" w:rsidP="0006597F">
      <w:pPr>
        <w:jc w:val="cente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Yonatan Grmay</w:t>
      </w:r>
    </w:p>
    <w:p w14:paraId="115F078C" w14:textId="77777777" w:rsidR="0006597F" w:rsidRPr="0006597F" w:rsidRDefault="0006597F" w:rsidP="0006597F">
      <w:pPr>
        <w:jc w:val="cente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2433740</w:t>
      </w:r>
    </w:p>
    <w:p w14:paraId="05B12E8D" w14:textId="618A217D" w:rsidR="0006597F" w:rsidRDefault="0006597F" w:rsidP="0006597F">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97F">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Pr="0006597F">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Muhammad Azeem Abbas</w:t>
      </w:r>
    </w:p>
    <w:p w14:paraId="1452CA39" w14:textId="787B7B94" w:rsidR="004A508C" w:rsidRPr="0006597F" w:rsidRDefault="004A508C" w:rsidP="0006597F">
      <w:pPr>
        <w:jc w:val="cente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06/March/2026</w:t>
      </w:r>
    </w:p>
    <w:p w14:paraId="125DD133" w14:textId="77777777" w:rsidR="00A501A7" w:rsidRPr="00C540BE" w:rsidRDefault="00A501A7" w:rsidP="00C540BE">
      <w:pPr>
        <w:spacing w:after="80" w:line="360" w:lineRule="auto"/>
        <w:rPr>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2F5DF5" w14:textId="77777777" w:rsidR="00A501A7" w:rsidRDefault="00A501A7" w:rsidP="00C540BE">
      <w:pPr>
        <w:spacing w:after="80" w:line="360" w:lineRule="auto"/>
        <w:rPr>
          <w:rFonts w:ascii="Times New Roman" w:eastAsia="Times New Roman" w:hAnsi="Times New Roman" w:cs="Times New Roman"/>
          <w:b/>
          <w:bCs/>
          <w:sz w:val="24"/>
          <w:szCs w:val="24"/>
        </w:rPr>
      </w:pPr>
    </w:p>
    <w:p w14:paraId="49DB9DDD" w14:textId="77777777" w:rsidR="000A4734" w:rsidRDefault="000A4734" w:rsidP="00C540BE">
      <w:pPr>
        <w:spacing w:after="80" w:line="360" w:lineRule="auto"/>
        <w:rPr>
          <w:rFonts w:ascii="Times New Roman" w:eastAsia="Times New Roman" w:hAnsi="Times New Roman" w:cs="Times New Roman"/>
          <w:b/>
          <w:bCs/>
          <w:sz w:val="36"/>
          <w:szCs w:val="36"/>
        </w:rPr>
      </w:pPr>
    </w:p>
    <w:p w14:paraId="38F304EA" w14:textId="7F53B88B" w:rsidR="00A501A7" w:rsidRPr="00254950" w:rsidRDefault="00000000" w:rsidP="00C540BE">
      <w:pPr>
        <w:spacing w:after="80" w:line="360" w:lineRule="auto"/>
        <w:rPr>
          <w:rFonts w:ascii="Times New Roman" w:eastAsia="Times New Roman" w:hAnsi="Times New Roman" w:cs="Times New Roman"/>
          <w:b/>
          <w:bCs/>
          <w:sz w:val="36"/>
          <w:szCs w:val="36"/>
        </w:rPr>
      </w:pPr>
      <w:r w:rsidRPr="00254950">
        <w:rPr>
          <w:rFonts w:ascii="Times New Roman" w:eastAsia="Times New Roman" w:hAnsi="Times New Roman" w:cs="Times New Roman"/>
          <w:b/>
          <w:bCs/>
          <w:sz w:val="36"/>
          <w:szCs w:val="36"/>
        </w:rPr>
        <w:t>Table of Contents</w:t>
      </w:r>
    </w:p>
    <w:sdt>
      <w:sdtPr>
        <w:rPr>
          <w:rFonts w:ascii="Arial" w:eastAsia="Arial" w:hAnsi="Arial" w:cs="Arial"/>
          <w:color w:val="auto"/>
          <w:sz w:val="22"/>
          <w:szCs w:val="22"/>
          <w:lang w:val="en"/>
        </w:rPr>
        <w:id w:val="389997559"/>
        <w:docPartObj>
          <w:docPartGallery w:val="Table of Contents"/>
          <w:docPartUnique/>
        </w:docPartObj>
      </w:sdtPr>
      <w:sdtEndPr>
        <w:rPr>
          <w:b/>
          <w:bCs/>
        </w:rPr>
      </w:sdtEndPr>
      <w:sdtContent>
        <w:p w14:paraId="2906AFC4" w14:textId="77777777" w:rsidR="000A4734" w:rsidRDefault="000A4734">
          <w:pPr>
            <w:pStyle w:val="TOCHeading"/>
          </w:pPr>
          <w:r>
            <w:t>Contents</w:t>
          </w:r>
        </w:p>
        <w:p w14:paraId="08757A35" w14:textId="39DBE96E" w:rsidR="00080E56" w:rsidRDefault="000A4734">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22990548" w:history="1">
            <w:r w:rsidR="00080E56" w:rsidRPr="004C3DD8">
              <w:rPr>
                <w:rStyle w:val="Hyperlink"/>
                <w:rFonts w:ascii="Times New Roman" w:eastAsia="Times New Roman" w:hAnsi="Times New Roman" w:cs="Times New Roman"/>
                <w:b/>
                <w:bCs/>
                <w:i/>
                <w:iCs/>
                <w:noProof/>
              </w:rPr>
              <w:t>1. Introduction</w:t>
            </w:r>
            <w:r w:rsidR="00080E56">
              <w:rPr>
                <w:noProof/>
                <w:webHidden/>
              </w:rPr>
              <w:tab/>
            </w:r>
            <w:r w:rsidR="00080E56">
              <w:rPr>
                <w:noProof/>
                <w:webHidden/>
              </w:rPr>
              <w:fldChar w:fldCharType="begin"/>
            </w:r>
            <w:r w:rsidR="00080E56">
              <w:rPr>
                <w:noProof/>
                <w:webHidden/>
              </w:rPr>
              <w:instrText xml:space="preserve"> PAGEREF _Toc222990548 \h </w:instrText>
            </w:r>
            <w:r w:rsidR="00080E56">
              <w:rPr>
                <w:noProof/>
                <w:webHidden/>
              </w:rPr>
            </w:r>
            <w:r w:rsidR="00080E56">
              <w:rPr>
                <w:noProof/>
                <w:webHidden/>
              </w:rPr>
              <w:fldChar w:fldCharType="separate"/>
            </w:r>
            <w:r w:rsidR="00080E56">
              <w:rPr>
                <w:noProof/>
                <w:webHidden/>
              </w:rPr>
              <w:t>2</w:t>
            </w:r>
            <w:r w:rsidR="00080E56">
              <w:rPr>
                <w:noProof/>
                <w:webHidden/>
              </w:rPr>
              <w:fldChar w:fldCharType="end"/>
            </w:r>
          </w:hyperlink>
        </w:p>
        <w:p w14:paraId="1DDE0126" w14:textId="700C118A"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49" w:history="1">
            <w:r w:rsidRPr="004C3DD8">
              <w:rPr>
                <w:rStyle w:val="Hyperlink"/>
                <w:rFonts w:ascii="Times New Roman" w:eastAsia="Times New Roman" w:hAnsi="Times New Roman" w:cs="Times New Roman"/>
                <w:b/>
                <w:bCs/>
                <w:i/>
                <w:iCs/>
                <w:noProof/>
              </w:rPr>
              <w:t>2. Identification of Threats</w:t>
            </w:r>
            <w:r>
              <w:rPr>
                <w:noProof/>
                <w:webHidden/>
              </w:rPr>
              <w:tab/>
            </w:r>
            <w:r>
              <w:rPr>
                <w:noProof/>
                <w:webHidden/>
              </w:rPr>
              <w:fldChar w:fldCharType="begin"/>
            </w:r>
            <w:r>
              <w:rPr>
                <w:noProof/>
                <w:webHidden/>
              </w:rPr>
              <w:instrText xml:space="preserve"> PAGEREF _Toc222990549 \h </w:instrText>
            </w:r>
            <w:r>
              <w:rPr>
                <w:noProof/>
                <w:webHidden/>
              </w:rPr>
            </w:r>
            <w:r>
              <w:rPr>
                <w:noProof/>
                <w:webHidden/>
              </w:rPr>
              <w:fldChar w:fldCharType="separate"/>
            </w:r>
            <w:r>
              <w:rPr>
                <w:noProof/>
                <w:webHidden/>
              </w:rPr>
              <w:t>2</w:t>
            </w:r>
            <w:r>
              <w:rPr>
                <w:noProof/>
                <w:webHidden/>
              </w:rPr>
              <w:fldChar w:fldCharType="end"/>
            </w:r>
          </w:hyperlink>
        </w:p>
        <w:p w14:paraId="68DEC3A1" w14:textId="0278FA4F"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0" w:history="1">
            <w:r w:rsidRPr="004C3DD8">
              <w:rPr>
                <w:rStyle w:val="Hyperlink"/>
                <w:rFonts w:ascii="Times New Roman" w:eastAsia="Times New Roman" w:hAnsi="Times New Roman" w:cs="Times New Roman"/>
                <w:b/>
                <w:bCs/>
                <w:i/>
                <w:iCs/>
                <w:noProof/>
              </w:rPr>
              <w:t>3. Security Policies</w:t>
            </w:r>
            <w:r>
              <w:rPr>
                <w:noProof/>
                <w:webHidden/>
              </w:rPr>
              <w:tab/>
            </w:r>
            <w:r>
              <w:rPr>
                <w:noProof/>
                <w:webHidden/>
              </w:rPr>
              <w:fldChar w:fldCharType="begin"/>
            </w:r>
            <w:r>
              <w:rPr>
                <w:noProof/>
                <w:webHidden/>
              </w:rPr>
              <w:instrText xml:space="preserve"> PAGEREF _Toc222990550 \h </w:instrText>
            </w:r>
            <w:r>
              <w:rPr>
                <w:noProof/>
                <w:webHidden/>
              </w:rPr>
            </w:r>
            <w:r>
              <w:rPr>
                <w:noProof/>
                <w:webHidden/>
              </w:rPr>
              <w:fldChar w:fldCharType="separate"/>
            </w:r>
            <w:r>
              <w:rPr>
                <w:noProof/>
                <w:webHidden/>
              </w:rPr>
              <w:t>4</w:t>
            </w:r>
            <w:r>
              <w:rPr>
                <w:noProof/>
                <w:webHidden/>
              </w:rPr>
              <w:fldChar w:fldCharType="end"/>
            </w:r>
          </w:hyperlink>
        </w:p>
        <w:p w14:paraId="4503D380" w14:textId="60AE8902"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1" w:history="1">
            <w:r w:rsidRPr="004C3DD8">
              <w:rPr>
                <w:rStyle w:val="Hyperlink"/>
                <w:rFonts w:ascii="Times New Roman" w:eastAsia="Times New Roman" w:hAnsi="Times New Roman" w:cs="Times New Roman"/>
                <w:b/>
                <w:bCs/>
                <w:i/>
                <w:iCs/>
                <w:noProof/>
              </w:rPr>
              <w:t>4. Mitigation Measures</w:t>
            </w:r>
            <w:r>
              <w:rPr>
                <w:noProof/>
                <w:webHidden/>
              </w:rPr>
              <w:tab/>
            </w:r>
            <w:r>
              <w:rPr>
                <w:noProof/>
                <w:webHidden/>
              </w:rPr>
              <w:fldChar w:fldCharType="begin"/>
            </w:r>
            <w:r>
              <w:rPr>
                <w:noProof/>
                <w:webHidden/>
              </w:rPr>
              <w:instrText xml:space="preserve"> PAGEREF _Toc222990551 \h </w:instrText>
            </w:r>
            <w:r>
              <w:rPr>
                <w:noProof/>
                <w:webHidden/>
              </w:rPr>
            </w:r>
            <w:r>
              <w:rPr>
                <w:noProof/>
                <w:webHidden/>
              </w:rPr>
              <w:fldChar w:fldCharType="separate"/>
            </w:r>
            <w:r>
              <w:rPr>
                <w:noProof/>
                <w:webHidden/>
              </w:rPr>
              <w:t>5</w:t>
            </w:r>
            <w:r>
              <w:rPr>
                <w:noProof/>
                <w:webHidden/>
              </w:rPr>
              <w:fldChar w:fldCharType="end"/>
            </w:r>
          </w:hyperlink>
        </w:p>
        <w:p w14:paraId="3ED5B170" w14:textId="6250B695"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2" w:history="1">
            <w:r w:rsidRPr="004C3DD8">
              <w:rPr>
                <w:rStyle w:val="Hyperlink"/>
                <w:rFonts w:ascii="Times New Roman" w:eastAsia="Times New Roman" w:hAnsi="Times New Roman" w:cs="Times New Roman"/>
                <w:b/>
                <w:bCs/>
                <w:i/>
                <w:iCs/>
                <w:noProof/>
              </w:rPr>
              <w:t>5. Monitoring and Response</w:t>
            </w:r>
            <w:r>
              <w:rPr>
                <w:noProof/>
                <w:webHidden/>
              </w:rPr>
              <w:tab/>
            </w:r>
            <w:r>
              <w:rPr>
                <w:noProof/>
                <w:webHidden/>
              </w:rPr>
              <w:fldChar w:fldCharType="begin"/>
            </w:r>
            <w:r>
              <w:rPr>
                <w:noProof/>
                <w:webHidden/>
              </w:rPr>
              <w:instrText xml:space="preserve"> PAGEREF _Toc222990552 \h </w:instrText>
            </w:r>
            <w:r>
              <w:rPr>
                <w:noProof/>
                <w:webHidden/>
              </w:rPr>
            </w:r>
            <w:r>
              <w:rPr>
                <w:noProof/>
                <w:webHidden/>
              </w:rPr>
              <w:fldChar w:fldCharType="separate"/>
            </w:r>
            <w:r>
              <w:rPr>
                <w:noProof/>
                <w:webHidden/>
              </w:rPr>
              <w:t>7</w:t>
            </w:r>
            <w:r>
              <w:rPr>
                <w:noProof/>
                <w:webHidden/>
              </w:rPr>
              <w:fldChar w:fldCharType="end"/>
            </w:r>
          </w:hyperlink>
        </w:p>
        <w:p w14:paraId="2704EAA8" w14:textId="424FF029" w:rsidR="00080E56" w:rsidRDefault="00080E56">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3" w:history="1">
            <w:r w:rsidRPr="004C3DD8">
              <w:rPr>
                <w:rStyle w:val="Hyperlink"/>
                <w:rFonts w:ascii="Times New Roman" w:eastAsia="Times New Roman" w:hAnsi="Times New Roman" w:cs="Times New Roman"/>
                <w:b/>
                <w:bCs/>
                <w:noProof/>
              </w:rPr>
              <w:t>Monitoring Framework</w:t>
            </w:r>
            <w:r>
              <w:rPr>
                <w:noProof/>
                <w:webHidden/>
              </w:rPr>
              <w:tab/>
            </w:r>
            <w:r>
              <w:rPr>
                <w:noProof/>
                <w:webHidden/>
              </w:rPr>
              <w:fldChar w:fldCharType="begin"/>
            </w:r>
            <w:r>
              <w:rPr>
                <w:noProof/>
                <w:webHidden/>
              </w:rPr>
              <w:instrText xml:space="preserve"> PAGEREF _Toc222990553 \h </w:instrText>
            </w:r>
            <w:r>
              <w:rPr>
                <w:noProof/>
                <w:webHidden/>
              </w:rPr>
            </w:r>
            <w:r>
              <w:rPr>
                <w:noProof/>
                <w:webHidden/>
              </w:rPr>
              <w:fldChar w:fldCharType="separate"/>
            </w:r>
            <w:r>
              <w:rPr>
                <w:noProof/>
                <w:webHidden/>
              </w:rPr>
              <w:t>7</w:t>
            </w:r>
            <w:r>
              <w:rPr>
                <w:noProof/>
                <w:webHidden/>
              </w:rPr>
              <w:fldChar w:fldCharType="end"/>
            </w:r>
          </w:hyperlink>
        </w:p>
        <w:p w14:paraId="02AB0820" w14:textId="68BF2812" w:rsidR="00080E56" w:rsidRDefault="00080E56">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4" w:history="1">
            <w:r w:rsidRPr="004C3DD8">
              <w:rPr>
                <w:rStyle w:val="Hyperlink"/>
                <w:rFonts w:ascii="Times New Roman" w:eastAsia="Times New Roman" w:hAnsi="Times New Roman" w:cs="Times New Roman"/>
                <w:b/>
                <w:bCs/>
                <w:noProof/>
              </w:rPr>
              <w:t>Incident Response Plan (Flow Diagram)</w:t>
            </w:r>
            <w:r>
              <w:rPr>
                <w:noProof/>
                <w:webHidden/>
              </w:rPr>
              <w:tab/>
            </w:r>
            <w:r>
              <w:rPr>
                <w:noProof/>
                <w:webHidden/>
              </w:rPr>
              <w:fldChar w:fldCharType="begin"/>
            </w:r>
            <w:r>
              <w:rPr>
                <w:noProof/>
                <w:webHidden/>
              </w:rPr>
              <w:instrText xml:space="preserve"> PAGEREF _Toc222990554 \h </w:instrText>
            </w:r>
            <w:r>
              <w:rPr>
                <w:noProof/>
                <w:webHidden/>
              </w:rPr>
            </w:r>
            <w:r>
              <w:rPr>
                <w:noProof/>
                <w:webHidden/>
              </w:rPr>
              <w:fldChar w:fldCharType="separate"/>
            </w:r>
            <w:r>
              <w:rPr>
                <w:noProof/>
                <w:webHidden/>
              </w:rPr>
              <w:t>12</w:t>
            </w:r>
            <w:r>
              <w:rPr>
                <w:noProof/>
                <w:webHidden/>
              </w:rPr>
              <w:fldChar w:fldCharType="end"/>
            </w:r>
          </w:hyperlink>
        </w:p>
        <w:p w14:paraId="766365F9" w14:textId="75C2D7EC"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5" w:history="1">
            <w:r w:rsidRPr="004C3DD8">
              <w:rPr>
                <w:rStyle w:val="Hyperlink"/>
                <w:rFonts w:ascii="Times New Roman" w:eastAsia="Times New Roman" w:hAnsi="Times New Roman" w:cs="Times New Roman"/>
                <w:b/>
                <w:bCs/>
                <w:i/>
                <w:iCs/>
                <w:noProof/>
              </w:rPr>
              <w:t>6. Training and Awareness Program</w:t>
            </w:r>
            <w:r>
              <w:rPr>
                <w:noProof/>
                <w:webHidden/>
              </w:rPr>
              <w:tab/>
            </w:r>
            <w:r>
              <w:rPr>
                <w:noProof/>
                <w:webHidden/>
              </w:rPr>
              <w:fldChar w:fldCharType="begin"/>
            </w:r>
            <w:r>
              <w:rPr>
                <w:noProof/>
                <w:webHidden/>
              </w:rPr>
              <w:instrText xml:space="preserve"> PAGEREF _Toc222990555 \h </w:instrText>
            </w:r>
            <w:r>
              <w:rPr>
                <w:noProof/>
                <w:webHidden/>
              </w:rPr>
            </w:r>
            <w:r>
              <w:rPr>
                <w:noProof/>
                <w:webHidden/>
              </w:rPr>
              <w:fldChar w:fldCharType="separate"/>
            </w:r>
            <w:r>
              <w:rPr>
                <w:noProof/>
                <w:webHidden/>
              </w:rPr>
              <w:t>14</w:t>
            </w:r>
            <w:r>
              <w:rPr>
                <w:noProof/>
                <w:webHidden/>
              </w:rPr>
              <w:fldChar w:fldCharType="end"/>
            </w:r>
          </w:hyperlink>
        </w:p>
        <w:p w14:paraId="5E4C040F" w14:textId="625A5484"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6" w:history="1">
            <w:r w:rsidRPr="004C3DD8">
              <w:rPr>
                <w:rStyle w:val="Hyperlink"/>
                <w:rFonts w:ascii="Times New Roman" w:eastAsia="Times New Roman" w:hAnsi="Times New Roman" w:cs="Times New Roman"/>
                <w:b/>
                <w:bCs/>
                <w:i/>
                <w:iCs/>
                <w:noProof/>
              </w:rPr>
              <w:t>7. Conclusion</w:t>
            </w:r>
            <w:r>
              <w:rPr>
                <w:noProof/>
                <w:webHidden/>
              </w:rPr>
              <w:tab/>
            </w:r>
            <w:r>
              <w:rPr>
                <w:noProof/>
                <w:webHidden/>
              </w:rPr>
              <w:fldChar w:fldCharType="begin"/>
            </w:r>
            <w:r>
              <w:rPr>
                <w:noProof/>
                <w:webHidden/>
              </w:rPr>
              <w:instrText xml:space="preserve"> PAGEREF _Toc222990556 \h </w:instrText>
            </w:r>
            <w:r>
              <w:rPr>
                <w:noProof/>
                <w:webHidden/>
              </w:rPr>
            </w:r>
            <w:r>
              <w:rPr>
                <w:noProof/>
                <w:webHidden/>
              </w:rPr>
              <w:fldChar w:fldCharType="separate"/>
            </w:r>
            <w:r>
              <w:rPr>
                <w:noProof/>
                <w:webHidden/>
              </w:rPr>
              <w:t>15</w:t>
            </w:r>
            <w:r>
              <w:rPr>
                <w:noProof/>
                <w:webHidden/>
              </w:rPr>
              <w:fldChar w:fldCharType="end"/>
            </w:r>
          </w:hyperlink>
        </w:p>
        <w:p w14:paraId="254494EF" w14:textId="67C995A4" w:rsidR="00080E56" w:rsidRDefault="00080E56">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2990557" w:history="1">
            <w:r w:rsidRPr="004C3DD8">
              <w:rPr>
                <w:rStyle w:val="Hyperlink"/>
                <w:rFonts w:ascii="Times New Roman" w:eastAsia="Times New Roman" w:hAnsi="Times New Roman" w:cs="Times New Roman"/>
                <w:b/>
                <w:bCs/>
                <w:i/>
                <w:iCs/>
                <w:noProof/>
              </w:rPr>
              <w:t>References</w:t>
            </w:r>
            <w:r>
              <w:rPr>
                <w:noProof/>
                <w:webHidden/>
              </w:rPr>
              <w:tab/>
            </w:r>
            <w:r>
              <w:rPr>
                <w:noProof/>
                <w:webHidden/>
              </w:rPr>
              <w:fldChar w:fldCharType="begin"/>
            </w:r>
            <w:r>
              <w:rPr>
                <w:noProof/>
                <w:webHidden/>
              </w:rPr>
              <w:instrText xml:space="preserve"> PAGEREF _Toc222990557 \h </w:instrText>
            </w:r>
            <w:r>
              <w:rPr>
                <w:noProof/>
                <w:webHidden/>
              </w:rPr>
            </w:r>
            <w:r>
              <w:rPr>
                <w:noProof/>
                <w:webHidden/>
              </w:rPr>
              <w:fldChar w:fldCharType="separate"/>
            </w:r>
            <w:r>
              <w:rPr>
                <w:noProof/>
                <w:webHidden/>
              </w:rPr>
              <w:t>16</w:t>
            </w:r>
            <w:r>
              <w:rPr>
                <w:noProof/>
                <w:webHidden/>
              </w:rPr>
              <w:fldChar w:fldCharType="end"/>
            </w:r>
          </w:hyperlink>
        </w:p>
        <w:p w14:paraId="0091C321" w14:textId="5312545D" w:rsidR="000A4734" w:rsidRDefault="000A4734">
          <w:r>
            <w:rPr>
              <w:b/>
              <w:bCs/>
            </w:rPr>
            <w:fldChar w:fldCharType="end"/>
          </w:r>
        </w:p>
      </w:sdtContent>
    </w:sdt>
    <w:p w14:paraId="1B4470E0" w14:textId="77777777" w:rsidR="00A501A7" w:rsidRDefault="00A501A7" w:rsidP="00C540BE">
      <w:pPr>
        <w:spacing w:after="80" w:line="360" w:lineRule="auto"/>
        <w:rPr>
          <w:rFonts w:ascii="Times New Roman" w:eastAsia="Times New Roman" w:hAnsi="Times New Roman" w:cs="Times New Roman"/>
          <w:b/>
          <w:bCs/>
          <w:sz w:val="24"/>
          <w:szCs w:val="24"/>
        </w:rPr>
      </w:pPr>
    </w:p>
    <w:p w14:paraId="2BAAFA2C" w14:textId="77777777" w:rsidR="00A501A7" w:rsidRDefault="00A501A7" w:rsidP="00C540BE">
      <w:pPr>
        <w:spacing w:after="80" w:line="360" w:lineRule="auto"/>
        <w:rPr>
          <w:rFonts w:ascii="Times New Roman" w:eastAsia="Times New Roman" w:hAnsi="Times New Roman" w:cs="Times New Roman"/>
          <w:b/>
          <w:bCs/>
          <w:sz w:val="24"/>
          <w:szCs w:val="24"/>
        </w:rPr>
      </w:pPr>
    </w:p>
    <w:p w14:paraId="594C37AF" w14:textId="77777777" w:rsidR="00A501A7" w:rsidRDefault="00A501A7" w:rsidP="00C540BE">
      <w:pPr>
        <w:spacing w:after="80" w:line="360" w:lineRule="auto"/>
        <w:rPr>
          <w:rFonts w:ascii="Times New Roman" w:eastAsia="Times New Roman" w:hAnsi="Times New Roman" w:cs="Times New Roman"/>
          <w:b/>
          <w:bCs/>
          <w:sz w:val="24"/>
          <w:szCs w:val="24"/>
        </w:rPr>
      </w:pPr>
    </w:p>
    <w:p w14:paraId="5C011C46" w14:textId="77777777" w:rsidR="00A501A7" w:rsidRDefault="00A501A7" w:rsidP="00C540BE">
      <w:pPr>
        <w:spacing w:after="80" w:line="360" w:lineRule="auto"/>
        <w:rPr>
          <w:rFonts w:ascii="Times New Roman" w:eastAsia="Times New Roman" w:hAnsi="Times New Roman" w:cs="Times New Roman"/>
          <w:b/>
          <w:bCs/>
          <w:sz w:val="24"/>
          <w:szCs w:val="24"/>
        </w:rPr>
      </w:pPr>
    </w:p>
    <w:p w14:paraId="31A69241" w14:textId="77777777" w:rsidR="00A501A7" w:rsidRDefault="00A501A7" w:rsidP="00C540BE">
      <w:pPr>
        <w:spacing w:after="80" w:line="360" w:lineRule="auto"/>
        <w:rPr>
          <w:rFonts w:ascii="Times New Roman" w:eastAsia="Times New Roman" w:hAnsi="Times New Roman" w:cs="Times New Roman"/>
          <w:b/>
          <w:bCs/>
          <w:sz w:val="24"/>
          <w:szCs w:val="24"/>
        </w:rPr>
      </w:pPr>
    </w:p>
    <w:p w14:paraId="2ECE13F9" w14:textId="77777777" w:rsidR="000A4734" w:rsidRDefault="000A4734" w:rsidP="00C540BE">
      <w:pPr>
        <w:spacing w:after="80" w:line="360" w:lineRule="auto"/>
        <w:rPr>
          <w:rFonts w:ascii="Times New Roman" w:eastAsia="Times New Roman" w:hAnsi="Times New Roman" w:cs="Times New Roman"/>
          <w:b/>
          <w:bCs/>
          <w:sz w:val="24"/>
          <w:szCs w:val="24"/>
        </w:rPr>
      </w:pPr>
    </w:p>
    <w:p w14:paraId="000DDA87" w14:textId="77777777" w:rsidR="000A4734" w:rsidRDefault="000A4734" w:rsidP="00C540BE">
      <w:pPr>
        <w:spacing w:after="80" w:line="360" w:lineRule="auto"/>
        <w:rPr>
          <w:rFonts w:ascii="Times New Roman" w:eastAsia="Times New Roman" w:hAnsi="Times New Roman" w:cs="Times New Roman"/>
          <w:b/>
          <w:bCs/>
          <w:sz w:val="24"/>
          <w:szCs w:val="24"/>
        </w:rPr>
      </w:pPr>
    </w:p>
    <w:p w14:paraId="2BC46449" w14:textId="77777777" w:rsidR="000A4734" w:rsidRDefault="000A4734" w:rsidP="00C540BE">
      <w:pPr>
        <w:spacing w:after="80" w:line="360" w:lineRule="auto"/>
        <w:rPr>
          <w:rFonts w:ascii="Times New Roman" w:eastAsia="Times New Roman" w:hAnsi="Times New Roman" w:cs="Times New Roman"/>
          <w:b/>
          <w:bCs/>
          <w:sz w:val="24"/>
          <w:szCs w:val="24"/>
        </w:rPr>
      </w:pPr>
    </w:p>
    <w:p w14:paraId="0CA279E1" w14:textId="77777777" w:rsidR="000A4734" w:rsidRDefault="000A4734" w:rsidP="00C540BE">
      <w:pPr>
        <w:spacing w:after="80" w:line="360" w:lineRule="auto"/>
        <w:rPr>
          <w:rFonts w:ascii="Times New Roman" w:eastAsia="Times New Roman" w:hAnsi="Times New Roman" w:cs="Times New Roman"/>
          <w:b/>
          <w:bCs/>
          <w:sz w:val="24"/>
          <w:szCs w:val="24"/>
        </w:rPr>
      </w:pPr>
    </w:p>
    <w:p w14:paraId="0C727F52" w14:textId="77777777" w:rsidR="000A4734" w:rsidRDefault="000A4734" w:rsidP="00C540BE">
      <w:pPr>
        <w:spacing w:after="80" w:line="360" w:lineRule="auto"/>
        <w:rPr>
          <w:rFonts w:ascii="Times New Roman" w:eastAsia="Times New Roman" w:hAnsi="Times New Roman" w:cs="Times New Roman"/>
          <w:b/>
          <w:bCs/>
          <w:sz w:val="24"/>
          <w:szCs w:val="24"/>
        </w:rPr>
      </w:pPr>
    </w:p>
    <w:p w14:paraId="351A96FC" w14:textId="77777777" w:rsidR="000A4734" w:rsidRDefault="000A4734" w:rsidP="00C540BE">
      <w:pPr>
        <w:spacing w:after="80" w:line="360" w:lineRule="auto"/>
        <w:rPr>
          <w:rFonts w:ascii="Times New Roman" w:eastAsia="Times New Roman" w:hAnsi="Times New Roman" w:cs="Times New Roman"/>
          <w:b/>
          <w:bCs/>
          <w:sz w:val="24"/>
          <w:szCs w:val="24"/>
        </w:rPr>
      </w:pPr>
    </w:p>
    <w:p w14:paraId="3A1AA230" w14:textId="77777777" w:rsidR="000A4734" w:rsidRDefault="000A4734" w:rsidP="00C540BE">
      <w:pPr>
        <w:spacing w:after="80" w:line="360" w:lineRule="auto"/>
        <w:rPr>
          <w:rFonts w:ascii="Times New Roman" w:eastAsia="Times New Roman" w:hAnsi="Times New Roman" w:cs="Times New Roman"/>
          <w:b/>
          <w:bCs/>
          <w:sz w:val="24"/>
          <w:szCs w:val="24"/>
        </w:rPr>
      </w:pPr>
    </w:p>
    <w:p w14:paraId="4FE549C6" w14:textId="77777777" w:rsidR="000A4734" w:rsidRDefault="000A4734" w:rsidP="00C540BE">
      <w:pPr>
        <w:spacing w:after="80" w:line="360" w:lineRule="auto"/>
        <w:rPr>
          <w:rFonts w:ascii="Times New Roman" w:eastAsia="Times New Roman" w:hAnsi="Times New Roman" w:cs="Times New Roman"/>
          <w:b/>
          <w:bCs/>
          <w:sz w:val="24"/>
          <w:szCs w:val="24"/>
        </w:rPr>
      </w:pPr>
    </w:p>
    <w:p w14:paraId="5E45A5DF" w14:textId="2032509C"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1" w:name="_Toc222990548"/>
      <w:r>
        <w:rPr>
          <w:rFonts w:ascii="Times New Roman" w:eastAsia="Times New Roman" w:hAnsi="Times New Roman" w:cs="Times New Roman"/>
          <w:b/>
          <w:bCs/>
          <w:i/>
          <w:iCs/>
          <w:sz w:val="28"/>
          <w:szCs w:val="28"/>
          <w:u w:val="single"/>
        </w:rPr>
        <w:lastRenderedPageBreak/>
        <w:t>1. Introduction</w:t>
      </w:r>
      <w:bookmarkEnd w:id="1"/>
    </w:p>
    <w:p w14:paraId="30F9492F" w14:textId="77777777" w:rsidR="00A501A7" w:rsidRDefault="00000000" w:rsidP="00C540BE">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HealthPlus</w:t>
      </w:r>
      <w:proofErr w:type="spellEnd"/>
      <w:r>
        <w:rPr>
          <w:rFonts w:ascii="Times New Roman" w:eastAsia="Times New Roman" w:hAnsi="Times New Roman" w:cs="Times New Roman"/>
          <w:sz w:val="24"/>
          <w:szCs w:val="24"/>
        </w:rPr>
        <w:t xml:space="preserve"> Analytics (HPA) is an analytics and cloud-based healthcare technology company in the UK offering services to hospitals and clinics. As cyberattacks, such as ransomware and unauthorized data breaches, become more common, HPA is becoming more vulnerable to the risks of failing to protect sensitive patient data.</w:t>
      </w:r>
    </w:p>
    <w:p w14:paraId="66795C80"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Cyber-crime practitioners are mainly targeting healthcare because patient data is worth a lot of money on the dark web. A report by Check Point Research (2021) indicates that 22 per cent of all breaches recorded in the last year were in the healthcare sector, which is the second most targeted after retail. Not only are these breaches very dangerous to security, but HPA can also face legal and financial costs due to them, particularly through the UK General Data Protection Regulation (GDPR), which has very strict penalties against the mishandling of personal data (Check Point Research, 2021).</w:t>
      </w:r>
    </w:p>
    <w:p w14:paraId="58DE7ED4"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create an elaborate data security and data governance system to resolve the cybersecurity dilemma at HPA. The framework will involve </w:t>
      </w:r>
      <w:proofErr w:type="gramStart"/>
      <w:r>
        <w:rPr>
          <w:rFonts w:ascii="Times New Roman" w:eastAsia="Times New Roman" w:hAnsi="Times New Roman" w:cs="Times New Roman"/>
          <w:sz w:val="24"/>
          <w:szCs w:val="24"/>
        </w:rPr>
        <w:t>the threat</w:t>
      </w:r>
      <w:proofErr w:type="gramEnd"/>
      <w:r>
        <w:rPr>
          <w:rFonts w:ascii="Times New Roman" w:eastAsia="Times New Roman" w:hAnsi="Times New Roman" w:cs="Times New Roman"/>
          <w:sz w:val="24"/>
          <w:szCs w:val="24"/>
        </w:rPr>
        <w:t xml:space="preserve"> identification, suggesting the applicable security policies, mitigation strategies, a monitoring and response plan, and a staff training program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strong data security.</w:t>
      </w:r>
    </w:p>
    <w:p w14:paraId="6AB46D2B" w14:textId="454B23D9"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2" w:name="_Toc222990549"/>
      <w:r>
        <w:rPr>
          <w:rFonts w:ascii="Times New Roman" w:eastAsia="Times New Roman" w:hAnsi="Times New Roman" w:cs="Times New Roman"/>
          <w:b/>
          <w:bCs/>
          <w:i/>
          <w:iCs/>
          <w:sz w:val="28"/>
          <w:szCs w:val="28"/>
          <w:u w:val="single"/>
        </w:rPr>
        <w:t>2. Identification of Threats</w:t>
      </w:r>
      <w:bookmarkEnd w:id="2"/>
    </w:p>
    <w:p w14:paraId="26CD08E1"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Internal Threats</w:t>
      </w:r>
    </w:p>
    <w:p w14:paraId="22DA55B0" w14:textId="77777777" w:rsidR="00A501A7" w:rsidRDefault="00000000" w:rsidP="00C540BE">
      <w:pPr>
        <w:numPr>
          <w:ilvl w:val="0"/>
          <w:numId w:val="1"/>
        </w:numPr>
        <w:spacing w:before="240" w:line="360" w:lineRule="auto"/>
        <w:rPr>
          <w:sz w:val="24"/>
          <w:szCs w:val="24"/>
        </w:rPr>
      </w:pPr>
      <w:r>
        <w:rPr>
          <w:rFonts w:ascii="Times New Roman" w:eastAsia="Times New Roman" w:hAnsi="Times New Roman" w:cs="Times New Roman"/>
          <w:b/>
          <w:bCs/>
          <w:sz w:val="24"/>
          <w:szCs w:val="24"/>
        </w:rPr>
        <w:t>Insider Threats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especially susceptible to insider threats, whereby employees grant access privileges to steal or leak sensitive information. Verizon's 2021 Data Breach Investigations Report established that insiders were the cause of 34 per cent of data breaches in the healthcare sector. These threats could include:</w:t>
      </w:r>
      <w:r>
        <w:rPr>
          <w:rFonts w:ascii="Times New Roman" w:eastAsia="Times New Roman" w:hAnsi="Times New Roman" w:cs="Times New Roman"/>
          <w:sz w:val="24"/>
          <w:szCs w:val="24"/>
        </w:rPr>
        <w:br/>
      </w:r>
    </w:p>
    <w:p w14:paraId="2D161263" w14:textId="77777777" w:rsidR="00A501A7" w:rsidRDefault="00000000" w:rsidP="00C540BE">
      <w:pPr>
        <w:numPr>
          <w:ilvl w:val="1"/>
          <w:numId w:val="1"/>
        </w:numPr>
        <w:spacing w:line="360" w:lineRule="auto"/>
        <w:rPr>
          <w:sz w:val="24"/>
          <w:szCs w:val="24"/>
        </w:rPr>
      </w:pPr>
      <w:r>
        <w:rPr>
          <w:rFonts w:ascii="Times New Roman" w:eastAsia="Times New Roman" w:hAnsi="Times New Roman" w:cs="Times New Roman"/>
          <w:b/>
          <w:bCs/>
          <w:sz w:val="24"/>
          <w:szCs w:val="24"/>
        </w:rPr>
        <w:t>Malicious insiders</w:t>
      </w:r>
      <w:r>
        <w:rPr>
          <w:rFonts w:ascii="Times New Roman" w:eastAsia="Times New Roman" w:hAnsi="Times New Roman" w:cs="Times New Roman"/>
          <w:sz w:val="24"/>
          <w:szCs w:val="24"/>
        </w:rPr>
        <w:t>: Employees who access or steal data knowing full well that their deeds will harm the business (FireEye, 2020).</w:t>
      </w:r>
      <w:r>
        <w:rPr>
          <w:rFonts w:ascii="Times New Roman" w:eastAsia="Times New Roman" w:hAnsi="Times New Roman" w:cs="Times New Roman"/>
          <w:sz w:val="24"/>
          <w:szCs w:val="24"/>
        </w:rPr>
        <w:br/>
      </w:r>
    </w:p>
    <w:p w14:paraId="42CC2473" w14:textId="77777777" w:rsidR="00A501A7" w:rsidRDefault="00000000" w:rsidP="00C540BE">
      <w:pPr>
        <w:numPr>
          <w:ilvl w:val="1"/>
          <w:numId w:val="1"/>
        </w:numPr>
        <w:spacing w:line="360" w:lineRule="auto"/>
        <w:rPr>
          <w:sz w:val="24"/>
          <w:szCs w:val="24"/>
        </w:rPr>
      </w:pPr>
      <w:r>
        <w:rPr>
          <w:rFonts w:ascii="Times New Roman" w:eastAsia="Times New Roman" w:hAnsi="Times New Roman" w:cs="Times New Roman"/>
          <w:b/>
          <w:bCs/>
          <w:sz w:val="24"/>
          <w:szCs w:val="24"/>
        </w:rPr>
        <w:lastRenderedPageBreak/>
        <w:t>Negligent insiders</w:t>
      </w:r>
      <w:r>
        <w:rPr>
          <w:rFonts w:ascii="Times New Roman" w:eastAsia="Times New Roman" w:hAnsi="Times New Roman" w:cs="Times New Roman"/>
          <w:sz w:val="24"/>
          <w:szCs w:val="24"/>
        </w:rPr>
        <w:t>: Workers who unwillingly reveal data due to bad habits such as weak passwords or sharing of logins.</w:t>
      </w:r>
      <w:r>
        <w:rPr>
          <w:rFonts w:ascii="Times New Roman" w:eastAsia="Times New Roman" w:hAnsi="Times New Roman" w:cs="Times New Roman"/>
          <w:sz w:val="24"/>
          <w:szCs w:val="24"/>
        </w:rPr>
        <w:br/>
      </w:r>
    </w:p>
    <w:p w14:paraId="2C9F2A5E" w14:textId="77777777" w:rsidR="00A501A7" w:rsidRDefault="00000000" w:rsidP="00C540BE">
      <w:pPr>
        <w:numPr>
          <w:ilvl w:val="0"/>
          <w:numId w:val="1"/>
        </w:numPr>
        <w:spacing w:after="240" w:line="360" w:lineRule="auto"/>
        <w:rPr>
          <w:sz w:val="24"/>
          <w:szCs w:val="24"/>
        </w:rPr>
      </w:pPr>
      <w:r>
        <w:rPr>
          <w:rFonts w:ascii="Times New Roman" w:eastAsia="Times New Roman" w:hAnsi="Times New Roman" w:cs="Times New Roman"/>
          <w:b/>
          <w:bCs/>
          <w:sz w:val="24"/>
          <w:szCs w:val="24"/>
        </w:rPr>
        <w:t>Inadequate Security Practices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ethical issue of unawareness of the employees in terms of appropriate data protection practices is a major threat. Kaspersky indicates that 54 per cent of healthcare workers do not know their responsibilities in terms of data security, and thus, they can be victims of phishing attacks or data mismanagement.</w:t>
      </w:r>
      <w:r>
        <w:rPr>
          <w:rFonts w:ascii="Times New Roman" w:eastAsia="Times New Roman" w:hAnsi="Times New Roman" w:cs="Times New Roman"/>
          <w:sz w:val="24"/>
          <w:szCs w:val="24"/>
        </w:rPr>
        <w:br/>
      </w:r>
    </w:p>
    <w:p w14:paraId="712922C6"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External Threats</w:t>
      </w:r>
    </w:p>
    <w:p w14:paraId="522802D6" w14:textId="77777777" w:rsidR="00A501A7" w:rsidRDefault="00000000" w:rsidP="00C540BE">
      <w:pPr>
        <w:numPr>
          <w:ilvl w:val="0"/>
          <w:numId w:val="2"/>
        </w:numPr>
        <w:spacing w:before="240" w:line="360" w:lineRule="auto"/>
        <w:rPr>
          <w:sz w:val="24"/>
          <w:szCs w:val="24"/>
        </w:rPr>
      </w:pPr>
      <w:r>
        <w:rPr>
          <w:rFonts w:ascii="Times New Roman" w:eastAsia="Times New Roman" w:hAnsi="Times New Roman" w:cs="Times New Roman"/>
          <w:b/>
          <w:bCs/>
          <w:sz w:val="24"/>
          <w:szCs w:val="24"/>
        </w:rPr>
        <w:t>Ransomware Attacks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Ransomware remains a significant menace to the healthcare industry. In 2017, the WannaCry ransomware attack targeted the NHS and impacted more than 80 NHS trusts, causing millions of pounds in recovery costs. The ransomware attacks usually shut out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from their systems and require high amounts to recover their data, which most of the time leads to permanent loss of both data and reputation.</w:t>
      </w:r>
      <w:r>
        <w:rPr>
          <w:rFonts w:ascii="Times New Roman" w:eastAsia="Times New Roman" w:hAnsi="Times New Roman" w:cs="Times New Roman"/>
          <w:sz w:val="24"/>
          <w:szCs w:val="24"/>
        </w:rPr>
        <w:br/>
      </w:r>
    </w:p>
    <w:p w14:paraId="64019DC9" w14:textId="77777777" w:rsidR="00A501A7" w:rsidRDefault="00000000" w:rsidP="00C540BE">
      <w:pPr>
        <w:numPr>
          <w:ilvl w:val="0"/>
          <w:numId w:val="2"/>
        </w:numPr>
        <w:spacing w:line="360" w:lineRule="auto"/>
        <w:rPr>
          <w:sz w:val="24"/>
          <w:szCs w:val="24"/>
        </w:rPr>
      </w:pPr>
      <w:r>
        <w:rPr>
          <w:rFonts w:ascii="Times New Roman" w:eastAsia="Times New Roman" w:hAnsi="Times New Roman" w:cs="Times New Roman"/>
          <w:b/>
          <w:bCs/>
          <w:sz w:val="24"/>
          <w:szCs w:val="24"/>
        </w:rPr>
        <w:t>Phishing and Social Engineering</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There is an escalation of phishing attacks. Hackers assume the identity of reliable authorities, e.g., the senior management or other third parties, to deceive the workers into providing confidential data. According to a report by Proofpoint, 75 per cent of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suffer attacks related to phishing annually (Gartner, 2021).</w:t>
      </w:r>
      <w:r>
        <w:rPr>
          <w:rFonts w:ascii="Times New Roman" w:eastAsia="Times New Roman" w:hAnsi="Times New Roman" w:cs="Times New Roman"/>
          <w:sz w:val="24"/>
          <w:szCs w:val="24"/>
        </w:rPr>
        <w:br/>
      </w:r>
    </w:p>
    <w:p w14:paraId="2D0F2441" w14:textId="77777777" w:rsidR="00A501A7" w:rsidRDefault="00000000" w:rsidP="00C540BE">
      <w:pPr>
        <w:numPr>
          <w:ilvl w:val="0"/>
          <w:numId w:val="2"/>
        </w:numPr>
        <w:spacing w:line="360" w:lineRule="auto"/>
        <w:rPr>
          <w:sz w:val="24"/>
          <w:szCs w:val="24"/>
        </w:rPr>
      </w:pPr>
      <w:r>
        <w:rPr>
          <w:rFonts w:ascii="Times New Roman" w:eastAsia="Times New Roman" w:hAnsi="Times New Roman" w:cs="Times New Roman"/>
          <w:b/>
          <w:bCs/>
          <w:sz w:val="24"/>
          <w:szCs w:val="24"/>
        </w:rPr>
        <w:t>Cloud Security Vulnerabilities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Since HPA employs cloud infrastructure to store and process sensitive patient information, improperly configured cloud environments may lead to access by the wrong person. The McAfee Cloud Adoption and Risk Report notes that malfunctions in configurations result in a quarter of cloud security breaches, whereby sensitive data is exposed to the hands of cybercriminals.</w:t>
      </w:r>
      <w:r>
        <w:rPr>
          <w:rFonts w:ascii="Times New Roman" w:eastAsia="Times New Roman" w:hAnsi="Times New Roman" w:cs="Times New Roman"/>
          <w:sz w:val="24"/>
          <w:szCs w:val="24"/>
        </w:rPr>
        <w:br/>
      </w:r>
    </w:p>
    <w:p w14:paraId="38EE8B3C" w14:textId="77777777" w:rsidR="00A501A7" w:rsidRDefault="00000000" w:rsidP="00C540BE">
      <w:pPr>
        <w:numPr>
          <w:ilvl w:val="0"/>
          <w:numId w:val="2"/>
        </w:numPr>
        <w:spacing w:after="240" w:line="360" w:lineRule="auto"/>
        <w:rPr>
          <w:sz w:val="24"/>
          <w:szCs w:val="24"/>
        </w:rPr>
      </w:pPr>
      <w:r>
        <w:rPr>
          <w:rFonts w:ascii="Times New Roman" w:eastAsia="Times New Roman" w:hAnsi="Times New Roman" w:cs="Times New Roman"/>
          <w:b/>
          <w:bCs/>
          <w:sz w:val="24"/>
          <w:szCs w:val="24"/>
        </w:rPr>
        <w:lastRenderedPageBreak/>
        <w:t>Advanced Persistent Threats (APTs)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APTs are delicate and long-term assaults that are intended to steal precious information in the long term. Hackers get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to the systems and go unnoticed, stealing the data at a low rate. According to a FireEye report, the count of APTs attacking a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especially to steal research data or patient records, increased (IBM, 2021).</w:t>
      </w:r>
      <w:r>
        <w:rPr>
          <w:rFonts w:ascii="Times New Roman" w:eastAsia="Times New Roman" w:hAnsi="Times New Roman" w:cs="Times New Roman"/>
          <w:sz w:val="24"/>
          <w:szCs w:val="24"/>
        </w:rPr>
        <w:br/>
      </w:r>
    </w:p>
    <w:p w14:paraId="32604A6C" w14:textId="6EAB17FE"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3" w:name="_Toc222990550"/>
      <w:r>
        <w:rPr>
          <w:rFonts w:ascii="Times New Roman" w:eastAsia="Times New Roman" w:hAnsi="Times New Roman" w:cs="Times New Roman"/>
          <w:b/>
          <w:bCs/>
          <w:i/>
          <w:iCs/>
          <w:sz w:val="28"/>
          <w:szCs w:val="28"/>
          <w:u w:val="single"/>
        </w:rPr>
        <w:t>3. Security Policies</w:t>
      </w:r>
      <w:bookmarkEnd w:id="3"/>
    </w:p>
    <w:p w14:paraId="3313F1F8"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Overview of Industry Standards</w:t>
      </w:r>
    </w:p>
    <w:p w14:paraId="1F367DAE" w14:textId="77777777" w:rsidR="00A501A7" w:rsidRDefault="00000000" w:rsidP="00C540BE">
      <w:pPr>
        <w:numPr>
          <w:ilvl w:val="0"/>
          <w:numId w:val="4"/>
        </w:numPr>
        <w:spacing w:before="240" w:line="360" w:lineRule="auto"/>
        <w:rPr>
          <w:sz w:val="24"/>
          <w:szCs w:val="24"/>
        </w:rPr>
      </w:pPr>
      <w:r>
        <w:rPr>
          <w:rFonts w:ascii="Times New Roman" w:eastAsia="Times New Roman" w:hAnsi="Times New Roman" w:cs="Times New Roman"/>
          <w:b/>
          <w:bCs/>
          <w:sz w:val="24"/>
          <w:szCs w:val="24"/>
        </w:rPr>
        <w:t>ISO 27001: Information Security Management System (ISMS)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ISO 27001 offers a system of managing information security risks. With the help of </w:t>
      </w:r>
      <w:proofErr w:type="gramStart"/>
      <w:r>
        <w:rPr>
          <w:rFonts w:ascii="Times New Roman" w:eastAsia="Times New Roman" w:hAnsi="Times New Roman" w:cs="Times New Roman"/>
          <w:sz w:val="24"/>
          <w:szCs w:val="24"/>
        </w:rPr>
        <w:t>the ISO</w:t>
      </w:r>
      <w:proofErr w:type="gramEnd"/>
      <w:r>
        <w:rPr>
          <w:rFonts w:ascii="Times New Roman" w:eastAsia="Times New Roman" w:hAnsi="Times New Roman" w:cs="Times New Roman"/>
          <w:sz w:val="24"/>
          <w:szCs w:val="24"/>
        </w:rPr>
        <w:t xml:space="preserve"> 27001, HPA will be able to build a strong system of security management that includes risk management, incident response, and training of employees. The ISO 27001 standard has been effective in mitigating security risks as reported by ISO (2020), which indicated that over 33,000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worldwide are certified to the standard.</w:t>
      </w:r>
      <w:r>
        <w:rPr>
          <w:rFonts w:ascii="Times New Roman" w:eastAsia="Times New Roman" w:hAnsi="Times New Roman" w:cs="Times New Roman"/>
          <w:sz w:val="24"/>
          <w:szCs w:val="24"/>
        </w:rPr>
        <w:br/>
      </w:r>
    </w:p>
    <w:p w14:paraId="088033BD" w14:textId="77777777" w:rsidR="00A501A7" w:rsidRDefault="00000000" w:rsidP="00C540BE">
      <w:pPr>
        <w:numPr>
          <w:ilvl w:val="0"/>
          <w:numId w:val="4"/>
        </w:numPr>
        <w:spacing w:line="360" w:lineRule="auto"/>
        <w:rPr>
          <w:sz w:val="24"/>
          <w:szCs w:val="24"/>
        </w:rPr>
      </w:pPr>
      <w:r>
        <w:rPr>
          <w:rFonts w:ascii="Times New Roman" w:eastAsia="Times New Roman" w:hAnsi="Times New Roman" w:cs="Times New Roman"/>
          <w:b/>
          <w:bCs/>
          <w:sz w:val="24"/>
          <w:szCs w:val="24"/>
        </w:rPr>
        <w:t>NIST Cybersecurity Framework</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NIST offers guidelines and best practices to secure critical infrastructure. The method of NIST comprises five functions, which are Identify, Protect, Detect, Respond and Recover. This model can assist HPA in aligning its cybersecurity activities with best practices identified by analysts in the sector (ISO, 2020a).</w:t>
      </w:r>
      <w:r>
        <w:rPr>
          <w:rFonts w:ascii="Times New Roman" w:eastAsia="Times New Roman" w:hAnsi="Times New Roman" w:cs="Times New Roman"/>
          <w:sz w:val="24"/>
          <w:szCs w:val="24"/>
        </w:rPr>
        <w:br/>
      </w:r>
    </w:p>
    <w:p w14:paraId="1577208B" w14:textId="77777777" w:rsidR="00265259" w:rsidRPr="00265259" w:rsidRDefault="00000000" w:rsidP="00C540BE">
      <w:pPr>
        <w:numPr>
          <w:ilvl w:val="0"/>
          <w:numId w:val="4"/>
        </w:numPr>
        <w:spacing w:after="240" w:line="360" w:lineRule="auto"/>
        <w:rPr>
          <w:sz w:val="24"/>
          <w:szCs w:val="24"/>
        </w:rPr>
      </w:pPr>
      <w:r>
        <w:rPr>
          <w:rFonts w:ascii="Times New Roman" w:eastAsia="Times New Roman" w:hAnsi="Times New Roman" w:cs="Times New Roman"/>
          <w:b/>
          <w:bCs/>
          <w:sz w:val="24"/>
          <w:szCs w:val="24"/>
        </w:rPr>
        <w:t>GDPR Compliance</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General Data Protection Regulation (GDPR) has rigid rules concerning data privacy, such as the fact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develop sufficient security to avoid data leaks. Failure to comply with GDPR does not lead to hefty fines- up to EUR20 million, or 4% of annual turnover, whichever is greater.</w:t>
      </w:r>
    </w:p>
    <w:p w14:paraId="394D7DA0" w14:textId="346B5A62" w:rsidR="00A501A7" w:rsidRDefault="00000000" w:rsidP="00265259">
      <w:pPr>
        <w:spacing w:after="240" w:line="360" w:lineRule="auto"/>
        <w:rPr>
          <w:sz w:val="24"/>
          <w:szCs w:val="24"/>
        </w:rPr>
      </w:pPr>
      <w:r>
        <w:rPr>
          <w:rFonts w:ascii="Times New Roman" w:eastAsia="Times New Roman" w:hAnsi="Times New Roman" w:cs="Times New Roman"/>
          <w:sz w:val="24"/>
          <w:szCs w:val="24"/>
        </w:rPr>
        <w:br/>
      </w:r>
    </w:p>
    <w:p w14:paraId="6CD94428"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Proposed Security Policies</w:t>
      </w:r>
    </w:p>
    <w:p w14:paraId="661894FC" w14:textId="77777777" w:rsidR="00A501A7" w:rsidRDefault="00000000" w:rsidP="00C540BE">
      <w:pPr>
        <w:numPr>
          <w:ilvl w:val="0"/>
          <w:numId w:val="3"/>
        </w:numPr>
        <w:spacing w:before="240" w:line="360" w:lineRule="auto"/>
        <w:rPr>
          <w:sz w:val="24"/>
          <w:szCs w:val="24"/>
        </w:rPr>
      </w:pPr>
      <w:r>
        <w:rPr>
          <w:rFonts w:ascii="Times New Roman" w:eastAsia="Times New Roman" w:hAnsi="Times New Roman" w:cs="Times New Roman"/>
          <w:b/>
          <w:bCs/>
          <w:sz w:val="24"/>
          <w:szCs w:val="24"/>
        </w:rPr>
        <w:t>Access Control Policy</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Role-based access control (RBAC) will be implemented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give access to sensitive patient information to the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personnel. The application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Multi-factor Authentication (MFA) will also provide an extra level of security.</w:t>
      </w:r>
      <w:r>
        <w:rPr>
          <w:rFonts w:ascii="Times New Roman" w:eastAsia="Times New Roman" w:hAnsi="Times New Roman" w:cs="Times New Roman"/>
          <w:sz w:val="24"/>
          <w:szCs w:val="24"/>
        </w:rPr>
        <w:br/>
      </w:r>
    </w:p>
    <w:p w14:paraId="58187B76" w14:textId="77777777" w:rsidR="00A501A7" w:rsidRDefault="00000000" w:rsidP="00C540BE">
      <w:pPr>
        <w:numPr>
          <w:ilvl w:val="0"/>
          <w:numId w:val="3"/>
        </w:numPr>
        <w:spacing w:line="360" w:lineRule="auto"/>
        <w:rPr>
          <w:sz w:val="24"/>
          <w:szCs w:val="24"/>
        </w:rPr>
      </w:pPr>
      <w:r>
        <w:rPr>
          <w:rFonts w:ascii="Times New Roman" w:eastAsia="Times New Roman" w:hAnsi="Times New Roman" w:cs="Times New Roman"/>
          <w:b/>
          <w:bCs/>
          <w:sz w:val="24"/>
          <w:szCs w:val="24"/>
        </w:rPr>
        <w:t>Data Encryption Policy</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encryption of all patient data will be done both at rest and in transit using AES-256. This is so that in case of an interception or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to data, then the data will not be read (ISO, 2020b).</w:t>
      </w:r>
      <w:r>
        <w:rPr>
          <w:rFonts w:ascii="Times New Roman" w:eastAsia="Times New Roman" w:hAnsi="Times New Roman" w:cs="Times New Roman"/>
          <w:sz w:val="24"/>
          <w:szCs w:val="24"/>
        </w:rPr>
        <w:br/>
      </w:r>
    </w:p>
    <w:p w14:paraId="3E4537A2" w14:textId="77777777" w:rsidR="00A501A7" w:rsidRDefault="00000000" w:rsidP="00C540BE">
      <w:pPr>
        <w:numPr>
          <w:ilvl w:val="0"/>
          <w:numId w:val="3"/>
        </w:numPr>
        <w:spacing w:line="360" w:lineRule="auto"/>
        <w:rPr>
          <w:sz w:val="24"/>
          <w:szCs w:val="24"/>
        </w:rPr>
      </w:pPr>
      <w:r>
        <w:rPr>
          <w:rFonts w:ascii="Times New Roman" w:eastAsia="Times New Roman" w:hAnsi="Times New Roman" w:cs="Times New Roman"/>
          <w:b/>
          <w:bCs/>
          <w:sz w:val="24"/>
          <w:szCs w:val="24"/>
        </w:rPr>
        <w:t>Incident Response Policy</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The policy will give a sound and systematic way of identifying, reacting to, and recovering from security incidents. It will involve early containment procedures, internal reporting, and provisions of external notification to the regulatory authorities.</w:t>
      </w:r>
      <w:r>
        <w:rPr>
          <w:rFonts w:ascii="Times New Roman" w:eastAsia="Times New Roman" w:hAnsi="Times New Roman" w:cs="Times New Roman"/>
          <w:sz w:val="24"/>
          <w:szCs w:val="24"/>
        </w:rPr>
        <w:br/>
      </w:r>
    </w:p>
    <w:p w14:paraId="00740C8F" w14:textId="77777777" w:rsidR="00A501A7" w:rsidRDefault="00000000" w:rsidP="00C540BE">
      <w:pPr>
        <w:numPr>
          <w:ilvl w:val="0"/>
          <w:numId w:val="3"/>
        </w:numPr>
        <w:spacing w:after="240" w:line="360" w:lineRule="auto"/>
        <w:rPr>
          <w:sz w:val="24"/>
          <w:szCs w:val="24"/>
        </w:rPr>
      </w:pPr>
      <w:r>
        <w:rPr>
          <w:rFonts w:ascii="Times New Roman" w:eastAsia="Times New Roman" w:hAnsi="Times New Roman" w:cs="Times New Roman"/>
          <w:b/>
          <w:bCs/>
          <w:sz w:val="24"/>
          <w:szCs w:val="24"/>
        </w:rPr>
        <w:t>Mobile Device Management (MDM) Policy</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Workers will have to use approved mobile devices, and their personal devices will not be able to view sensitive information until they adhere to the MDM policy, which entails encryption of their devices, the ability to wipe the devices remotely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use secure VPN connections (Kaspersky, 2020).</w:t>
      </w:r>
      <w:r>
        <w:rPr>
          <w:rFonts w:ascii="Times New Roman" w:eastAsia="Times New Roman" w:hAnsi="Times New Roman" w:cs="Times New Roman"/>
          <w:sz w:val="24"/>
          <w:szCs w:val="24"/>
        </w:rPr>
        <w:br/>
      </w:r>
    </w:p>
    <w:p w14:paraId="7F128118" w14:textId="34C45526"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4" w:name="_Toc222990551"/>
      <w:r>
        <w:rPr>
          <w:rFonts w:ascii="Times New Roman" w:eastAsia="Times New Roman" w:hAnsi="Times New Roman" w:cs="Times New Roman"/>
          <w:b/>
          <w:bCs/>
          <w:i/>
          <w:iCs/>
          <w:sz w:val="28"/>
          <w:szCs w:val="28"/>
          <w:u w:val="single"/>
        </w:rPr>
        <w:t>4. Mitigation Measures</w:t>
      </w:r>
      <w:bookmarkEnd w:id="4"/>
    </w:p>
    <w:p w14:paraId="03EF69F0"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Employee Training and Awareness Program</w:t>
      </w:r>
    </w:p>
    <w:p w14:paraId="12BFD0B7"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will be a permanent training program to teach employees about the security of data, phishing awareness, and the safe management of patient data. According to the SANS Institute, human error is the leading cause of security breaches in healthcare, 95 per cent. HPA can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chances of breaches by training employees on the prevalent threats (phishing and </w:t>
      </w:r>
      <w:r>
        <w:rPr>
          <w:rFonts w:ascii="Times New Roman" w:eastAsia="Times New Roman" w:hAnsi="Times New Roman" w:cs="Times New Roman"/>
          <w:sz w:val="24"/>
          <w:szCs w:val="24"/>
        </w:rPr>
        <w:lastRenderedPageBreak/>
        <w:t>social engineering). Phishing simulation will also be done regularly to measure the alertness of employees.</w:t>
      </w:r>
    </w:p>
    <w:p w14:paraId="63B6BC9E"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Endpoint Protection</w:t>
      </w:r>
    </w:p>
    <w:p w14:paraId="746EE5D1"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HPA will install endpoint detection and response (EDR) applications in all devices that connect to the company networks. CrowdStrike and </w:t>
      </w:r>
      <w:proofErr w:type="spellStart"/>
      <w:r>
        <w:rPr>
          <w:rFonts w:ascii="Times New Roman" w:eastAsia="Times New Roman" w:hAnsi="Times New Roman" w:cs="Times New Roman"/>
          <w:sz w:val="24"/>
          <w:szCs w:val="24"/>
        </w:rPr>
        <w:t>SentinelOne</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the best vendors in endpoint protection because of their capabilities of identifying and preventing advanced malware and ransomware threats, according to the Gartner Magic Quadrant on Endpoint Protection (McAfee, 2021).</w:t>
      </w:r>
    </w:p>
    <w:p w14:paraId="5D737CC2"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Network Security Measures</w:t>
      </w:r>
    </w:p>
    <w:p w14:paraId="328605CE"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HPA will install firewalls, intrusion detection systems (IDS) and intrusion prevention systems (IPS) to observe the traffic and identify suspicious activity. Such systems will be </w:t>
      </w:r>
      <w:proofErr w:type="gramStart"/>
      <w:r>
        <w:rPr>
          <w:rFonts w:ascii="Times New Roman" w:eastAsia="Times New Roman" w:hAnsi="Times New Roman" w:cs="Times New Roman"/>
          <w:sz w:val="24"/>
          <w:szCs w:val="24"/>
        </w:rPr>
        <w:t>set</w:t>
      </w:r>
      <w:proofErr w:type="gramEnd"/>
      <w:r>
        <w:rPr>
          <w:rFonts w:ascii="Times New Roman" w:eastAsia="Times New Roman" w:hAnsi="Times New Roman" w:cs="Times New Roman"/>
          <w:sz w:val="24"/>
          <w:szCs w:val="24"/>
        </w:rPr>
        <w:t xml:space="preserve"> to automatically prevent bad traffic. Moreover, remote access by </w:t>
      </w:r>
      <w:proofErr w:type="gramStart"/>
      <w:r>
        <w:rPr>
          <w:rFonts w:ascii="Times New Roman" w:eastAsia="Times New Roman" w:hAnsi="Times New Roman" w:cs="Times New Roman"/>
          <w:sz w:val="24"/>
          <w:szCs w:val="24"/>
        </w:rPr>
        <w:t>use of</w:t>
      </w:r>
      <w:proofErr w:type="gramEnd"/>
      <w:r>
        <w:rPr>
          <w:rFonts w:ascii="Times New Roman" w:eastAsia="Times New Roman" w:hAnsi="Times New Roman" w:cs="Times New Roman"/>
          <w:sz w:val="24"/>
          <w:szCs w:val="24"/>
        </w:rPr>
        <w:t xml:space="preserve"> a Virtual Private Network (VPN) will be applied to protect data.</w:t>
      </w:r>
    </w:p>
    <w:p w14:paraId="5A9975D1"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Cloud Security Best Practices</w:t>
      </w:r>
    </w:p>
    <w:p w14:paraId="4C49C5C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HPA will use the concept of least privilege when managing access to the cloud, where only essential employees are given access to certain data and applications. Cloud access will be limited with MFA, and cloud settings will be revised on a regular basis and checked to prevent security breaches.</w:t>
      </w:r>
    </w:p>
    <w:p w14:paraId="4535C1AE"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Data Loss Prevention (DLP)</w:t>
      </w:r>
    </w:p>
    <w:p w14:paraId="3A540E3F"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automated DLP solution will be put in place to track and prevent the illegal movement of confidential patient information. This will make sure that any move to upload, print and email patient information is detected and blocked in case it is against security policies (NHS Digital, 2021).</w:t>
      </w:r>
    </w:p>
    <w:p w14:paraId="20E526DA" w14:textId="77777777" w:rsidR="00265259" w:rsidRDefault="00265259" w:rsidP="00C540BE">
      <w:pPr>
        <w:spacing w:before="240" w:after="240" w:line="360" w:lineRule="auto"/>
        <w:rPr>
          <w:rFonts w:ascii="Times New Roman" w:eastAsia="Times New Roman" w:hAnsi="Times New Roman" w:cs="Times New Roman"/>
          <w:sz w:val="24"/>
          <w:szCs w:val="24"/>
        </w:rPr>
      </w:pPr>
    </w:p>
    <w:p w14:paraId="12A8477C" w14:textId="77777777" w:rsidR="00265259" w:rsidRDefault="00265259" w:rsidP="00C540BE">
      <w:pPr>
        <w:spacing w:before="240" w:after="240" w:line="360" w:lineRule="auto"/>
        <w:rPr>
          <w:rFonts w:ascii="Times New Roman" w:eastAsia="Times New Roman" w:hAnsi="Times New Roman" w:cs="Times New Roman"/>
          <w:sz w:val="24"/>
          <w:szCs w:val="24"/>
        </w:rPr>
      </w:pPr>
    </w:p>
    <w:p w14:paraId="45B35F27" w14:textId="6B035F9B" w:rsidR="00A501A7" w:rsidRDefault="00000000" w:rsidP="00C540BE">
      <w:pPr>
        <w:pStyle w:val="Heading2"/>
        <w:keepNext w:val="0"/>
        <w:keepLines w:val="0"/>
        <w:spacing w:after="80" w:line="360" w:lineRule="auto"/>
        <w:rPr>
          <w:rFonts w:ascii="Times New Roman" w:eastAsia="Times New Roman" w:hAnsi="Times New Roman" w:cs="Times New Roman"/>
          <w:b/>
          <w:bCs/>
          <w:i/>
          <w:iCs/>
          <w:sz w:val="28"/>
          <w:szCs w:val="28"/>
          <w:u w:val="single"/>
        </w:rPr>
      </w:pPr>
      <w:bookmarkStart w:id="5" w:name="_Toc222990552"/>
      <w:r>
        <w:rPr>
          <w:rFonts w:ascii="Times New Roman" w:eastAsia="Times New Roman" w:hAnsi="Times New Roman" w:cs="Times New Roman"/>
          <w:b/>
          <w:bCs/>
          <w:i/>
          <w:iCs/>
          <w:sz w:val="28"/>
          <w:szCs w:val="28"/>
          <w:u w:val="single"/>
        </w:rPr>
        <w:lastRenderedPageBreak/>
        <w:t>5. Monitoring and Response</w:t>
      </w:r>
      <w:bookmarkEnd w:id="5"/>
    </w:p>
    <w:p w14:paraId="0D5633F6" w14:textId="77777777" w:rsidR="00A501A7" w:rsidRDefault="00000000" w:rsidP="00C540BE">
      <w:pPr>
        <w:pStyle w:val="Heading3"/>
        <w:keepNext w:val="0"/>
        <w:keepLines w:val="0"/>
        <w:spacing w:before="280" w:line="360" w:lineRule="auto"/>
        <w:rPr>
          <w:rFonts w:ascii="Times New Roman" w:eastAsia="Times New Roman" w:hAnsi="Times New Roman" w:cs="Times New Roman"/>
          <w:b/>
          <w:bCs/>
          <w:color w:val="000000"/>
          <w:sz w:val="24"/>
          <w:szCs w:val="24"/>
        </w:rPr>
      </w:pPr>
      <w:bookmarkStart w:id="6" w:name="_Toc222990553"/>
      <w:r>
        <w:rPr>
          <w:rFonts w:ascii="Times New Roman" w:eastAsia="Times New Roman" w:hAnsi="Times New Roman" w:cs="Times New Roman"/>
          <w:b/>
          <w:bCs/>
          <w:color w:val="000000"/>
          <w:sz w:val="24"/>
          <w:szCs w:val="24"/>
        </w:rPr>
        <w:t>Monitoring Framework</w:t>
      </w:r>
      <w:bookmarkEnd w:id="6"/>
    </w:p>
    <w:p w14:paraId="3F14213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elaborate surveillance system is indispensable in the event of a robust security stance within a company. In the case of </w:t>
      </w:r>
      <w:proofErr w:type="spellStart"/>
      <w:r>
        <w:rPr>
          <w:rFonts w:ascii="Times New Roman" w:eastAsia="Times New Roman" w:hAnsi="Times New Roman" w:cs="Times New Roman"/>
          <w:sz w:val="24"/>
          <w:szCs w:val="24"/>
        </w:rPr>
        <w:t>HealthPlus</w:t>
      </w:r>
      <w:proofErr w:type="spellEnd"/>
      <w:r>
        <w:rPr>
          <w:rFonts w:ascii="Times New Roman" w:eastAsia="Times New Roman" w:hAnsi="Times New Roman" w:cs="Times New Roman"/>
          <w:sz w:val="24"/>
          <w:szCs w:val="24"/>
        </w:rPr>
        <w:t xml:space="preserve"> Analytics (HPA), the sensitivity of the information they need to deal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and the ever-growing sophistication of cyber threats make it imperative to introduce effective monitoring tools and measures that would enable them to plan effectively and respond to possible incidents in real time (NIST, 2018).</w:t>
      </w:r>
    </w:p>
    <w:p w14:paraId="024ADAFB"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0A69B6" wp14:editId="4C861287">
            <wp:extent cx="3081621" cy="461880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081621" cy="4618806"/>
                    </a:xfrm>
                    <a:prstGeom prst="rect">
                      <a:avLst/>
                    </a:prstGeom>
                    <a:ln/>
                  </pic:spPr>
                </pic:pic>
              </a:graphicData>
            </a:graphic>
          </wp:inline>
        </w:drawing>
      </w:r>
    </w:p>
    <w:p w14:paraId="16FFB2D3" w14:textId="77777777" w:rsidR="00265259" w:rsidRDefault="00265259" w:rsidP="00C540BE">
      <w:pPr>
        <w:pStyle w:val="Heading4"/>
        <w:keepNext w:val="0"/>
        <w:keepLines w:val="0"/>
        <w:spacing w:before="240" w:after="40" w:line="360" w:lineRule="auto"/>
        <w:rPr>
          <w:rFonts w:ascii="Times New Roman" w:eastAsia="Times New Roman" w:hAnsi="Times New Roman" w:cs="Times New Roman"/>
          <w:b/>
          <w:bCs/>
          <w:color w:val="000000"/>
        </w:rPr>
      </w:pPr>
    </w:p>
    <w:p w14:paraId="343BF05D" w14:textId="77777777" w:rsidR="00265259" w:rsidRDefault="00265259" w:rsidP="00C540BE">
      <w:pPr>
        <w:pStyle w:val="Heading4"/>
        <w:keepNext w:val="0"/>
        <w:keepLines w:val="0"/>
        <w:spacing w:before="240" w:after="40" w:line="360" w:lineRule="auto"/>
        <w:rPr>
          <w:rFonts w:ascii="Times New Roman" w:eastAsia="Times New Roman" w:hAnsi="Times New Roman" w:cs="Times New Roman"/>
          <w:b/>
          <w:bCs/>
          <w:color w:val="000000"/>
        </w:rPr>
      </w:pPr>
    </w:p>
    <w:p w14:paraId="0CBF71CE" w14:textId="6A7C0E42"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Real-Time Monitoring with SIEM</w:t>
      </w:r>
    </w:p>
    <w:p w14:paraId="277D9C2B"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monitor the activities within the network and identify anomalies, HPA will use a Security Information and Event Management (SIEM) solution to </w:t>
      </w:r>
      <w:proofErr w:type="gramStart"/>
      <w:r>
        <w:rPr>
          <w:rFonts w:ascii="Times New Roman" w:eastAsia="Times New Roman" w:hAnsi="Times New Roman" w:cs="Times New Roman"/>
          <w:sz w:val="24"/>
          <w:szCs w:val="24"/>
        </w:rPr>
        <w:t>monitor the network activities at all times</w:t>
      </w:r>
      <w:proofErr w:type="gramEnd"/>
      <w:r>
        <w:rPr>
          <w:rFonts w:ascii="Times New Roman" w:eastAsia="Times New Roman" w:hAnsi="Times New Roman" w:cs="Times New Roman"/>
          <w:sz w:val="24"/>
          <w:szCs w:val="24"/>
        </w:rPr>
        <w:t xml:space="preserve">. Such Siem systems as Splunk or IBM </w:t>
      </w:r>
      <w:proofErr w:type="spellStart"/>
      <w:r>
        <w:rPr>
          <w:rFonts w:ascii="Times New Roman" w:eastAsia="Times New Roman" w:hAnsi="Times New Roman" w:cs="Times New Roman"/>
          <w:sz w:val="24"/>
          <w:szCs w:val="24"/>
        </w:rPr>
        <w:t>QRadar</w:t>
      </w:r>
      <w:proofErr w:type="spellEnd"/>
      <w:r>
        <w:rPr>
          <w:rFonts w:ascii="Times New Roman" w:eastAsia="Times New Roman" w:hAnsi="Times New Roman" w:cs="Times New Roman"/>
          <w:sz w:val="24"/>
          <w:szCs w:val="24"/>
        </w:rPr>
        <w:t xml:space="preserve"> are market leaders in the field of cybersecurity monitoring, where powerful tools are provided to collect, process and correlate data of various sources like a firewall, intrusion detection/prevention systems (IDS/IPS), endpoints, and cloud services.</w:t>
      </w:r>
    </w:p>
    <w:p w14:paraId="18DCEE2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the tools that would be crucial in the complete picture of the network security environment at HPA. They allow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event logs</w:t>
      </w:r>
      <w:proofErr w:type="gramEnd"/>
      <w:r>
        <w:rPr>
          <w:rFonts w:ascii="Times New Roman" w:eastAsia="Times New Roman" w:hAnsi="Times New Roman" w:cs="Times New Roman"/>
          <w:sz w:val="24"/>
          <w:szCs w:val="24"/>
        </w:rPr>
        <w:t xml:space="preserve"> in real time, and this could assist in identifying suspicious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that could be evidence of cyberattacks like ransomware, data exfiltration operations, or insider threats. A SIEM solution uses disparate system logs to detect patterns that would otherwise have been overlooked in an isolated environment. An example would be the creation of a warning when an unusual connection is detected, as made by a strange IP address or when a large amount of confidential information is moved out of the company (Proofpoint, 2021).</w:t>
      </w:r>
    </w:p>
    <w:p w14:paraId="6EA96F9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Gartner (2021) in the SIEM Magic Quadrant considers Splunk as an outstanding platform with the capability to </w:t>
      </w:r>
      <w:proofErr w:type="gramStart"/>
      <w:r>
        <w:rPr>
          <w:rFonts w:ascii="Times New Roman" w:eastAsia="Times New Roman" w:hAnsi="Times New Roman" w:cs="Times New Roman"/>
          <w:sz w:val="24"/>
          <w:szCs w:val="24"/>
        </w:rPr>
        <w:t>search</w:t>
      </w:r>
      <w:proofErr w:type="gramEnd"/>
      <w:r>
        <w:rPr>
          <w:rFonts w:ascii="Times New Roman" w:eastAsia="Times New Roman" w:hAnsi="Times New Roman" w:cs="Times New Roman"/>
          <w:sz w:val="24"/>
          <w:szCs w:val="24"/>
        </w:rPr>
        <w:t xml:space="preserve"> data in real-time, monitor it, and connect to a wide range of data sources. On the other hand, IBM </w:t>
      </w:r>
      <w:proofErr w:type="spellStart"/>
      <w:r>
        <w:rPr>
          <w:rFonts w:ascii="Times New Roman" w:eastAsia="Times New Roman" w:hAnsi="Times New Roman" w:cs="Times New Roman"/>
          <w:sz w:val="24"/>
          <w:szCs w:val="24"/>
        </w:rPr>
        <w:t>QRadar</w:t>
      </w:r>
      <w:proofErr w:type="spellEnd"/>
      <w:r>
        <w:rPr>
          <w:rFonts w:ascii="Times New Roman" w:eastAsia="Times New Roman" w:hAnsi="Times New Roman" w:cs="Times New Roman"/>
          <w:sz w:val="24"/>
          <w:szCs w:val="24"/>
        </w:rPr>
        <w:t xml:space="preserve"> has been known to scale effectively, so it is suitable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have </w:t>
      </w:r>
      <w:proofErr w:type="gramStart"/>
      <w:r>
        <w:rPr>
          <w:rFonts w:ascii="Times New Roman" w:eastAsia="Times New Roman" w:hAnsi="Times New Roman" w:cs="Times New Roman"/>
          <w:sz w:val="24"/>
          <w:szCs w:val="24"/>
        </w:rPr>
        <w:t>a predicted</w:t>
      </w:r>
      <w:proofErr w:type="gramEnd"/>
      <w:r>
        <w:rPr>
          <w:rFonts w:ascii="Times New Roman" w:eastAsia="Times New Roman" w:hAnsi="Times New Roman" w:cs="Times New Roman"/>
          <w:sz w:val="24"/>
          <w:szCs w:val="24"/>
        </w:rPr>
        <w:t xml:space="preserve"> high growth, like that of HPA. Automated threat detection rules are also supported by the SIEM platform, and their use allows quick detection of typical attack vectors (e.g., SQL injections, privilege escalation, or brute force attempts).</w:t>
      </w:r>
    </w:p>
    <w:p w14:paraId="752B3AD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 SIEM tool, HPA </w:t>
      </w:r>
      <w:proofErr w:type="gramStart"/>
      <w:r>
        <w:rPr>
          <w:rFonts w:ascii="Times New Roman" w:eastAsia="Times New Roman" w:hAnsi="Times New Roman" w:cs="Times New Roman"/>
          <w:sz w:val="24"/>
          <w:szCs w:val="24"/>
        </w:rPr>
        <w:t>is in a position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time it takes to identify and react to a possible occurrence. It is also advantageous in that it enables concentration of logs in one place, which makes the investigation of incidents easier, and compliance auditing can be more effective.</w:t>
      </w:r>
    </w:p>
    <w:p w14:paraId="40E9C150" w14:textId="77777777" w:rsidR="00265259" w:rsidRDefault="00265259" w:rsidP="00C540BE">
      <w:pPr>
        <w:pStyle w:val="Heading4"/>
        <w:keepNext w:val="0"/>
        <w:keepLines w:val="0"/>
        <w:spacing w:before="240" w:after="40" w:line="360" w:lineRule="auto"/>
        <w:rPr>
          <w:rFonts w:ascii="Times New Roman" w:eastAsia="Times New Roman" w:hAnsi="Times New Roman" w:cs="Times New Roman"/>
          <w:b/>
          <w:bCs/>
          <w:color w:val="000000"/>
        </w:rPr>
      </w:pPr>
    </w:p>
    <w:p w14:paraId="2F6B9AA8" w14:textId="77777777" w:rsidR="00265259" w:rsidRDefault="00265259" w:rsidP="00C540BE">
      <w:pPr>
        <w:pStyle w:val="Heading4"/>
        <w:keepNext w:val="0"/>
        <w:keepLines w:val="0"/>
        <w:spacing w:before="240" w:after="40" w:line="360" w:lineRule="auto"/>
        <w:rPr>
          <w:rFonts w:ascii="Times New Roman" w:eastAsia="Times New Roman" w:hAnsi="Times New Roman" w:cs="Times New Roman"/>
          <w:b/>
          <w:bCs/>
          <w:color w:val="000000"/>
        </w:rPr>
      </w:pPr>
    </w:p>
    <w:p w14:paraId="167CAB03" w14:textId="62AA0416"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Network Traffic Analysis</w:t>
      </w:r>
    </w:p>
    <w:p w14:paraId="47B95D65"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feature of network monitoring of the most crucial character is the possibility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network traffic to identify any evidence of malicious presence. Packet analysis tools such as Wireshark are very popular in the study of packets, and they can be used to find out the kind of traffic passing through the network. This comes in handy, especially to track the abnormalities like the abnormal data flows, which may show a data exfiltration attempt or malware communicating with a remote server (SANS Institute, 2020).</w:t>
      </w:r>
    </w:p>
    <w:p w14:paraId="2D40B43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most instances, cybercriminals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tap sensitive information in a network through backdoor means. As an illustration, in the case of an attack of ransomware, the malware may encrypt files and seek to steal the data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a foreign server operated by the attackers. Wireshark can be used to monitor traffic and detect any such deviations in real-time, including the abnormally large amount of data being sent to an unknown IP address or communication through a non-standard port. Under such circumstances, the further loss of data and the spread of the breach can be avoided by taking immediate action.</w:t>
      </w:r>
    </w:p>
    <w:p w14:paraId="264EC1F4"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Periodic inspection of network traffic is also very important in detecting vulnerabilities that may be used by hackers. In this case, unprotected traffic and an unsecured connection to a third-party service can lead to the exposure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possible threats. It is possible to detect these weaknesses in advance and eliminate them to prevent the exploitation of such weaknesses.</w:t>
      </w:r>
    </w:p>
    <w:p w14:paraId="36737FEA"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Audit Logs</w:t>
      </w:r>
    </w:p>
    <w:p w14:paraId="07FEF86C"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HPA will have a comprehensive auditing system in its monitoring system to record every access to sensitive data. The General Data Protection Regulation (GDPR) provides that businesses should keep a record of </w:t>
      </w:r>
      <w:proofErr w:type="gramStart"/>
      <w:r>
        <w:rPr>
          <w:rFonts w:ascii="Times New Roman" w:eastAsia="Times New Roman" w:hAnsi="Times New Roman" w:cs="Times New Roman"/>
          <w:sz w:val="24"/>
          <w:szCs w:val="24"/>
        </w:rPr>
        <w:t>the data</w:t>
      </w:r>
      <w:proofErr w:type="gramEnd"/>
      <w:r>
        <w:rPr>
          <w:rFonts w:ascii="Times New Roman" w:eastAsia="Times New Roman" w:hAnsi="Times New Roman" w:cs="Times New Roman"/>
          <w:sz w:val="24"/>
          <w:szCs w:val="24"/>
        </w:rPr>
        <w:t xml:space="preserve"> access to be able to make sure that personal information is not abused or accessed by unintended participants. Audit logs play a fundamental role in monitoring the flow of sensitive information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they may also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detect any malicious use (Splunk, 2021).</w:t>
      </w:r>
    </w:p>
    <w:p w14:paraId="5B8CF47D"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tools, coupled with the SIEM and cloud systems that HPA will employ, will automatically capture user access logs and classify them. The log will contain the identity of the user, type of data accessed, time and place where data was accessed and the actions taken. The logs will be </w:t>
      </w:r>
      <w:r>
        <w:rPr>
          <w:rFonts w:ascii="Times New Roman" w:eastAsia="Times New Roman" w:hAnsi="Times New Roman" w:cs="Times New Roman"/>
          <w:sz w:val="24"/>
          <w:szCs w:val="24"/>
        </w:rPr>
        <w:lastRenderedPageBreak/>
        <w:t>kept in a safe location and stored under the requirements of the regulations (GDPR requires logs to be stored at least six months in certain instances).</w:t>
      </w:r>
    </w:p>
    <w:p w14:paraId="498C548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audits will be carried out on a regular basis to make sure that access logs are being kept properly and that adherence to access controls is maintained. It will assist HPA in addressing its compliance needs and avoiding possible internal attacks by making sure that the cases of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are revealed and investigated as quickly as possible (Verizon, 2021).</w:t>
      </w:r>
    </w:p>
    <w:p w14:paraId="27936ED9" w14:textId="77777777" w:rsidR="00A501A7" w:rsidRDefault="00A501A7" w:rsidP="00C540BE">
      <w:pPr>
        <w:spacing w:before="240" w:after="240" w:line="360" w:lineRule="auto"/>
        <w:rPr>
          <w:rFonts w:ascii="Times New Roman" w:eastAsia="Times New Roman" w:hAnsi="Times New Roman" w:cs="Times New Roman"/>
          <w:sz w:val="24"/>
          <w:szCs w:val="24"/>
        </w:rPr>
      </w:pPr>
    </w:p>
    <w:tbl>
      <w:tblPr>
        <w:tblStyle w:val="a"/>
        <w:tblW w:w="10491" w:type="dxa"/>
        <w:tblInd w:w="-4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7"/>
        <w:gridCol w:w="2751"/>
        <w:gridCol w:w="5903"/>
      </w:tblGrid>
      <w:tr w:rsidR="00A501A7" w14:paraId="091F1734" w14:textId="77777777" w:rsidTr="00C540BE">
        <w:trPr>
          <w:trHeight w:val="421"/>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0505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Step</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663A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A064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Tools/Technologies</w:t>
            </w:r>
          </w:p>
        </w:tc>
      </w:tr>
      <w:tr w:rsidR="00A501A7" w14:paraId="7BDB05F9" w14:textId="77777777" w:rsidTr="00C540BE">
        <w:trPr>
          <w:trHeight w:val="2590"/>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9D7B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Monitoring the Network</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57FA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monitor network traffic, endpoints, and cloud environments to detect potential security threats.</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F8415"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SIEM</w:t>
            </w:r>
            <w:r>
              <w:rPr>
                <w:rFonts w:ascii="Times New Roman" w:eastAsia="Times New Roman" w:hAnsi="Times New Roman" w:cs="Times New Roman"/>
                <w:sz w:val="24"/>
                <w:szCs w:val="24"/>
              </w:rPr>
              <w:t xml:space="preserve"> (Splunk, IBM </w:t>
            </w:r>
            <w:proofErr w:type="spellStart"/>
            <w:r>
              <w:rPr>
                <w:rFonts w:ascii="Times New Roman" w:eastAsia="Times New Roman" w:hAnsi="Times New Roman" w:cs="Times New Roman"/>
                <w:sz w:val="24"/>
                <w:szCs w:val="24"/>
              </w:rPr>
              <w:t>QRadar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EDR</w:t>
            </w:r>
            <w:r>
              <w:rPr>
                <w:rFonts w:ascii="Times New Roman" w:eastAsia="Times New Roman" w:hAnsi="Times New Roman" w:cs="Times New Roman"/>
                <w:sz w:val="24"/>
                <w:szCs w:val="24"/>
              </w:rPr>
              <w:t xml:space="preserve"> (CrowdStrike, </w:t>
            </w:r>
            <w:proofErr w:type="spellStart"/>
            <w:r>
              <w:rPr>
                <w:rFonts w:ascii="Times New Roman" w:eastAsia="Times New Roman" w:hAnsi="Times New Roman" w:cs="Times New Roman"/>
                <w:sz w:val="24"/>
                <w:szCs w:val="24"/>
              </w:rPr>
              <w:t>SentinelOne</w:t>
            </w:r>
            <w:proofErr w:type="spellEnd"/>
            <w:r>
              <w:rPr>
                <w:rFonts w:ascii="Times New Roman" w:eastAsia="Times New Roman" w:hAnsi="Times New Roman" w:cs="Times New Roman"/>
                <w:sz w:val="24"/>
                <w:szCs w:val="24"/>
              </w:rPr>
              <w:t>), Network Traffic Analysis Tools (Wireshark), Cloud Security Monitoring Tools</w:t>
            </w:r>
          </w:p>
        </w:tc>
      </w:tr>
      <w:tr w:rsidR="00A501A7" w14:paraId="148091B4" w14:textId="77777777" w:rsidTr="00C540BE">
        <w:trPr>
          <w:trHeight w:val="1103"/>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1145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Detection</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5792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Detect suspicious behavior or anomalies in the network or endpoints. Trigger automated alerts for any unusual activity.</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5FEE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SIEM Alerts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EDR Alerts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Network Traffic Analysis Tools</w:t>
            </w:r>
          </w:p>
        </w:tc>
      </w:tr>
      <w:tr w:rsidR="00A501A7" w14:paraId="39999B1D" w14:textId="77777777" w:rsidTr="00C540BE">
        <w:trPr>
          <w:trHeight w:val="876"/>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25932"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Containment</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48C7D"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an incident is detected, take immediate steps to contain the breach:</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E492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Firewall</w:t>
            </w:r>
            <w:r>
              <w:rPr>
                <w:rFonts w:ascii="Times New Roman" w:eastAsia="Times New Roman" w:hAnsi="Times New Roman" w:cs="Times New Roman"/>
                <w:sz w:val="24"/>
                <w:szCs w:val="24"/>
              </w:rPr>
              <w:t xml:space="preserve"> (block malicious IPs), </w:t>
            </w:r>
            <w:r>
              <w:rPr>
                <w:rFonts w:ascii="Times New Roman" w:eastAsia="Times New Roman" w:hAnsi="Times New Roman" w:cs="Times New Roman"/>
                <w:b/>
                <w:bCs/>
                <w:sz w:val="24"/>
                <w:szCs w:val="24"/>
              </w:rPr>
              <w:t>Endpoint Management</w:t>
            </w:r>
            <w:r>
              <w:rPr>
                <w:rFonts w:ascii="Times New Roman" w:eastAsia="Times New Roman" w:hAnsi="Times New Roman" w:cs="Times New Roman"/>
                <w:sz w:val="24"/>
                <w:szCs w:val="24"/>
              </w:rPr>
              <w:t xml:space="preserve"> (isolate infected systems), </w:t>
            </w:r>
            <w:r>
              <w:rPr>
                <w:rFonts w:ascii="Times New Roman" w:eastAsia="Times New Roman" w:hAnsi="Times New Roman" w:cs="Times New Roman"/>
                <w:b/>
                <w:bCs/>
                <w:sz w:val="24"/>
                <w:szCs w:val="24"/>
              </w:rPr>
              <w:t>Account Lockdown</w:t>
            </w:r>
          </w:p>
        </w:tc>
      </w:tr>
      <w:tr w:rsidR="00A501A7" w14:paraId="742FFA4E" w14:textId="77777777" w:rsidTr="00C540BE">
        <w:trPr>
          <w:trHeight w:val="1103"/>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06C9E"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4. Eradication</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3D55F"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Remove the cause of the incident by cleaning infected devices, patching vulnerabilities, and eliminating malicious software.</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D6D8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Antivirus</w:t>
            </w:r>
            <w:r>
              <w:rPr>
                <w:rFonts w:ascii="Times New Roman" w:eastAsia="Times New Roman" w:hAnsi="Times New Roman" w:cs="Times New Roman"/>
                <w:sz w:val="24"/>
                <w:szCs w:val="24"/>
              </w:rPr>
              <w:t xml:space="preserve"> (Malwarebytes, Windows Defender), </w:t>
            </w:r>
            <w:r>
              <w:rPr>
                <w:rFonts w:ascii="Times New Roman" w:eastAsia="Times New Roman" w:hAnsi="Times New Roman" w:cs="Times New Roman"/>
                <w:b/>
                <w:bCs/>
                <w:sz w:val="24"/>
                <w:szCs w:val="24"/>
              </w:rPr>
              <w:t>Patch Management Tools</w:t>
            </w:r>
          </w:p>
        </w:tc>
      </w:tr>
      <w:tr w:rsidR="00A501A7" w14:paraId="4CE1023C" w14:textId="77777777" w:rsidTr="00C540BE">
        <w:trPr>
          <w:trHeight w:val="1103"/>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284DC"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 Recovery</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FD5F2"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Restore affected systems from secure, clean backups. Ensure the systems are fully tested before re-connecting to the network.</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F7FA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Backup Solutions</w:t>
            </w:r>
            <w:r>
              <w:rPr>
                <w:rFonts w:ascii="Times New Roman" w:eastAsia="Times New Roman" w:hAnsi="Times New Roman" w:cs="Times New Roman"/>
                <w:sz w:val="24"/>
                <w:szCs w:val="24"/>
              </w:rPr>
              <w:t xml:space="preserve"> (Veeam, Acronis), </w:t>
            </w:r>
            <w:r>
              <w:rPr>
                <w:rFonts w:ascii="Times New Roman" w:eastAsia="Times New Roman" w:hAnsi="Times New Roman" w:cs="Times New Roman"/>
                <w:b/>
                <w:bCs/>
                <w:sz w:val="24"/>
                <w:szCs w:val="24"/>
              </w:rPr>
              <w:t>Recovery Testing Tools</w:t>
            </w:r>
          </w:p>
        </w:tc>
      </w:tr>
      <w:tr w:rsidR="00A501A7" w14:paraId="5D032C8E" w14:textId="77777777" w:rsidTr="00C540BE">
        <w:trPr>
          <w:trHeight w:val="1331"/>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F8618"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 Post-Incident Review</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83FCE"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 thorough review to identify how the incident occurred, evaluate the effectiveness of the response, and update security measures.</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489B1"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Incident Analysis Tools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Security Audits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Lessons Learned Review</w:t>
            </w:r>
          </w:p>
        </w:tc>
      </w:tr>
      <w:tr w:rsidR="00A501A7" w14:paraId="7A8A669E" w14:textId="77777777" w:rsidTr="00C540BE">
        <w:trPr>
          <w:trHeight w:val="1103"/>
        </w:trPr>
        <w:tc>
          <w:tcPr>
            <w:tcW w:w="18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13AF2"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7. Training and Awareness</w:t>
            </w:r>
          </w:p>
        </w:tc>
        <w:tc>
          <w:tcPr>
            <w:tcW w:w="27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F3D51"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Regularly train employees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security awareness to help prevent future incidents (e.g., phishing, secure data handling).</w:t>
            </w:r>
          </w:p>
        </w:tc>
        <w:tc>
          <w:tcPr>
            <w:tcW w:w="59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01961"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Phishing Simulation Tools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Employee Training Programs</w:t>
            </w:r>
          </w:p>
        </w:tc>
      </w:tr>
    </w:tbl>
    <w:p w14:paraId="2A8FA712" w14:textId="77777777" w:rsidR="00A501A7" w:rsidRDefault="00A501A7" w:rsidP="00C540BE">
      <w:pPr>
        <w:spacing w:before="240" w:after="240" w:line="360" w:lineRule="auto"/>
        <w:rPr>
          <w:rFonts w:ascii="Times New Roman" w:eastAsia="Times New Roman" w:hAnsi="Times New Roman" w:cs="Times New Roman"/>
          <w:sz w:val="24"/>
          <w:szCs w:val="24"/>
        </w:rPr>
      </w:pPr>
    </w:p>
    <w:p w14:paraId="64093820" w14:textId="77777777" w:rsidR="00A501A7" w:rsidRDefault="00000000" w:rsidP="00C540BE">
      <w:pPr>
        <w:pStyle w:val="Heading3"/>
        <w:keepNext w:val="0"/>
        <w:keepLines w:val="0"/>
        <w:spacing w:before="280" w:line="360" w:lineRule="auto"/>
        <w:rPr>
          <w:rFonts w:ascii="Times New Roman" w:eastAsia="Times New Roman" w:hAnsi="Times New Roman" w:cs="Times New Roman"/>
          <w:b/>
          <w:bCs/>
          <w:color w:val="000000"/>
          <w:sz w:val="24"/>
          <w:szCs w:val="24"/>
        </w:rPr>
      </w:pPr>
      <w:bookmarkStart w:id="7" w:name="_Toc222990554"/>
      <w:r>
        <w:rPr>
          <w:rFonts w:ascii="Times New Roman" w:eastAsia="Times New Roman" w:hAnsi="Times New Roman" w:cs="Times New Roman"/>
          <w:b/>
          <w:bCs/>
          <w:color w:val="000000"/>
          <w:sz w:val="24"/>
          <w:szCs w:val="24"/>
        </w:rPr>
        <w:lastRenderedPageBreak/>
        <w:t>Incident Response Plan (Flow Diagram)</w:t>
      </w:r>
      <w:bookmarkEnd w:id="7"/>
    </w:p>
    <w:p w14:paraId="50BB149E"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Incident response involves managing security incidents, breaches, and other threats of data and network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An incident response plan (IRP) is a well-documented, well-</w:t>
      </w:r>
      <w:proofErr w:type="spellStart"/>
      <w:r>
        <w:rPr>
          <w:rFonts w:ascii="Times New Roman" w:eastAsia="Times New Roman" w:hAnsi="Times New Roman" w:cs="Times New Roman"/>
          <w:sz w:val="24"/>
          <w:szCs w:val="24"/>
        </w:rPr>
        <w:t>practised</w:t>
      </w:r>
      <w:proofErr w:type="spellEnd"/>
      <w:r>
        <w:rPr>
          <w:rFonts w:ascii="Times New Roman" w:eastAsia="Times New Roman" w:hAnsi="Times New Roman" w:cs="Times New Roman"/>
          <w:sz w:val="24"/>
          <w:szCs w:val="24"/>
        </w:rPr>
        <w:t xml:space="preserve"> plan necessary to reduce the destruction that security breaches cause. The response plan will involve the steps listed below</w:t>
      </w:r>
      <w:proofErr w:type="gramStart"/>
      <w:r>
        <w:rPr>
          <w:rFonts w:ascii="Times New Roman" w:eastAsia="Times New Roman" w:hAnsi="Times New Roman" w:cs="Times New Roman"/>
          <w:sz w:val="24"/>
          <w:szCs w:val="24"/>
        </w:rPr>
        <w:t>, reviewing</w:t>
      </w:r>
      <w:proofErr w:type="gramEnd"/>
      <w:r>
        <w:rPr>
          <w:rFonts w:ascii="Times New Roman" w:eastAsia="Times New Roman" w:hAnsi="Times New Roman" w:cs="Times New Roman"/>
          <w:sz w:val="24"/>
          <w:szCs w:val="24"/>
        </w:rPr>
        <w:t xml:space="preserve"> of the plan will be continuous, so that its effectiveness is attained.</w:t>
      </w:r>
    </w:p>
    <w:p w14:paraId="3412C7F1"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1. Detection</w:t>
      </w:r>
    </w:p>
    <w:p w14:paraId="4F8D3A8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Detecting an incident is the initial action to take when responding to it. HPA will employ its SIEM system to track any possible security attack as discussed. Upon detecting a threat by the SIEM, e.g. when an unusual login attempt occurred, or the network traffic increased, an automated alert will be created. This alert will instantly inform the IT security department who will initiate an inquiry about the matter (Wired, 2017).</w:t>
      </w:r>
    </w:p>
    <w:p w14:paraId="780AF59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detection will also rely on the use of endpoint detection and response (EDR) tools. These devices will constantly check the actions of all the devices linked to the network and capture all suspicious actions, including the transfer of high volumes of data by an employee or the attachment of an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USB drive.</w:t>
      </w:r>
    </w:p>
    <w:p w14:paraId="577C12DE"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2. Containment</w:t>
      </w:r>
    </w:p>
    <w:p w14:paraId="4DECC243"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Containment follows the incidence after it has been identified. The aim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this stage is to avoid additional destruction or loss of data. As an illustration, </w:t>
      </w:r>
      <w:proofErr w:type="gramStart"/>
      <w:r>
        <w:rPr>
          <w:rFonts w:ascii="Times New Roman" w:eastAsia="Times New Roman" w:hAnsi="Times New Roman" w:cs="Times New Roman"/>
          <w:sz w:val="24"/>
          <w:szCs w:val="24"/>
        </w:rPr>
        <w:t>in the event that</w:t>
      </w:r>
      <w:proofErr w:type="gramEnd"/>
      <w:r>
        <w:rPr>
          <w:rFonts w:ascii="Times New Roman" w:eastAsia="Times New Roman" w:hAnsi="Times New Roman" w:cs="Times New Roman"/>
          <w:sz w:val="24"/>
          <w:szCs w:val="24"/>
        </w:rPr>
        <w:t xml:space="preserve"> ransomware is spotted in a computer belonging to an employee, the initial thing that would be done is to isolate the infected system from the network. This move will ensure that the malware does not propagate to other systems or servers (IBM, 2021).</w:t>
      </w:r>
    </w:p>
    <w:p w14:paraId="0EE5689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Likewise, when access to the cloud-stored patient data is discovered without the authority of the user, the access privileges of the affected user will be terminated instantly. This will aid in avoiding exfiltration of further information by the attacker or further destruction.</w:t>
      </w:r>
    </w:p>
    <w:p w14:paraId="6840C50B" w14:textId="77777777" w:rsidR="00DE69DF" w:rsidRDefault="00DE69DF" w:rsidP="00C540BE">
      <w:pPr>
        <w:spacing w:before="240" w:after="240" w:line="360" w:lineRule="auto"/>
        <w:rPr>
          <w:rFonts w:ascii="Times New Roman" w:eastAsia="Times New Roman" w:hAnsi="Times New Roman" w:cs="Times New Roman"/>
          <w:sz w:val="24"/>
          <w:szCs w:val="24"/>
        </w:rPr>
      </w:pPr>
    </w:p>
    <w:p w14:paraId="11EA6A69"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3. Eradication</w:t>
      </w:r>
    </w:p>
    <w:p w14:paraId="6900F3C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important measure is to eliminate the cause of the occurrence. In the case of malware infections, this may be running antivirus or antimalware software programs to eliminate the malicious software in the infected systems. In case the violation was caused by a gap in the network, it will also be required to patch that gap and update all the corresponding systems to avoid the occurrence of the breach.</w:t>
      </w:r>
    </w:p>
    <w:p w14:paraId="109EBAA7" w14:textId="77777777" w:rsidR="00265259" w:rsidRDefault="00265259" w:rsidP="00C540BE">
      <w:pPr>
        <w:spacing w:before="240" w:after="240" w:line="360" w:lineRule="auto"/>
        <w:rPr>
          <w:rFonts w:ascii="Times New Roman" w:eastAsia="Times New Roman" w:hAnsi="Times New Roman" w:cs="Times New Roman"/>
          <w:sz w:val="24"/>
          <w:szCs w:val="24"/>
        </w:rPr>
      </w:pPr>
    </w:p>
    <w:p w14:paraId="64958EAE"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4. Recovery</w:t>
      </w:r>
    </w:p>
    <w:p w14:paraId="588FA48B"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HPA will enter the recovery phase after containment and eradication. This entails getting the affected systems back into a normal functioning position. Data will be restored by using clean backups, and any breached accounts or systems will be secured. The recovery can also be based on the introduction of improved security features like password changes and better access controls to avoid future incidents (McAfee, 2021).</w:t>
      </w:r>
    </w:p>
    <w:p w14:paraId="19A84197"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 recovery process, the IT department will strive to ensure that all the systems are well tested to ensure that they are operating properly and securely before they are reintroduced online.</w:t>
      </w:r>
    </w:p>
    <w:p w14:paraId="66E8F035"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5. Post-Incident Review</w:t>
      </w:r>
    </w:p>
    <w:p w14:paraId="1153FD7E"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post-incident review will be done once the immediate threat is </w:t>
      </w:r>
      <w:proofErr w:type="spellStart"/>
      <w:r>
        <w:rPr>
          <w:rFonts w:ascii="Times New Roman" w:eastAsia="Times New Roman" w:hAnsi="Times New Roman" w:cs="Times New Roman"/>
          <w:sz w:val="24"/>
          <w:szCs w:val="24"/>
        </w:rPr>
        <w:t>neutralised</w:t>
      </w:r>
      <w:proofErr w:type="spellEnd"/>
      <w:r>
        <w:rPr>
          <w:rFonts w:ascii="Times New Roman" w:eastAsia="Times New Roman" w:hAnsi="Times New Roman" w:cs="Times New Roman"/>
          <w:sz w:val="24"/>
          <w:szCs w:val="24"/>
        </w:rPr>
        <w:t xml:space="preserve"> and the recovery process is in progress. This is an important step in establishing the cause of the incident, the effectiveness of the response, as well as the learning of lessons. In this stage, HPA will determine whether the incident response plan was effective in curbing the damage, and whether there are ways of improvement.</w:t>
      </w:r>
    </w:p>
    <w:p w14:paraId="5E309540"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post-incident review will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revise the incident response plan, security policies and employee training programs so that similar incidents can be avoided in future.</w:t>
      </w:r>
    </w:p>
    <w:p w14:paraId="08DAA73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E81B3B6" wp14:editId="60D831D2">
            <wp:extent cx="5943600" cy="342122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13658"/>
                    <a:stretch>
                      <a:fillRect/>
                    </a:stretch>
                  </pic:blipFill>
                  <pic:spPr>
                    <a:xfrm>
                      <a:off x="0" y="0"/>
                      <a:ext cx="5943600" cy="3421224"/>
                    </a:xfrm>
                    <a:prstGeom prst="rect">
                      <a:avLst/>
                    </a:prstGeom>
                    <a:ln/>
                  </pic:spPr>
                </pic:pic>
              </a:graphicData>
            </a:graphic>
          </wp:inline>
        </w:drawing>
      </w:r>
    </w:p>
    <w:p w14:paraId="474DE98F" w14:textId="7B779E1D"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8" w:name="_Toc222990555"/>
      <w:r>
        <w:rPr>
          <w:rFonts w:ascii="Times New Roman" w:eastAsia="Times New Roman" w:hAnsi="Times New Roman" w:cs="Times New Roman"/>
          <w:b/>
          <w:bCs/>
          <w:i/>
          <w:iCs/>
          <w:sz w:val="28"/>
          <w:szCs w:val="28"/>
          <w:u w:val="single"/>
        </w:rPr>
        <w:t>6. Training and Awareness Program</w:t>
      </w:r>
      <w:bookmarkEnd w:id="8"/>
    </w:p>
    <w:p w14:paraId="1305E11A"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security posture that HPA will have in place will be greatly enhanced by a constant employee training and awareness program. The program will be tailored in such a way that every employee is notified of the dangers they are exposed to and the significance of cybersecurity (Proofpoint, 2021).</w:t>
      </w:r>
    </w:p>
    <w:p w14:paraId="6399673A"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Cybersecurity Fundamentals</w:t>
      </w:r>
    </w:p>
    <w:p w14:paraId="0F1A1289"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program will be initiated by the basic knowledge of cybersecurity, including such aspects as security policies of the company, the basic principles of data protection, and the necessity to protect patient data. The employees will be informed about the most prevalent types of threats, including phishing, ransomware, and social engineering, and the ways of preventing the risks of becoming the victim of such threats.</w:t>
      </w:r>
    </w:p>
    <w:p w14:paraId="7645CBE9"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Phishing Awareness</w:t>
      </w:r>
    </w:p>
    <w:p w14:paraId="6EACA80C"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employees to identify the signs of phishing attempts is one of the most effective methods of preventing such breaches due to human error. The training session will entail the use </w:t>
      </w:r>
      <w:r>
        <w:rPr>
          <w:rFonts w:ascii="Times New Roman" w:eastAsia="Times New Roman" w:hAnsi="Times New Roman" w:cs="Times New Roman"/>
          <w:sz w:val="24"/>
          <w:szCs w:val="24"/>
        </w:rPr>
        <w:lastRenderedPageBreak/>
        <w:t>of simulated phishing attacks, in which the employees will be given fake phishing emails, and their capacity to identify the fraudulent messages will be tested. The users who fail the phishing examinations will be provided with extra training with an aim of enhancing their awareness (Splunk, 2021).</w:t>
      </w:r>
    </w:p>
    <w:p w14:paraId="70B7BEAE"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Secure Data Handling</w:t>
      </w:r>
    </w:p>
    <w:p w14:paraId="541B0FD2"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be educated on how to </w:t>
      </w:r>
      <w:proofErr w:type="spellStart"/>
      <w:r>
        <w:rPr>
          <w:rFonts w:ascii="Times New Roman" w:eastAsia="Times New Roman" w:hAnsi="Times New Roman" w:cs="Times New Roman"/>
          <w:sz w:val="24"/>
          <w:szCs w:val="24"/>
        </w:rPr>
        <w:t>categorise</w:t>
      </w:r>
      <w:proofErr w:type="spellEnd"/>
      <w:r>
        <w:rPr>
          <w:rFonts w:ascii="Times New Roman" w:eastAsia="Times New Roman" w:hAnsi="Times New Roman" w:cs="Times New Roman"/>
          <w:sz w:val="24"/>
          <w:szCs w:val="24"/>
        </w:rPr>
        <w:t xml:space="preserve"> information, how to secure sensitive information, and how to use encrypted channels of communication. The module will also entail practical practice on the ways of sharing files as well as keeping information safe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chances of unintended exposure.</w:t>
      </w:r>
    </w:p>
    <w:p w14:paraId="2D3AD9CF" w14:textId="77777777" w:rsidR="00A501A7" w:rsidRDefault="00000000" w:rsidP="00C540BE">
      <w:pPr>
        <w:pStyle w:val="Heading4"/>
        <w:keepNext w:val="0"/>
        <w:keepLines w:val="0"/>
        <w:spacing w:before="240" w:after="4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Assessments</w:t>
      </w:r>
    </w:p>
    <w:p w14:paraId="45C2B0F7"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be tested after every training session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understand what they have learned. The follow-up training will be provided every quarter to refresh the main topics and maintain the continuity of </w:t>
      </w:r>
      <w:proofErr w:type="gramStart"/>
      <w:r>
        <w:rPr>
          <w:rFonts w:ascii="Times New Roman" w:eastAsia="Times New Roman" w:hAnsi="Times New Roman" w:cs="Times New Roman"/>
          <w:sz w:val="24"/>
          <w:szCs w:val="24"/>
        </w:rPr>
        <w:t>the security</w:t>
      </w:r>
      <w:proofErr w:type="gramEnd"/>
      <w:r>
        <w:rPr>
          <w:rFonts w:ascii="Times New Roman" w:eastAsia="Times New Roman" w:hAnsi="Times New Roman" w:cs="Times New Roman"/>
          <w:sz w:val="24"/>
          <w:szCs w:val="24"/>
        </w:rPr>
        <w:t xml:space="preserve"> awareness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590BDA9B" w14:textId="36F9B273" w:rsidR="00A501A7" w:rsidRDefault="00000000" w:rsidP="00C540BE">
      <w:pPr>
        <w:pStyle w:val="Heading2"/>
        <w:keepNext w:val="0"/>
        <w:keepLines w:val="0"/>
        <w:spacing w:before="280" w:line="360" w:lineRule="auto"/>
        <w:rPr>
          <w:rFonts w:ascii="Times New Roman" w:eastAsia="Times New Roman" w:hAnsi="Times New Roman" w:cs="Times New Roman"/>
          <w:b/>
          <w:bCs/>
          <w:i/>
          <w:iCs/>
          <w:sz w:val="28"/>
          <w:szCs w:val="28"/>
          <w:u w:val="single"/>
        </w:rPr>
      </w:pPr>
      <w:bookmarkStart w:id="9" w:name="_Toc222990556"/>
      <w:r>
        <w:rPr>
          <w:rFonts w:ascii="Times New Roman" w:eastAsia="Times New Roman" w:hAnsi="Times New Roman" w:cs="Times New Roman"/>
          <w:b/>
          <w:bCs/>
          <w:i/>
          <w:iCs/>
          <w:sz w:val="28"/>
          <w:szCs w:val="28"/>
          <w:u w:val="single"/>
        </w:rPr>
        <w:t>7. Conclusion</w:t>
      </w:r>
      <w:bookmarkEnd w:id="9"/>
    </w:p>
    <w:p w14:paraId="36CE5536" w14:textId="77777777" w:rsidR="00A501A7" w:rsidRDefault="00000000" w:rsidP="00C540B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the adoption of a holistic data security and governance system by </w:t>
      </w:r>
      <w:proofErr w:type="spellStart"/>
      <w:r>
        <w:rPr>
          <w:rFonts w:ascii="Times New Roman" w:eastAsia="Times New Roman" w:hAnsi="Times New Roman" w:cs="Times New Roman"/>
          <w:sz w:val="24"/>
          <w:szCs w:val="24"/>
        </w:rPr>
        <w:t>HealthPlus</w:t>
      </w:r>
      <w:proofErr w:type="spellEnd"/>
      <w:r>
        <w:rPr>
          <w:rFonts w:ascii="Times New Roman" w:eastAsia="Times New Roman" w:hAnsi="Times New Roman" w:cs="Times New Roman"/>
          <w:sz w:val="24"/>
          <w:szCs w:val="24"/>
        </w:rPr>
        <w:t xml:space="preserve"> Analytics (HPA) will contribute greatly to its cybersecurity disposition. The identification of internal and external threats, the creation of efficient security policies, and the mitigation of these threats will help HPA to withstand the malicious attacks on sensitive patient-related information and ensure adherence to regulatory standards. Moreover, a culture of security awareness, which should be encouraged by periodically training employees, will become a measure to avoid human error and enhance general data protection. Through constant network monitoring and reaction to attacks with a developed strategy, HPA will mitigate the risk of information breaches and have a solid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 xml:space="preserve"> against cybercrimes.</w:t>
      </w:r>
    </w:p>
    <w:p w14:paraId="6D4D6299" w14:textId="77777777" w:rsidR="00D70B26" w:rsidRDefault="00D70B26" w:rsidP="00C540BE">
      <w:pPr>
        <w:spacing w:before="240" w:after="240" w:line="360" w:lineRule="auto"/>
        <w:rPr>
          <w:rFonts w:ascii="Times New Roman" w:eastAsia="Times New Roman" w:hAnsi="Times New Roman" w:cs="Times New Roman"/>
          <w:i/>
          <w:iCs/>
          <w:sz w:val="30"/>
          <w:szCs w:val="30"/>
        </w:rPr>
      </w:pPr>
    </w:p>
    <w:p w14:paraId="58A273E4" w14:textId="77777777" w:rsidR="00D70B26" w:rsidRDefault="00D70B26" w:rsidP="00C540BE">
      <w:pPr>
        <w:spacing w:before="240" w:after="240" w:line="360" w:lineRule="auto"/>
        <w:rPr>
          <w:rFonts w:ascii="Times New Roman" w:eastAsia="Times New Roman" w:hAnsi="Times New Roman" w:cs="Times New Roman"/>
          <w:i/>
          <w:iCs/>
          <w:sz w:val="30"/>
          <w:szCs w:val="30"/>
        </w:rPr>
      </w:pPr>
    </w:p>
    <w:p w14:paraId="28C6CD92" w14:textId="51D98677" w:rsidR="00C540BE" w:rsidRDefault="00D70B26" w:rsidP="00C540BE">
      <w:pPr>
        <w:spacing w:before="240" w:after="240" w:line="360" w:lineRule="auto"/>
        <w:rPr>
          <w:rFonts w:ascii="Times New Roman" w:eastAsia="Times New Roman" w:hAnsi="Times New Roman" w:cs="Times New Roman"/>
          <w:b/>
          <w:bCs/>
          <w:i/>
          <w:iCs/>
          <w:sz w:val="44"/>
          <w:szCs w:val="44"/>
        </w:rPr>
      </w:pPr>
      <w:r>
        <w:rPr>
          <w:rFonts w:ascii="Times New Roman" w:eastAsia="Times New Roman" w:hAnsi="Times New Roman" w:cs="Times New Roman"/>
          <w:i/>
          <w:iCs/>
          <w:sz w:val="30"/>
          <w:szCs w:val="30"/>
        </w:rPr>
        <w:lastRenderedPageBreak/>
        <w:t xml:space="preserve">                                                  </w:t>
      </w:r>
      <w:r w:rsidRPr="00D70B26">
        <w:rPr>
          <w:rFonts w:ascii="Times New Roman" w:eastAsia="Times New Roman" w:hAnsi="Times New Roman" w:cs="Times New Roman"/>
          <w:i/>
          <w:iCs/>
          <w:sz w:val="30"/>
          <w:szCs w:val="30"/>
        </w:rPr>
        <w:t xml:space="preserve"> </w:t>
      </w:r>
      <w:r w:rsidRPr="00D70B26">
        <w:rPr>
          <w:rFonts w:ascii="Times New Roman" w:eastAsia="Times New Roman" w:hAnsi="Times New Roman" w:cs="Times New Roman"/>
          <w:b/>
          <w:bCs/>
          <w:i/>
          <w:iCs/>
          <w:sz w:val="30"/>
          <w:szCs w:val="30"/>
        </w:rPr>
        <w:t xml:space="preserve">Summary </w:t>
      </w:r>
    </w:p>
    <w:p w14:paraId="3DD9314E" w14:textId="5B78E131" w:rsidR="00D70B26" w:rsidRPr="00D70B26" w:rsidRDefault="00D70B26" w:rsidP="00C540BE">
      <w:pPr>
        <w:spacing w:before="240" w:after="240" w:line="360" w:lineRule="auto"/>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 xml:space="preserve">                                </w:t>
      </w:r>
      <w:r>
        <w:rPr>
          <w:rFonts w:ascii="Times New Roman" w:eastAsia="Times New Roman" w:hAnsi="Times New Roman" w:cs="Times New Roman"/>
          <w:b/>
          <w:bCs/>
          <w:i/>
          <w:iCs/>
          <w:sz w:val="44"/>
          <w:szCs w:val="44"/>
        </w:rPr>
        <w:object w:dxaOrig="1508" w:dyaOrig="984" w14:anchorId="42416D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1" o:title=""/>
          </v:shape>
          <o:OLEObject Type="Link" ProgID="PowerPoint.Show.12" ShapeID="_x0000_i1025" DrawAspect="Icon" r:id="rId12" UpdateMode="Always">
            <o:LinkType>EnhancedMetaFile</o:LinkType>
            <o:LockedField>false</o:LockedField>
            <o:FieldCodes>\f 0</o:FieldCodes>
          </o:OLEObject>
        </w:object>
      </w:r>
    </w:p>
    <w:p w14:paraId="24A7B77C" w14:textId="77777777" w:rsidR="00A501A7" w:rsidRDefault="00000000" w:rsidP="00C540BE">
      <w:pPr>
        <w:pStyle w:val="Heading2"/>
        <w:spacing w:line="360" w:lineRule="auto"/>
        <w:rPr>
          <w:rFonts w:ascii="Times New Roman" w:eastAsia="Times New Roman" w:hAnsi="Times New Roman" w:cs="Times New Roman"/>
          <w:b/>
          <w:bCs/>
          <w:i/>
          <w:iCs/>
          <w:sz w:val="28"/>
          <w:szCs w:val="28"/>
          <w:u w:val="single"/>
        </w:rPr>
      </w:pPr>
      <w:bookmarkStart w:id="10" w:name="_Toc222990557"/>
      <w:r>
        <w:rPr>
          <w:rFonts w:ascii="Times New Roman" w:eastAsia="Times New Roman" w:hAnsi="Times New Roman" w:cs="Times New Roman"/>
          <w:b/>
          <w:bCs/>
          <w:i/>
          <w:iCs/>
          <w:sz w:val="28"/>
          <w:szCs w:val="28"/>
          <w:u w:val="single"/>
        </w:rPr>
        <w:t>References</w:t>
      </w:r>
      <w:bookmarkEnd w:id="10"/>
    </w:p>
    <w:p w14:paraId="5136D2BB" w14:textId="77777777" w:rsidR="00A501A7" w:rsidRDefault="00000000" w:rsidP="00C540BE">
      <w:pPr>
        <w:numPr>
          <w:ilvl w:val="0"/>
          <w:numId w:val="5"/>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Check Point Research, 2021. </w:t>
      </w:r>
      <w:proofErr w:type="spellStart"/>
      <w:r>
        <w:rPr>
          <w:rFonts w:ascii="Times New Roman" w:eastAsia="Times New Roman" w:hAnsi="Times New Roman" w:cs="Times New Roman"/>
          <w:i/>
          <w:iCs/>
          <w:sz w:val="24"/>
          <w:szCs w:val="24"/>
        </w:rPr>
        <w:t>Cyber attack</w:t>
      </w:r>
      <w:proofErr w:type="spellEnd"/>
      <w:r>
        <w:rPr>
          <w:rFonts w:ascii="Times New Roman" w:eastAsia="Times New Roman" w:hAnsi="Times New Roman" w:cs="Times New Roman"/>
          <w:i/>
          <w:iCs/>
          <w:sz w:val="24"/>
          <w:szCs w:val="24"/>
        </w:rPr>
        <w:t xml:space="preserve"> trends: </w:t>
      </w:r>
      <w:proofErr w:type="gramStart"/>
      <w:r>
        <w:rPr>
          <w:rFonts w:ascii="Times New Roman" w:eastAsia="Times New Roman" w:hAnsi="Times New Roman" w:cs="Times New Roman"/>
          <w:i/>
          <w:iCs/>
          <w:sz w:val="24"/>
          <w:szCs w:val="24"/>
        </w:rPr>
        <w:t>2021 mid-year report</w:t>
      </w:r>
      <w:proofErr w:type="gramEnd"/>
      <w:r>
        <w:rPr>
          <w:rFonts w:ascii="Times New Roman" w:eastAsia="Times New Roman" w:hAnsi="Times New Roman" w:cs="Times New Roman"/>
          <w:sz w:val="24"/>
          <w:szCs w:val="24"/>
        </w:rPr>
        <w:t>. Available at:</w:t>
      </w:r>
      <w:hyperlink r:id="rId13">
        <w:r w:rsidR="00A501A7">
          <w:rPr>
            <w:rFonts w:ascii="Times New Roman" w:eastAsia="Times New Roman" w:hAnsi="Times New Roman" w:cs="Times New Roman"/>
            <w:sz w:val="24"/>
            <w:szCs w:val="24"/>
          </w:rPr>
          <w:t xml:space="preserve"> </w:t>
        </w:r>
      </w:hyperlink>
      <w:hyperlink r:id="rId14">
        <w:r w:rsidR="00A501A7">
          <w:rPr>
            <w:rFonts w:ascii="Times New Roman" w:eastAsia="Times New Roman" w:hAnsi="Times New Roman" w:cs="Times New Roman"/>
            <w:sz w:val="24"/>
            <w:szCs w:val="24"/>
            <w:u w:val="single"/>
          </w:rPr>
          <w:t>https://www.checkpoint.com/press/2021-mid-year-report/</w:t>
        </w:r>
      </w:hyperlink>
      <w:r>
        <w:rPr>
          <w:rFonts w:ascii="Times New Roman" w:eastAsia="Times New Roman" w:hAnsi="Times New Roman" w:cs="Times New Roman"/>
          <w:sz w:val="24"/>
          <w:szCs w:val="24"/>
        </w:rPr>
        <w:t xml:space="preserve"> (Accessed: 1 February 2026).</w:t>
      </w:r>
    </w:p>
    <w:p w14:paraId="3F3F4319"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FireEye, 2020. </w:t>
      </w:r>
      <w:r>
        <w:rPr>
          <w:rFonts w:ascii="Times New Roman" w:eastAsia="Times New Roman" w:hAnsi="Times New Roman" w:cs="Times New Roman"/>
          <w:i/>
          <w:iCs/>
          <w:sz w:val="24"/>
          <w:szCs w:val="24"/>
        </w:rPr>
        <w:t>APT41: Cyber espionage and cybercrime threat group</w:t>
      </w:r>
      <w:r>
        <w:rPr>
          <w:rFonts w:ascii="Times New Roman" w:eastAsia="Times New Roman" w:hAnsi="Times New Roman" w:cs="Times New Roman"/>
          <w:sz w:val="24"/>
          <w:szCs w:val="24"/>
        </w:rPr>
        <w:t>. Available at:</w:t>
      </w:r>
      <w:hyperlink r:id="rId15">
        <w:r w:rsidR="00A501A7">
          <w:rPr>
            <w:rFonts w:ascii="Times New Roman" w:eastAsia="Times New Roman" w:hAnsi="Times New Roman" w:cs="Times New Roman"/>
            <w:sz w:val="24"/>
            <w:szCs w:val="24"/>
          </w:rPr>
          <w:t xml:space="preserve"> </w:t>
        </w:r>
      </w:hyperlink>
      <w:hyperlink r:id="rId16">
        <w:r w:rsidR="00A501A7">
          <w:rPr>
            <w:rFonts w:ascii="Times New Roman" w:eastAsia="Times New Roman" w:hAnsi="Times New Roman" w:cs="Times New Roman"/>
            <w:sz w:val="24"/>
            <w:szCs w:val="24"/>
            <w:u w:val="single"/>
          </w:rPr>
          <w:t>https://www.fireeye.com/current-threats/apt-groups.html</w:t>
        </w:r>
      </w:hyperlink>
      <w:r>
        <w:rPr>
          <w:rFonts w:ascii="Times New Roman" w:eastAsia="Times New Roman" w:hAnsi="Times New Roman" w:cs="Times New Roman"/>
          <w:sz w:val="24"/>
          <w:szCs w:val="24"/>
        </w:rPr>
        <w:t xml:space="preserve"> (Accessed: 1 February 2026).</w:t>
      </w:r>
    </w:p>
    <w:p w14:paraId="78FDF6E3"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Gartner, 2021. </w:t>
      </w:r>
      <w:r>
        <w:rPr>
          <w:rFonts w:ascii="Times New Roman" w:eastAsia="Times New Roman" w:hAnsi="Times New Roman" w:cs="Times New Roman"/>
          <w:i/>
          <w:iCs/>
          <w:sz w:val="24"/>
          <w:szCs w:val="24"/>
        </w:rPr>
        <w:t>Magic quadrant for security information and event management (SIEM)</w:t>
      </w:r>
      <w:r>
        <w:rPr>
          <w:rFonts w:ascii="Times New Roman" w:eastAsia="Times New Roman" w:hAnsi="Times New Roman" w:cs="Times New Roman"/>
          <w:sz w:val="24"/>
          <w:szCs w:val="24"/>
        </w:rPr>
        <w:t>. Available at:</w:t>
      </w:r>
      <w:hyperlink r:id="rId17">
        <w:r w:rsidR="00A501A7">
          <w:rPr>
            <w:rFonts w:ascii="Times New Roman" w:eastAsia="Times New Roman" w:hAnsi="Times New Roman" w:cs="Times New Roman"/>
            <w:sz w:val="24"/>
            <w:szCs w:val="24"/>
          </w:rPr>
          <w:t xml:space="preserve"> </w:t>
        </w:r>
      </w:hyperlink>
      <w:hyperlink r:id="rId18">
        <w:r w:rsidR="00A501A7">
          <w:rPr>
            <w:rFonts w:ascii="Times New Roman" w:eastAsia="Times New Roman" w:hAnsi="Times New Roman" w:cs="Times New Roman"/>
            <w:sz w:val="24"/>
            <w:szCs w:val="24"/>
            <w:u w:val="single"/>
          </w:rPr>
          <w:t>https://www.gartner.com/en/documents/4002495</w:t>
        </w:r>
      </w:hyperlink>
      <w:r>
        <w:rPr>
          <w:rFonts w:ascii="Times New Roman" w:eastAsia="Times New Roman" w:hAnsi="Times New Roman" w:cs="Times New Roman"/>
          <w:sz w:val="24"/>
          <w:szCs w:val="24"/>
        </w:rPr>
        <w:t xml:space="preserve"> (Accessed: 1 February 2026).</w:t>
      </w:r>
    </w:p>
    <w:p w14:paraId="41F55661"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IBM, 2021. </w:t>
      </w:r>
      <w:proofErr w:type="spellStart"/>
      <w:r>
        <w:rPr>
          <w:rFonts w:ascii="Times New Roman" w:eastAsia="Times New Roman" w:hAnsi="Times New Roman" w:cs="Times New Roman"/>
          <w:i/>
          <w:iCs/>
          <w:sz w:val="24"/>
          <w:szCs w:val="24"/>
        </w:rPr>
        <w:t>QRadar</w:t>
      </w:r>
      <w:proofErr w:type="spellEnd"/>
      <w:r>
        <w:rPr>
          <w:rFonts w:ascii="Times New Roman" w:eastAsia="Times New Roman" w:hAnsi="Times New Roman" w:cs="Times New Roman"/>
          <w:i/>
          <w:iCs/>
          <w:sz w:val="24"/>
          <w:szCs w:val="24"/>
        </w:rPr>
        <w:t xml:space="preserve"> security information and event management</w:t>
      </w:r>
      <w:r>
        <w:rPr>
          <w:rFonts w:ascii="Times New Roman" w:eastAsia="Times New Roman" w:hAnsi="Times New Roman" w:cs="Times New Roman"/>
          <w:sz w:val="24"/>
          <w:szCs w:val="24"/>
        </w:rPr>
        <w:t>. Available at:</w:t>
      </w:r>
      <w:hyperlink r:id="rId19">
        <w:r w:rsidR="00A501A7">
          <w:rPr>
            <w:rFonts w:ascii="Times New Roman" w:eastAsia="Times New Roman" w:hAnsi="Times New Roman" w:cs="Times New Roman"/>
            <w:sz w:val="24"/>
            <w:szCs w:val="24"/>
          </w:rPr>
          <w:t xml:space="preserve"> </w:t>
        </w:r>
      </w:hyperlink>
      <w:hyperlink r:id="rId20">
        <w:r w:rsidR="00A501A7">
          <w:rPr>
            <w:rFonts w:ascii="Times New Roman" w:eastAsia="Times New Roman" w:hAnsi="Times New Roman" w:cs="Times New Roman"/>
            <w:sz w:val="24"/>
            <w:szCs w:val="24"/>
            <w:u w:val="single"/>
          </w:rPr>
          <w:t>https://www.ibm.com/security/qradar</w:t>
        </w:r>
      </w:hyperlink>
      <w:r>
        <w:rPr>
          <w:rFonts w:ascii="Times New Roman" w:eastAsia="Times New Roman" w:hAnsi="Times New Roman" w:cs="Times New Roman"/>
          <w:sz w:val="24"/>
          <w:szCs w:val="24"/>
        </w:rPr>
        <w:t xml:space="preserve"> (Accessed: 1 February 2026).</w:t>
      </w:r>
    </w:p>
    <w:p w14:paraId="7BFFA113"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 2020a. </w:t>
      </w:r>
      <w:r>
        <w:rPr>
          <w:rFonts w:ascii="Times New Roman" w:eastAsia="Times New Roman" w:hAnsi="Times New Roman" w:cs="Times New Roman"/>
          <w:i/>
          <w:iCs/>
          <w:sz w:val="24"/>
          <w:szCs w:val="24"/>
        </w:rPr>
        <w:t>ISO/IEC 27001:2013 information security management systems (ISMS)</w:t>
      </w:r>
      <w:r>
        <w:rPr>
          <w:rFonts w:ascii="Times New Roman" w:eastAsia="Times New Roman" w:hAnsi="Times New Roman" w:cs="Times New Roman"/>
          <w:sz w:val="24"/>
          <w:szCs w:val="24"/>
        </w:rPr>
        <w:t>. Available at:</w:t>
      </w:r>
      <w:hyperlink r:id="rId21">
        <w:r w:rsidR="00A501A7">
          <w:rPr>
            <w:rFonts w:ascii="Times New Roman" w:eastAsia="Times New Roman" w:hAnsi="Times New Roman" w:cs="Times New Roman"/>
            <w:sz w:val="24"/>
            <w:szCs w:val="24"/>
          </w:rPr>
          <w:t xml:space="preserve"> </w:t>
        </w:r>
      </w:hyperlink>
      <w:hyperlink r:id="rId22">
        <w:r w:rsidR="00A501A7">
          <w:rPr>
            <w:rFonts w:ascii="Times New Roman" w:eastAsia="Times New Roman" w:hAnsi="Times New Roman" w:cs="Times New Roman"/>
            <w:sz w:val="24"/>
            <w:szCs w:val="24"/>
            <w:u w:val="single"/>
          </w:rPr>
          <w:t>https://www.iso.org/isoiec-27001-information-security.html</w:t>
        </w:r>
      </w:hyperlink>
      <w:r>
        <w:rPr>
          <w:rFonts w:ascii="Times New Roman" w:eastAsia="Times New Roman" w:hAnsi="Times New Roman" w:cs="Times New Roman"/>
          <w:sz w:val="24"/>
          <w:szCs w:val="24"/>
        </w:rPr>
        <w:t xml:space="preserve"> (Accessed: 1 February 2026).</w:t>
      </w:r>
    </w:p>
    <w:p w14:paraId="18D34DF1"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 2020b. </w:t>
      </w:r>
      <w:r>
        <w:rPr>
          <w:rFonts w:ascii="Times New Roman" w:eastAsia="Times New Roman" w:hAnsi="Times New Roman" w:cs="Times New Roman"/>
          <w:i/>
          <w:iCs/>
          <w:sz w:val="24"/>
          <w:szCs w:val="24"/>
        </w:rPr>
        <w:t>ISO/IEC 27002:2020 – Code of practice for information security controls</w:t>
      </w:r>
      <w:r>
        <w:rPr>
          <w:rFonts w:ascii="Times New Roman" w:eastAsia="Times New Roman" w:hAnsi="Times New Roman" w:cs="Times New Roman"/>
          <w:sz w:val="24"/>
          <w:szCs w:val="24"/>
        </w:rPr>
        <w:t>. Available at:</w:t>
      </w:r>
      <w:hyperlink r:id="rId23">
        <w:r w:rsidR="00A501A7">
          <w:rPr>
            <w:rFonts w:ascii="Times New Roman" w:eastAsia="Times New Roman" w:hAnsi="Times New Roman" w:cs="Times New Roman"/>
            <w:sz w:val="24"/>
            <w:szCs w:val="24"/>
          </w:rPr>
          <w:t xml:space="preserve"> </w:t>
        </w:r>
      </w:hyperlink>
      <w:hyperlink r:id="rId24">
        <w:r w:rsidR="00A501A7">
          <w:rPr>
            <w:rFonts w:ascii="Times New Roman" w:eastAsia="Times New Roman" w:hAnsi="Times New Roman" w:cs="Times New Roman"/>
            <w:sz w:val="24"/>
            <w:szCs w:val="24"/>
            <w:u w:val="single"/>
          </w:rPr>
          <w:t>https://www.iso.org/standard/73906.html</w:t>
        </w:r>
      </w:hyperlink>
      <w:r>
        <w:rPr>
          <w:rFonts w:ascii="Times New Roman" w:eastAsia="Times New Roman" w:hAnsi="Times New Roman" w:cs="Times New Roman"/>
          <w:sz w:val="24"/>
          <w:szCs w:val="24"/>
        </w:rPr>
        <w:t xml:space="preserve"> (Accessed: 1 February 2026).</w:t>
      </w:r>
    </w:p>
    <w:p w14:paraId="7D61C9B9"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Kaspersky, 2020. </w:t>
      </w:r>
      <w:r>
        <w:rPr>
          <w:rFonts w:ascii="Times New Roman" w:eastAsia="Times New Roman" w:hAnsi="Times New Roman" w:cs="Times New Roman"/>
          <w:i/>
          <w:iCs/>
          <w:sz w:val="24"/>
          <w:szCs w:val="24"/>
        </w:rPr>
        <w:t>Cybersecurity in healthcare: The human factor</w:t>
      </w:r>
      <w:r>
        <w:rPr>
          <w:rFonts w:ascii="Times New Roman" w:eastAsia="Times New Roman" w:hAnsi="Times New Roman" w:cs="Times New Roman"/>
          <w:sz w:val="24"/>
          <w:szCs w:val="24"/>
        </w:rPr>
        <w:t>. Available at:</w:t>
      </w:r>
      <w:hyperlink r:id="rId25">
        <w:r w:rsidR="00A501A7">
          <w:rPr>
            <w:rFonts w:ascii="Times New Roman" w:eastAsia="Times New Roman" w:hAnsi="Times New Roman" w:cs="Times New Roman"/>
            <w:sz w:val="24"/>
            <w:szCs w:val="24"/>
          </w:rPr>
          <w:t xml:space="preserve"> </w:t>
        </w:r>
      </w:hyperlink>
      <w:hyperlink r:id="rId26">
        <w:r w:rsidR="00A501A7">
          <w:rPr>
            <w:rFonts w:ascii="Times New Roman" w:eastAsia="Times New Roman" w:hAnsi="Times New Roman" w:cs="Times New Roman"/>
            <w:sz w:val="24"/>
            <w:szCs w:val="24"/>
            <w:u w:val="single"/>
          </w:rPr>
          <w:t>https://www.kaspersky.com/about/press-releases/2020_cybersecurity-in-healthcare</w:t>
        </w:r>
      </w:hyperlink>
      <w:r>
        <w:rPr>
          <w:rFonts w:ascii="Times New Roman" w:eastAsia="Times New Roman" w:hAnsi="Times New Roman" w:cs="Times New Roman"/>
          <w:sz w:val="24"/>
          <w:szCs w:val="24"/>
        </w:rPr>
        <w:t xml:space="preserve"> (Accessed: 1 February 2026).</w:t>
      </w:r>
    </w:p>
    <w:p w14:paraId="2B84C0BC"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McAfee, 2021. </w:t>
      </w:r>
      <w:r>
        <w:rPr>
          <w:rFonts w:ascii="Times New Roman" w:eastAsia="Times New Roman" w:hAnsi="Times New Roman" w:cs="Times New Roman"/>
          <w:i/>
          <w:iCs/>
          <w:sz w:val="24"/>
          <w:szCs w:val="24"/>
        </w:rPr>
        <w:t>Cloud adoption and risk report</w:t>
      </w:r>
      <w:r>
        <w:rPr>
          <w:rFonts w:ascii="Times New Roman" w:eastAsia="Times New Roman" w:hAnsi="Times New Roman" w:cs="Times New Roman"/>
          <w:sz w:val="24"/>
          <w:szCs w:val="24"/>
        </w:rPr>
        <w:t>. Available at:</w:t>
      </w:r>
      <w:hyperlink r:id="rId27">
        <w:r w:rsidR="00A501A7">
          <w:rPr>
            <w:rFonts w:ascii="Times New Roman" w:eastAsia="Times New Roman" w:hAnsi="Times New Roman" w:cs="Times New Roman"/>
            <w:sz w:val="24"/>
            <w:szCs w:val="24"/>
          </w:rPr>
          <w:t xml:space="preserve"> </w:t>
        </w:r>
      </w:hyperlink>
      <w:hyperlink r:id="rId28">
        <w:r w:rsidR="00A501A7">
          <w:rPr>
            <w:rFonts w:ascii="Times New Roman" w:eastAsia="Times New Roman" w:hAnsi="Times New Roman" w:cs="Times New Roman"/>
            <w:sz w:val="24"/>
            <w:szCs w:val="24"/>
            <w:u w:val="single"/>
          </w:rPr>
          <w:t>https://www.mcafee.com/enterprise/en-us/assets/reports/rp-cloud-adoption-risk-report-2021.pdf</w:t>
        </w:r>
      </w:hyperlink>
      <w:r>
        <w:rPr>
          <w:rFonts w:ascii="Times New Roman" w:eastAsia="Times New Roman" w:hAnsi="Times New Roman" w:cs="Times New Roman"/>
          <w:sz w:val="24"/>
          <w:szCs w:val="24"/>
        </w:rPr>
        <w:t xml:space="preserve"> (Accessed: 1 February 2026).</w:t>
      </w:r>
    </w:p>
    <w:p w14:paraId="1EE2AFF6"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Digital, 2021. </w:t>
      </w:r>
      <w:r>
        <w:rPr>
          <w:rFonts w:ascii="Times New Roman" w:eastAsia="Times New Roman" w:hAnsi="Times New Roman" w:cs="Times New Roman"/>
          <w:i/>
          <w:iCs/>
          <w:sz w:val="24"/>
          <w:szCs w:val="24"/>
        </w:rPr>
        <w:t>NHS digital cyber security strategy</w:t>
      </w:r>
      <w:r>
        <w:rPr>
          <w:rFonts w:ascii="Times New Roman" w:eastAsia="Times New Roman" w:hAnsi="Times New Roman" w:cs="Times New Roman"/>
          <w:sz w:val="24"/>
          <w:szCs w:val="24"/>
        </w:rPr>
        <w:t>. Available at:</w:t>
      </w:r>
      <w:hyperlink r:id="rId29">
        <w:r w:rsidR="00A501A7">
          <w:rPr>
            <w:rFonts w:ascii="Times New Roman" w:eastAsia="Times New Roman" w:hAnsi="Times New Roman" w:cs="Times New Roman"/>
            <w:sz w:val="24"/>
            <w:szCs w:val="24"/>
          </w:rPr>
          <w:t xml:space="preserve"> </w:t>
        </w:r>
      </w:hyperlink>
      <w:hyperlink r:id="rId30">
        <w:r w:rsidR="00A501A7">
          <w:rPr>
            <w:rFonts w:ascii="Times New Roman" w:eastAsia="Times New Roman" w:hAnsi="Times New Roman" w:cs="Times New Roman"/>
            <w:sz w:val="24"/>
            <w:szCs w:val="24"/>
            <w:u w:val="single"/>
          </w:rPr>
          <w:t>https://digital.nhs.uk/about-nhs-digital/our-work/health-and-care-strategy</w:t>
        </w:r>
      </w:hyperlink>
      <w:r>
        <w:rPr>
          <w:rFonts w:ascii="Times New Roman" w:eastAsia="Times New Roman" w:hAnsi="Times New Roman" w:cs="Times New Roman"/>
          <w:sz w:val="24"/>
          <w:szCs w:val="24"/>
        </w:rPr>
        <w:t xml:space="preserve"> (Accessed: 1 February 2026).</w:t>
      </w:r>
    </w:p>
    <w:p w14:paraId="798524AA"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NIST, 2018. </w:t>
      </w:r>
      <w:r>
        <w:rPr>
          <w:rFonts w:ascii="Times New Roman" w:eastAsia="Times New Roman" w:hAnsi="Times New Roman" w:cs="Times New Roman"/>
          <w:i/>
          <w:iCs/>
          <w:sz w:val="24"/>
          <w:szCs w:val="24"/>
        </w:rPr>
        <w:t>Framework for improving critical infrastructure cybersecurity (Version 1.1)</w:t>
      </w:r>
      <w:r>
        <w:rPr>
          <w:rFonts w:ascii="Times New Roman" w:eastAsia="Times New Roman" w:hAnsi="Times New Roman" w:cs="Times New Roman"/>
          <w:sz w:val="24"/>
          <w:szCs w:val="24"/>
        </w:rPr>
        <w:t>. Available at:</w:t>
      </w:r>
      <w:hyperlink r:id="rId31">
        <w:r w:rsidR="00A501A7">
          <w:rPr>
            <w:rFonts w:ascii="Times New Roman" w:eastAsia="Times New Roman" w:hAnsi="Times New Roman" w:cs="Times New Roman"/>
            <w:sz w:val="24"/>
            <w:szCs w:val="24"/>
          </w:rPr>
          <w:t xml:space="preserve"> </w:t>
        </w:r>
      </w:hyperlink>
      <w:hyperlink r:id="rId32">
        <w:r w:rsidR="00A501A7">
          <w:rPr>
            <w:rFonts w:ascii="Times New Roman" w:eastAsia="Times New Roman" w:hAnsi="Times New Roman" w:cs="Times New Roman"/>
            <w:sz w:val="24"/>
            <w:szCs w:val="24"/>
            <w:u w:val="single"/>
          </w:rPr>
          <w:t>https://www.nist.gov/cyberframework</w:t>
        </w:r>
      </w:hyperlink>
      <w:r>
        <w:rPr>
          <w:rFonts w:ascii="Times New Roman" w:eastAsia="Times New Roman" w:hAnsi="Times New Roman" w:cs="Times New Roman"/>
          <w:sz w:val="24"/>
          <w:szCs w:val="24"/>
        </w:rPr>
        <w:t xml:space="preserve"> (Accessed: 1 February 2026).</w:t>
      </w:r>
    </w:p>
    <w:p w14:paraId="03DC85B9"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Proofpoint, 2021. </w:t>
      </w:r>
      <w:r>
        <w:rPr>
          <w:rFonts w:ascii="Times New Roman" w:eastAsia="Times New Roman" w:hAnsi="Times New Roman" w:cs="Times New Roman"/>
          <w:i/>
          <w:iCs/>
          <w:sz w:val="24"/>
          <w:szCs w:val="24"/>
        </w:rPr>
        <w:t>2021 state of the phish report</w:t>
      </w:r>
      <w:r>
        <w:rPr>
          <w:rFonts w:ascii="Times New Roman" w:eastAsia="Times New Roman" w:hAnsi="Times New Roman" w:cs="Times New Roman"/>
          <w:sz w:val="24"/>
          <w:szCs w:val="24"/>
        </w:rPr>
        <w:t>. Available at:</w:t>
      </w:r>
      <w:hyperlink r:id="rId33">
        <w:r w:rsidR="00A501A7">
          <w:rPr>
            <w:rFonts w:ascii="Times New Roman" w:eastAsia="Times New Roman" w:hAnsi="Times New Roman" w:cs="Times New Roman"/>
            <w:sz w:val="24"/>
            <w:szCs w:val="24"/>
          </w:rPr>
          <w:t xml:space="preserve"> </w:t>
        </w:r>
      </w:hyperlink>
      <w:hyperlink r:id="rId34">
        <w:r w:rsidR="00A501A7">
          <w:rPr>
            <w:rFonts w:ascii="Times New Roman" w:eastAsia="Times New Roman" w:hAnsi="Times New Roman" w:cs="Times New Roman"/>
            <w:sz w:val="24"/>
            <w:szCs w:val="24"/>
            <w:u w:val="single"/>
          </w:rPr>
          <w:t>https://www.proofpoint.com/us/resources/threat-reports/state-of-phish</w:t>
        </w:r>
      </w:hyperlink>
      <w:r>
        <w:rPr>
          <w:rFonts w:ascii="Times New Roman" w:eastAsia="Times New Roman" w:hAnsi="Times New Roman" w:cs="Times New Roman"/>
          <w:sz w:val="24"/>
          <w:szCs w:val="24"/>
        </w:rPr>
        <w:t xml:space="preserve"> (Accessed: 1 February 2026).</w:t>
      </w:r>
    </w:p>
    <w:p w14:paraId="3E02B657"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SANS Institute, 2020. </w:t>
      </w:r>
      <w:r>
        <w:rPr>
          <w:rFonts w:ascii="Times New Roman" w:eastAsia="Times New Roman" w:hAnsi="Times New Roman" w:cs="Times New Roman"/>
          <w:i/>
          <w:iCs/>
          <w:sz w:val="24"/>
          <w:szCs w:val="24"/>
        </w:rPr>
        <w:t>The human factor: How insider threats impact cybersecurity</w:t>
      </w:r>
      <w:r>
        <w:rPr>
          <w:rFonts w:ascii="Times New Roman" w:eastAsia="Times New Roman" w:hAnsi="Times New Roman" w:cs="Times New Roman"/>
          <w:sz w:val="24"/>
          <w:szCs w:val="24"/>
        </w:rPr>
        <w:t>. Available at:</w:t>
      </w:r>
      <w:hyperlink r:id="rId35">
        <w:r w:rsidR="00A501A7">
          <w:rPr>
            <w:rFonts w:ascii="Times New Roman" w:eastAsia="Times New Roman" w:hAnsi="Times New Roman" w:cs="Times New Roman"/>
            <w:sz w:val="24"/>
            <w:szCs w:val="24"/>
          </w:rPr>
          <w:t xml:space="preserve"> </w:t>
        </w:r>
      </w:hyperlink>
      <w:hyperlink r:id="rId36">
        <w:r w:rsidR="00A501A7">
          <w:rPr>
            <w:rFonts w:ascii="Times New Roman" w:eastAsia="Times New Roman" w:hAnsi="Times New Roman" w:cs="Times New Roman"/>
            <w:sz w:val="24"/>
            <w:szCs w:val="24"/>
            <w:u w:val="single"/>
          </w:rPr>
          <w:t>https://www.sans.org/white-papers/4029/</w:t>
        </w:r>
      </w:hyperlink>
      <w:r>
        <w:rPr>
          <w:rFonts w:ascii="Times New Roman" w:eastAsia="Times New Roman" w:hAnsi="Times New Roman" w:cs="Times New Roman"/>
          <w:sz w:val="24"/>
          <w:szCs w:val="24"/>
        </w:rPr>
        <w:t xml:space="preserve"> (Accessed: 1 February 2026).</w:t>
      </w:r>
    </w:p>
    <w:p w14:paraId="091A00EC"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Splunk, 2021. </w:t>
      </w:r>
      <w:r>
        <w:rPr>
          <w:rFonts w:ascii="Times New Roman" w:eastAsia="Times New Roman" w:hAnsi="Times New Roman" w:cs="Times New Roman"/>
          <w:i/>
          <w:iCs/>
          <w:sz w:val="24"/>
          <w:szCs w:val="24"/>
        </w:rPr>
        <w:t>Splunk SIEM solutions</w:t>
      </w:r>
      <w:r>
        <w:rPr>
          <w:rFonts w:ascii="Times New Roman" w:eastAsia="Times New Roman" w:hAnsi="Times New Roman" w:cs="Times New Roman"/>
          <w:sz w:val="24"/>
          <w:szCs w:val="24"/>
        </w:rPr>
        <w:t>. Available at:</w:t>
      </w:r>
      <w:hyperlink r:id="rId37">
        <w:r w:rsidR="00A501A7">
          <w:rPr>
            <w:rFonts w:ascii="Times New Roman" w:eastAsia="Times New Roman" w:hAnsi="Times New Roman" w:cs="Times New Roman"/>
            <w:sz w:val="24"/>
            <w:szCs w:val="24"/>
          </w:rPr>
          <w:t xml:space="preserve"> </w:t>
        </w:r>
      </w:hyperlink>
      <w:hyperlink r:id="rId38">
        <w:r w:rsidR="00A501A7">
          <w:rPr>
            <w:rFonts w:ascii="Times New Roman" w:eastAsia="Times New Roman" w:hAnsi="Times New Roman" w:cs="Times New Roman"/>
            <w:sz w:val="24"/>
            <w:szCs w:val="24"/>
            <w:u w:val="single"/>
          </w:rPr>
          <w:t>https://www.splunk.com/en_us/solutions/security-information-event-management.html</w:t>
        </w:r>
      </w:hyperlink>
      <w:r>
        <w:rPr>
          <w:rFonts w:ascii="Times New Roman" w:eastAsia="Times New Roman" w:hAnsi="Times New Roman" w:cs="Times New Roman"/>
          <w:sz w:val="24"/>
          <w:szCs w:val="24"/>
        </w:rPr>
        <w:t xml:space="preserve"> (Accessed: 1 February 2026).</w:t>
      </w:r>
    </w:p>
    <w:p w14:paraId="45A224FE" w14:textId="77777777" w:rsidR="00A501A7" w:rsidRDefault="00000000" w:rsidP="00C540BE">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Verizon, 2021. </w:t>
      </w:r>
      <w:r>
        <w:rPr>
          <w:rFonts w:ascii="Times New Roman" w:eastAsia="Times New Roman" w:hAnsi="Times New Roman" w:cs="Times New Roman"/>
          <w:i/>
          <w:iCs/>
          <w:sz w:val="24"/>
          <w:szCs w:val="24"/>
        </w:rPr>
        <w:t>2021 data breach investigations report</w:t>
      </w:r>
      <w:r>
        <w:rPr>
          <w:rFonts w:ascii="Times New Roman" w:eastAsia="Times New Roman" w:hAnsi="Times New Roman" w:cs="Times New Roman"/>
          <w:sz w:val="24"/>
          <w:szCs w:val="24"/>
        </w:rPr>
        <w:t>. Available at:</w:t>
      </w:r>
      <w:hyperlink r:id="rId39">
        <w:r w:rsidR="00A501A7">
          <w:rPr>
            <w:rFonts w:ascii="Times New Roman" w:eastAsia="Times New Roman" w:hAnsi="Times New Roman" w:cs="Times New Roman"/>
            <w:sz w:val="24"/>
            <w:szCs w:val="24"/>
          </w:rPr>
          <w:t xml:space="preserve"> </w:t>
        </w:r>
      </w:hyperlink>
      <w:hyperlink r:id="rId40">
        <w:r w:rsidR="00A501A7">
          <w:rPr>
            <w:rFonts w:ascii="Times New Roman" w:eastAsia="Times New Roman" w:hAnsi="Times New Roman" w:cs="Times New Roman"/>
            <w:sz w:val="24"/>
            <w:szCs w:val="24"/>
            <w:u w:val="single"/>
          </w:rPr>
          <w:t>https://www.verizon.com/business/resources/reports/dbir/</w:t>
        </w:r>
      </w:hyperlink>
      <w:r>
        <w:rPr>
          <w:rFonts w:ascii="Times New Roman" w:eastAsia="Times New Roman" w:hAnsi="Times New Roman" w:cs="Times New Roman"/>
          <w:sz w:val="24"/>
          <w:szCs w:val="24"/>
        </w:rPr>
        <w:t xml:space="preserve"> (Accessed: 1 February 2026).</w:t>
      </w:r>
    </w:p>
    <w:p w14:paraId="7871F425" w14:textId="77777777" w:rsidR="00A501A7" w:rsidRDefault="00000000" w:rsidP="00C540BE">
      <w:pPr>
        <w:numPr>
          <w:ilvl w:val="0"/>
          <w:numId w:val="5"/>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Wired, 2017. </w:t>
      </w:r>
      <w:r>
        <w:rPr>
          <w:rFonts w:ascii="Times New Roman" w:eastAsia="Times New Roman" w:hAnsi="Times New Roman" w:cs="Times New Roman"/>
          <w:i/>
          <w:iCs/>
          <w:sz w:val="24"/>
          <w:szCs w:val="24"/>
        </w:rPr>
        <w:t>WannaCry ransomware attack hits the NHS</w:t>
      </w:r>
      <w:r>
        <w:rPr>
          <w:rFonts w:ascii="Times New Roman" w:eastAsia="Times New Roman" w:hAnsi="Times New Roman" w:cs="Times New Roman"/>
          <w:sz w:val="24"/>
          <w:szCs w:val="24"/>
        </w:rPr>
        <w:t>. Available at:</w:t>
      </w:r>
      <w:hyperlink r:id="rId41">
        <w:r w:rsidR="00A501A7">
          <w:rPr>
            <w:rFonts w:ascii="Times New Roman" w:eastAsia="Times New Roman" w:hAnsi="Times New Roman" w:cs="Times New Roman"/>
            <w:sz w:val="24"/>
            <w:szCs w:val="24"/>
          </w:rPr>
          <w:t xml:space="preserve"> </w:t>
        </w:r>
      </w:hyperlink>
      <w:hyperlink r:id="rId42">
        <w:r w:rsidR="00A501A7">
          <w:rPr>
            <w:rFonts w:ascii="Times New Roman" w:eastAsia="Times New Roman" w:hAnsi="Times New Roman" w:cs="Times New Roman"/>
            <w:sz w:val="24"/>
            <w:szCs w:val="24"/>
            <w:u w:val="single"/>
          </w:rPr>
          <w:t>https://www.wired.com/2017/05/wannacry-ransomware-attack-hits-nhs/</w:t>
        </w:r>
      </w:hyperlink>
      <w:r>
        <w:rPr>
          <w:rFonts w:ascii="Times New Roman" w:eastAsia="Times New Roman" w:hAnsi="Times New Roman" w:cs="Times New Roman"/>
          <w:sz w:val="24"/>
          <w:szCs w:val="24"/>
        </w:rPr>
        <w:t xml:space="preserve"> (Accessed: 1 February 2026).</w:t>
      </w:r>
    </w:p>
    <w:p w14:paraId="0C6F8628"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4A26C562"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5C1FC0B0"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53F231E8"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564C31B9"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0F1943FC" w14:textId="77777777" w:rsidR="00265259" w:rsidRDefault="00265259" w:rsidP="00265259">
      <w:pPr>
        <w:pStyle w:val="Heading3"/>
        <w:keepNext w:val="0"/>
        <w:keepLines w:val="0"/>
        <w:spacing w:before="280" w:line="360" w:lineRule="auto"/>
        <w:rPr>
          <w:rFonts w:ascii="Times New Roman" w:eastAsia="Times New Roman" w:hAnsi="Times New Roman" w:cs="Times New Roman"/>
          <w:b/>
          <w:bCs/>
          <w:color w:val="000000"/>
          <w:sz w:val="24"/>
          <w:szCs w:val="24"/>
        </w:rPr>
      </w:pPr>
    </w:p>
    <w:p w14:paraId="657664EB" w14:textId="77777777" w:rsidR="00A501A7" w:rsidRDefault="00A501A7" w:rsidP="00C540BE">
      <w:pPr>
        <w:spacing w:after="240" w:line="360" w:lineRule="auto"/>
        <w:rPr>
          <w:rFonts w:ascii="Times New Roman" w:eastAsia="Times New Roman" w:hAnsi="Times New Roman" w:cs="Times New Roman"/>
          <w:sz w:val="24"/>
          <w:szCs w:val="24"/>
          <w:highlight w:val="red"/>
        </w:rPr>
      </w:pPr>
    </w:p>
    <w:sectPr w:rsidR="00A501A7" w:rsidSect="00254950">
      <w:headerReference w:type="default" r:id="rId43"/>
      <w:headerReference w:type="first" r:id="rId44"/>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6F5F7" w14:textId="77777777" w:rsidR="00D02720" w:rsidRDefault="00D02720">
      <w:pPr>
        <w:spacing w:line="240" w:lineRule="auto"/>
      </w:pPr>
      <w:r>
        <w:separator/>
      </w:r>
    </w:p>
  </w:endnote>
  <w:endnote w:type="continuationSeparator" w:id="0">
    <w:p w14:paraId="3A84C160" w14:textId="77777777" w:rsidR="00D02720" w:rsidRDefault="00D027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3B58C85-3695-4A14-A5F5-DE06EBA19DB7}"/>
  </w:font>
  <w:font w:name="Agency FB">
    <w:panose1 w:val="020B0503020202020204"/>
    <w:charset w:val="00"/>
    <w:family w:val="swiss"/>
    <w:pitch w:val="variable"/>
    <w:sig w:usb0="00000003" w:usb1="00000000" w:usb2="00000000" w:usb3="00000000" w:csb0="00000001" w:csb1="00000000"/>
    <w:embedRegular r:id="rId2" w:fontKey="{2EDBD31C-3CEF-4B84-AC9E-59742CA85A6E}"/>
    <w:embedItalic r:id="rId3" w:fontKey="{7C4427DE-BB3D-47B9-8C47-D2B434E98F12}"/>
  </w:font>
  <w:font w:name="Cambria">
    <w:panose1 w:val="02040503050406030204"/>
    <w:charset w:val="00"/>
    <w:family w:val="roman"/>
    <w:pitch w:val="variable"/>
    <w:sig w:usb0="E00006FF" w:usb1="420024FF" w:usb2="02000000" w:usb3="00000000" w:csb0="0000019F" w:csb1="00000000"/>
    <w:embedRegular r:id="rId4" w:fontKey="{B1756932-E98D-4DE5-B502-8F199AD6C34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64BBA" w14:textId="77777777" w:rsidR="00D02720" w:rsidRDefault="00D02720">
      <w:pPr>
        <w:spacing w:line="240" w:lineRule="auto"/>
      </w:pPr>
      <w:r>
        <w:separator/>
      </w:r>
    </w:p>
  </w:footnote>
  <w:footnote w:type="continuationSeparator" w:id="0">
    <w:p w14:paraId="09238085" w14:textId="77777777" w:rsidR="00D02720" w:rsidRDefault="00D027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B24883" w14:textId="77777777" w:rsidR="00A501A7" w:rsidRDefault="00000000">
    <w:pPr>
      <w:jc w:val="right"/>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PAGE</w:instrText>
    </w:r>
    <w:r>
      <w:rPr>
        <w:rFonts w:ascii="Times New Roman" w:eastAsia="Times New Roman" w:hAnsi="Times New Roman" w:cs="Times New Roman"/>
        <w:b/>
        <w:bCs/>
        <w:sz w:val="24"/>
        <w:szCs w:val="24"/>
      </w:rPr>
      <w:fldChar w:fldCharType="separate"/>
    </w:r>
    <w:r w:rsidR="00145F0E">
      <w:rPr>
        <w:rFonts w:ascii="Times New Roman" w:eastAsia="Times New Roman" w:hAnsi="Times New Roman" w:cs="Times New Roman"/>
        <w:b/>
        <w:bCs/>
        <w:noProof/>
        <w:sz w:val="24"/>
        <w:szCs w:val="24"/>
      </w:rPr>
      <w:t>1</w:t>
    </w:r>
    <w:r>
      <w:rPr>
        <w:rFonts w:ascii="Times New Roman" w:eastAsia="Times New Roman" w:hAnsi="Times New Roman" w:cs="Times New Roman"/>
        <w:b/>
        <w:bCs/>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F477B" w14:textId="77777777" w:rsidR="00A501A7" w:rsidRDefault="00A501A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712683"/>
    <w:multiLevelType w:val="multilevel"/>
    <w:tmpl w:val="179AF1E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5BD84029"/>
    <w:multiLevelType w:val="multilevel"/>
    <w:tmpl w:val="6AA6F8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5F5D4987"/>
    <w:multiLevelType w:val="multilevel"/>
    <w:tmpl w:val="F2B6FB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73A6F06"/>
    <w:multiLevelType w:val="multilevel"/>
    <w:tmpl w:val="13EA65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FE0235D"/>
    <w:multiLevelType w:val="multilevel"/>
    <w:tmpl w:val="C34CAC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419373118">
    <w:abstractNumId w:val="0"/>
  </w:num>
  <w:num w:numId="2" w16cid:durableId="2143576552">
    <w:abstractNumId w:val="2"/>
  </w:num>
  <w:num w:numId="3" w16cid:durableId="411977351">
    <w:abstractNumId w:val="4"/>
  </w:num>
  <w:num w:numId="4" w16cid:durableId="1786921048">
    <w:abstractNumId w:val="1"/>
  </w:num>
  <w:num w:numId="5" w16cid:durableId="15379651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1A7"/>
    <w:rsid w:val="000021B1"/>
    <w:rsid w:val="0006597F"/>
    <w:rsid w:val="00080E56"/>
    <w:rsid w:val="000A4734"/>
    <w:rsid w:val="000D2998"/>
    <w:rsid w:val="00145F0E"/>
    <w:rsid w:val="00250696"/>
    <w:rsid w:val="00254950"/>
    <w:rsid w:val="00265259"/>
    <w:rsid w:val="003A5AEF"/>
    <w:rsid w:val="003D4F3B"/>
    <w:rsid w:val="00401330"/>
    <w:rsid w:val="00460AB4"/>
    <w:rsid w:val="004A508C"/>
    <w:rsid w:val="00547D03"/>
    <w:rsid w:val="00641F15"/>
    <w:rsid w:val="00794C7F"/>
    <w:rsid w:val="00833EC3"/>
    <w:rsid w:val="008E6F3B"/>
    <w:rsid w:val="00905878"/>
    <w:rsid w:val="00964D1A"/>
    <w:rsid w:val="00975AF6"/>
    <w:rsid w:val="009D1049"/>
    <w:rsid w:val="00A501A7"/>
    <w:rsid w:val="00C5129C"/>
    <w:rsid w:val="00C53A46"/>
    <w:rsid w:val="00C540BE"/>
    <w:rsid w:val="00CD3CC5"/>
    <w:rsid w:val="00D02720"/>
    <w:rsid w:val="00D70B26"/>
    <w:rsid w:val="00DC26FD"/>
    <w:rsid w:val="00DE69DF"/>
    <w:rsid w:val="00EC3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C09A4"/>
  <w15:docId w15:val="{D0425C30-E8B6-4B56-8166-AAA92BD6E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2">
    <w:name w:val="toc 2"/>
    <w:basedOn w:val="Normal"/>
    <w:next w:val="Normal"/>
    <w:autoRedefine/>
    <w:uiPriority w:val="39"/>
    <w:unhideWhenUsed/>
    <w:rsid w:val="000A4734"/>
    <w:pPr>
      <w:spacing w:after="100"/>
      <w:ind w:left="220"/>
    </w:pPr>
  </w:style>
  <w:style w:type="paragraph" w:styleId="TOC4">
    <w:name w:val="toc 4"/>
    <w:basedOn w:val="Normal"/>
    <w:next w:val="Normal"/>
    <w:autoRedefine/>
    <w:uiPriority w:val="39"/>
    <w:unhideWhenUsed/>
    <w:rsid w:val="000A4734"/>
    <w:pPr>
      <w:spacing w:after="100"/>
      <w:ind w:left="660"/>
    </w:pPr>
  </w:style>
  <w:style w:type="paragraph" w:styleId="TOC3">
    <w:name w:val="toc 3"/>
    <w:basedOn w:val="Normal"/>
    <w:next w:val="Normal"/>
    <w:autoRedefine/>
    <w:uiPriority w:val="39"/>
    <w:unhideWhenUsed/>
    <w:rsid w:val="000A4734"/>
    <w:pPr>
      <w:spacing w:after="100"/>
      <w:ind w:left="440"/>
    </w:pPr>
  </w:style>
  <w:style w:type="character" w:styleId="Hyperlink">
    <w:name w:val="Hyperlink"/>
    <w:basedOn w:val="DefaultParagraphFont"/>
    <w:uiPriority w:val="99"/>
    <w:unhideWhenUsed/>
    <w:rsid w:val="000A4734"/>
    <w:rPr>
      <w:color w:val="0000FF" w:themeColor="hyperlink"/>
      <w:u w:val="single"/>
    </w:rPr>
  </w:style>
  <w:style w:type="paragraph" w:styleId="TOCHeading">
    <w:name w:val="TOC Heading"/>
    <w:basedOn w:val="Heading1"/>
    <w:next w:val="Normal"/>
    <w:uiPriority w:val="39"/>
    <w:unhideWhenUsed/>
    <w:qFormat/>
    <w:rsid w:val="000A4734"/>
    <w:pPr>
      <w:spacing w:before="240" w:after="0" w:line="259" w:lineRule="auto"/>
      <w:outlineLvl w:val="9"/>
    </w:pPr>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eckpoint.com/press/2021-mid-year-report/" TargetMode="External"/><Relationship Id="rId18" Type="http://schemas.openxmlformats.org/officeDocument/2006/relationships/hyperlink" Target="https://www.gartner.com/en/documents/4002495" TargetMode="External"/><Relationship Id="rId26" Type="http://schemas.openxmlformats.org/officeDocument/2006/relationships/hyperlink" Target="https://www.kaspersky.com/about/press-releases/2020_cybersecurity-in-healthcare" TargetMode="External"/><Relationship Id="rId39" Type="http://schemas.openxmlformats.org/officeDocument/2006/relationships/hyperlink" Target="https://www.verizon.com/business/resources/reports/dbir/" TargetMode="External"/><Relationship Id="rId21" Type="http://schemas.openxmlformats.org/officeDocument/2006/relationships/hyperlink" Target="https://www.iso.org/isoiec-27001-information-security.html" TargetMode="External"/><Relationship Id="rId34" Type="http://schemas.openxmlformats.org/officeDocument/2006/relationships/hyperlink" Target="https://www.proofpoint.com/us/resources/threat-reports/state-of-phish" TargetMode="External"/><Relationship Id="rId42" Type="http://schemas.openxmlformats.org/officeDocument/2006/relationships/hyperlink" Target="https://www.wired.com/2017/05/wannacry-ransomware-attack-hits-nh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ireeye.com/current-threats/apt-groups.html" TargetMode="External"/><Relationship Id="rId29" Type="http://schemas.openxmlformats.org/officeDocument/2006/relationships/hyperlink" Target="https://digital.nhs.uk/about-nhs-digital/our-work/health-and-care-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www.iso.org/standard/73906.html" TargetMode="External"/><Relationship Id="rId32" Type="http://schemas.openxmlformats.org/officeDocument/2006/relationships/hyperlink" Target="https://www.nist.gov/cyberframework" TargetMode="External"/><Relationship Id="rId37" Type="http://schemas.openxmlformats.org/officeDocument/2006/relationships/hyperlink" Target="https://www.splunk.com/en_us/solutions/security-information-event-management.html" TargetMode="External"/><Relationship Id="rId40" Type="http://schemas.openxmlformats.org/officeDocument/2006/relationships/hyperlink" Target="https://www.verizon.com/business/resources/reports/dbir/"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ireeye.com/current-threats/apt-groups.html" TargetMode="External"/><Relationship Id="rId23" Type="http://schemas.openxmlformats.org/officeDocument/2006/relationships/hyperlink" Target="https://www.iso.org/standard/73906.html" TargetMode="External"/><Relationship Id="rId28" Type="http://schemas.openxmlformats.org/officeDocument/2006/relationships/hyperlink" Target="https://www.mcafee.com/enterprise/en-us/assets/reports/rp-cloud-adoption-risk-report-2021.pdf" TargetMode="External"/><Relationship Id="rId36" Type="http://schemas.openxmlformats.org/officeDocument/2006/relationships/hyperlink" Target="https://www.sans.org/white-papers/4029/" TargetMode="External"/><Relationship Id="rId10" Type="http://schemas.openxmlformats.org/officeDocument/2006/relationships/image" Target="media/image3.png"/><Relationship Id="rId19" Type="http://schemas.openxmlformats.org/officeDocument/2006/relationships/hyperlink" Target="https://www.ibm.com/security/qradar" TargetMode="External"/><Relationship Id="rId31" Type="http://schemas.openxmlformats.org/officeDocument/2006/relationships/hyperlink" Target="https://www.nist.gov/cyberframework"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eckpoint.com/press/2021-mid-year-report/" TargetMode="External"/><Relationship Id="rId22" Type="http://schemas.openxmlformats.org/officeDocument/2006/relationships/hyperlink" Target="https://www.iso.org/isoiec-27001-information-security.html" TargetMode="External"/><Relationship Id="rId27" Type="http://schemas.openxmlformats.org/officeDocument/2006/relationships/hyperlink" Target="https://www.mcafee.com/enterprise/en-us/assets/reports/rp-cloud-adoption-risk-report-2021.pdf" TargetMode="External"/><Relationship Id="rId30" Type="http://schemas.openxmlformats.org/officeDocument/2006/relationships/hyperlink" Target="https://digital.nhs.uk/about-nhs-digital/our-work/health-and-care-strategy" TargetMode="External"/><Relationship Id="rId35" Type="http://schemas.openxmlformats.org/officeDocument/2006/relationships/hyperlink" Target="https://www.sans.org/white-papers/4029/" TargetMode="External"/><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oleObject" Target="file:///D:\computer%20saince%20class%202025\3rd%20Term\Network%20And%20Cyber%20Security\HPA_Data_Security_10_Slides_Final.pptx" TargetMode="External"/><Relationship Id="rId17" Type="http://schemas.openxmlformats.org/officeDocument/2006/relationships/hyperlink" Target="https://www.gartner.com/en/documents/4002495" TargetMode="External"/><Relationship Id="rId25" Type="http://schemas.openxmlformats.org/officeDocument/2006/relationships/hyperlink" Target="https://www.kaspersky.com/about/press-releases/2020_cybersecurity-in-healthcare" TargetMode="External"/><Relationship Id="rId33" Type="http://schemas.openxmlformats.org/officeDocument/2006/relationships/hyperlink" Target="https://www.proofpoint.com/us/resources/threat-reports/state-of-phish" TargetMode="External"/><Relationship Id="rId38" Type="http://schemas.openxmlformats.org/officeDocument/2006/relationships/hyperlink" Target="https://www.splunk.com/en_us/solutions/security-information-event-management.html" TargetMode="External"/><Relationship Id="rId46" Type="http://schemas.openxmlformats.org/officeDocument/2006/relationships/theme" Target="theme/theme1.xml"/><Relationship Id="rId20" Type="http://schemas.openxmlformats.org/officeDocument/2006/relationships/hyperlink" Target="https://www.ibm.com/security/qradar" TargetMode="External"/><Relationship Id="rId41" Type="http://schemas.openxmlformats.org/officeDocument/2006/relationships/hyperlink" Target="https://www.wired.com/2017/05/wannacry-ransomware-attack-hits-nh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87951D-6BD6-4306-8B52-8042D6B6F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Pages>
  <Words>4156</Words>
  <Characters>23692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Yonatan Grmay</dc:creator>
  <cp:lastModifiedBy>Yonatan Grmay</cp:lastModifiedBy>
  <cp:revision>17</cp:revision>
  <dcterms:created xsi:type="dcterms:W3CDTF">2026-02-23T17:50:00Z</dcterms:created>
  <dcterms:modified xsi:type="dcterms:W3CDTF">2026-03-06T21:42:00Z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ba4f30ed-0f3e-4bd8-95c6-778eca8e44a0</vt:lpwstr>
  </property>
</Properties>
</file>