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A7474E" w14:paraId="7A40FA5D" wp14:textId="304198F6">
      <w:pPr>
        <w:pStyle w:val="Normal"/>
        <w:rPr>
          <w:rFonts w:ascii="Roboto" w:hAnsi="Roboto" w:eastAsia="Roboto" w:cs="Roboto"/>
          <w:b w:val="0"/>
          <w:bCs w:val="0"/>
          <w:i w:val="0"/>
          <w:iCs w:val="0"/>
          <w:caps w:val="0"/>
          <w:smallCaps w:val="0"/>
          <w:noProof w:val="0"/>
          <w:color w:val="2C3E50"/>
          <w:sz w:val="22"/>
          <w:szCs w:val="22"/>
          <w:lang w:val="en-GB"/>
        </w:rPr>
      </w:pPr>
      <w:r w:rsidRPr="4CA7474E" w:rsidR="12E282D9">
        <w:rPr>
          <w:sz w:val="24"/>
          <w:szCs w:val="24"/>
        </w:rPr>
        <w:t>The standard of care is the stand</w:t>
      </w:r>
      <w:r w:rsidRPr="4CA7474E" w:rsidR="265AE707">
        <w:rPr>
          <w:sz w:val="24"/>
          <w:szCs w:val="24"/>
        </w:rPr>
        <w:t xml:space="preserve">ard to which tort law holds people under any circumstance or situation. A person breaches the standard </w:t>
      </w:r>
      <w:r w:rsidRPr="4CA7474E" w:rsidR="5E9F16F9">
        <w:rPr>
          <w:sz w:val="24"/>
          <w:szCs w:val="24"/>
        </w:rPr>
        <w:t>of care by failing to conduct themself in accordance with the standard. T</w:t>
      </w:r>
      <w:r w:rsidRPr="4CA7474E" w:rsidR="7936B79F">
        <w:rPr>
          <w:sz w:val="24"/>
          <w:szCs w:val="24"/>
        </w:rPr>
        <w:t xml:space="preserve">he standard of care involves negligence. Negligence defined as “the omission to do something </w:t>
      </w:r>
      <w:r w:rsidRPr="4CA7474E" w:rsidR="7C6E5861">
        <w:rPr>
          <w:sz w:val="24"/>
          <w:szCs w:val="24"/>
        </w:rPr>
        <w:t xml:space="preserve">which a reasonable man, guided upon those considerations which ordinarily regulate the conduct of human affairs, would do, or doing something which a </w:t>
      </w:r>
      <w:r w:rsidRPr="4CA7474E" w:rsidR="3F6FDFA9">
        <w:rPr>
          <w:sz w:val="24"/>
          <w:szCs w:val="24"/>
        </w:rPr>
        <w:t>prudent and reasonable man would not do” (Blyth v Birmingham Water Works Co. (1856)</w:t>
      </w:r>
      <w:r w:rsidRPr="4CA7474E" w:rsidR="1A3D99CA">
        <w:rPr>
          <w:sz w:val="24"/>
          <w:szCs w:val="24"/>
        </w:rPr>
        <w:t>,11 Ex.781, pg. 784).</w:t>
      </w:r>
      <w:r w:rsidRPr="4CA7474E" w:rsidR="151D6EB1">
        <w:rPr>
          <w:sz w:val="24"/>
          <w:szCs w:val="24"/>
        </w:rPr>
        <w:t xml:space="preserve"> The case of Blyth v Birmingham Water Works (1856) was mostly </w:t>
      </w:r>
      <w:r w:rsidRPr="4CA7474E" w:rsidR="39C1D3F0">
        <w:rPr>
          <w:sz w:val="24"/>
          <w:szCs w:val="24"/>
        </w:rPr>
        <w:t>known for the statement of what negligence is and what the standard of care to be met was.</w:t>
      </w:r>
      <w:r w:rsidRPr="4CA7474E" w:rsidR="55F544F7">
        <w:rPr>
          <w:sz w:val="24"/>
          <w:szCs w:val="24"/>
        </w:rPr>
        <w:t xml:space="preserve"> The case involved defendants that had installed water mains along a street with hydrants.</w:t>
      </w:r>
      <w:r w:rsidRPr="4CA7474E" w:rsidR="2735452F">
        <w:rPr>
          <w:sz w:val="24"/>
          <w:szCs w:val="24"/>
        </w:rPr>
        <w:t xml:space="preserve"> A hydrant across from the claimant's house had developed a leak due to the very cold temperatures, this then caused damage to the claimant’s house. The claimant </w:t>
      </w:r>
      <w:r w:rsidRPr="4CA7474E" w:rsidR="157B637E">
        <w:rPr>
          <w:sz w:val="24"/>
          <w:szCs w:val="24"/>
        </w:rPr>
        <w:t>sued for negligence.</w:t>
      </w:r>
      <w:r w:rsidRPr="4CA7474E" w:rsidR="1860C3F1">
        <w:rPr>
          <w:sz w:val="24"/>
          <w:szCs w:val="24"/>
        </w:rPr>
        <w:t xml:space="preserve"> </w:t>
      </w:r>
      <w:r w:rsidRPr="4CA7474E" w:rsidR="1860C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(Casebriefs.com, 2010)</w:t>
      </w:r>
      <w:r w:rsidRPr="4CA7474E" w:rsidR="13A3EA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Negligence is a hypothetical legal benchmark to measure the standard expected of people.</w:t>
      </w:r>
    </w:p>
    <w:p xmlns:wp14="http://schemas.microsoft.com/office/word/2010/wordml" w:rsidP="4CA7474E" w14:paraId="5E5787A5" wp14:textId="1DA01488">
      <w:pPr>
        <w:pStyle w:val="Normal"/>
        <w:rPr>
          <w:rFonts w:ascii="Roboto" w:hAnsi="Roboto" w:eastAsia="Roboto" w:cs="Roboto"/>
          <w:b w:val="0"/>
          <w:bCs w:val="0"/>
          <w:i w:val="0"/>
          <w:iCs w:val="0"/>
          <w:caps w:val="0"/>
          <w:smallCaps w:val="0"/>
          <w:noProof w:val="0"/>
          <w:color w:val="2C3E50"/>
          <w:sz w:val="22"/>
          <w:szCs w:val="22"/>
          <w:lang w:val="en-GB"/>
        </w:rPr>
      </w:pPr>
      <w:r w:rsidRPr="4CA7474E" w:rsidR="417C4B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4CA7474E" w:rsidR="13A3EA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standard of care in negligence relates</w:t>
      </w:r>
      <w:r w:rsidRPr="4CA7474E" w:rsidR="153FBA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‘did the defendant breach the duty of care?’</w:t>
      </w:r>
      <w:r w:rsidRPr="4CA7474E" w:rsidR="482CB9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If a defendant owes the claimant a duty of care, they will not incur any legal liability unless they have breached that duty of care. This is</w:t>
      </w:r>
      <w:r w:rsidRPr="4CA7474E" w:rsidR="79BA9A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question of fact and is determined by measuring the conduct of the defendant against that of a reasonable person in that exact</w:t>
      </w:r>
      <w:r w:rsidRPr="4CA7474E" w:rsidR="0A9FC0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same situation (the standard of care). </w:t>
      </w:r>
      <w:r w:rsidRPr="4CA7474E" w:rsidR="15A7E9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case of Glasglow Corporation v Muir (1943) shows the application of ‘did the defendant breach the duty o</w:t>
      </w:r>
      <w:r w:rsidRPr="4CA7474E" w:rsidR="4DE638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 care?’. In Glasglow Corporation v Muir, a group of children </w:t>
      </w:r>
      <w:r w:rsidRPr="4CA7474E" w:rsidR="339F41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entered</w:t>
      </w:r>
      <w:r w:rsidRPr="4CA7474E" w:rsidR="4DE638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tearoom and one of these children, </w:t>
      </w:r>
      <w:r w:rsidRPr="4CA7474E" w:rsidR="5F47E3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known as the claimant,</w:t>
      </w:r>
      <w:r w:rsidRPr="4CA7474E" w:rsidR="4C0DBB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got scaled by the upturn of a pot of tea.</w:t>
      </w:r>
      <w:r w:rsidRPr="4CA7474E" w:rsidR="65FB2B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was the issue whether the defendant, which was the owner of the </w:t>
      </w:r>
      <w:r w:rsidRPr="4CA7474E" w:rsidR="161DE2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tearoom</w:t>
      </w:r>
      <w:r w:rsidRPr="4CA7474E" w:rsidR="65FB2B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was liable for what had happened in the </w:t>
      </w:r>
      <w:r w:rsidRPr="4CA7474E" w:rsidR="567003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tearoom</w:t>
      </w:r>
      <w:r w:rsidRPr="4CA7474E" w:rsidR="65FB2B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036E51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the child, the claimant. </w:t>
      </w:r>
      <w:r w:rsidRPr="4CA7474E" w:rsidR="3F583E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defendant had a duty of care towards the people in the </w:t>
      </w:r>
      <w:r w:rsidRPr="4CA7474E" w:rsidR="6F8DF0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tearoom,</w:t>
      </w:r>
      <w:r w:rsidRPr="4CA7474E" w:rsidR="3F583E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it was not </w:t>
      </w:r>
      <w:r w:rsidRPr="4CA7474E" w:rsidR="6E5929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reasonably</w:t>
      </w:r>
      <w:r w:rsidRPr="4CA7474E" w:rsidR="3F583E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72E198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foreseeable</w:t>
      </w:r>
      <w:r w:rsidRPr="4CA7474E" w:rsidR="3F583E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a child who ente</w:t>
      </w:r>
      <w:r w:rsidRPr="4CA7474E" w:rsidR="103B7E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red the room would be scalded</w:t>
      </w:r>
      <w:r w:rsidRPr="4CA7474E" w:rsidR="639C65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Therefore, the decision held in this case was ‘not liable’.</w:t>
      </w:r>
      <w:r w:rsidRPr="4CA7474E" w:rsidR="0A5267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breach in the standard of care must have caused some sort of damage or an injury. The damage or injury must be proven for ther</w:t>
      </w:r>
      <w:r w:rsidRPr="4CA7474E" w:rsidR="10B8FD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to be a successful claim of negligence. The defendant owes a duty of care when it’s seen as reasonably foreseeable that the </w:t>
      </w:r>
      <w:r w:rsidRPr="4CA7474E" w:rsidR="40DBB4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defendants'</w:t>
      </w:r>
      <w:r w:rsidRPr="4CA7474E" w:rsidR="10B8FD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acts</w:t>
      </w:r>
      <w:r w:rsidRPr="4CA7474E" w:rsidR="5639AE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could have caused those damages or injuries, harm to that claimant.</w:t>
      </w:r>
      <w:r w:rsidRPr="4CA7474E" w:rsidR="37BEE8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(Weir Bowen LLP, 2019).</w:t>
      </w:r>
    </w:p>
    <w:p w:rsidR="278E2F2C" w:rsidP="4CA7474E" w:rsidRDefault="278E2F2C" w14:paraId="24F1C5ED" w14:textId="4D8C791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CA7474E" w:rsidR="278E2F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Establishing that a defendant has breached the duty of care is determined by assessing the standard of care that should have been achieved, which </w:t>
      </w:r>
      <w:r w:rsidRPr="4CA7474E" w:rsidR="5FCC7D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 often said to be a question of law and then whether the defendant had, in fact, met the standard </w:t>
      </w:r>
      <w:r w:rsidRPr="4CA7474E" w:rsidR="393C8C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 care, often said to be a question of fact.</w:t>
      </w:r>
      <w:r w:rsidRPr="4CA7474E" w:rsidR="085281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 will always be those two questions when the breach of duty requires the defendant to have been at fault by not </w:t>
      </w:r>
      <w:r w:rsidRPr="4CA7474E" w:rsidR="73EDEE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fulfilling their duty towards the claimant.</w:t>
      </w:r>
      <w:r w:rsidRPr="4CA7474E" w:rsidR="3EDBCE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first question being the question of law and the second question being the question of fact.</w:t>
      </w:r>
      <w:r w:rsidRPr="4CA7474E" w:rsidR="5928E6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breach of duty solely relies on whether the defendant fails to meet the standard of care required in tort law.</w:t>
      </w:r>
    </w:p>
    <w:p w:rsidR="48C9B4D3" w:rsidP="4CA7474E" w:rsidRDefault="48C9B4D3" w14:paraId="5BE14A3A" w14:textId="5839649C">
      <w:pPr>
        <w:pStyle w:val="Normal"/>
        <w:rPr>
          <w:rFonts w:ascii="Calibri" w:hAnsi="Calibri" w:eastAsia="Calibri" w:cs="Calibri"/>
          <w:b w:val="0"/>
          <w:bCs w:val="0"/>
          <w:i w:val="0"/>
          <w:iCs w:val="0"/>
          <w:caps w:val="0"/>
          <w:smallCaps w:val="0"/>
          <w:noProof w:val="0"/>
          <w:color w:val="2C3E50"/>
          <w:sz w:val="27"/>
          <w:szCs w:val="27"/>
          <w:lang w:val="en-GB"/>
        </w:rPr>
      </w:pPr>
      <w:r w:rsidRPr="4CA7474E" w:rsidR="48C9B4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standard of care is usually judged objectively. The objective standard includes the person to prove, that beyond reasonable doubt, that a reasonable person would have not acted as the accused had done in those circumstances of that case. The objective standard of care is a determination of whether a duty of care has been breached, and therefore, the law adopts the objective standard of what they call the ‘reasonable person’. This doesn’t normally reflect the personal characteristics of the defendant. (philosophy-question.com, n.d.)</w:t>
      </w:r>
      <w:r w:rsidRPr="4CA7474E" w:rsidR="206F22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court will apply the test of </w:t>
      </w:r>
      <w:r w:rsidRPr="4CA7474E" w:rsidR="4A2B4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what the ‘reasonable person’ would have done in the defendant's position. An effect of this test is that it doesn’t </w:t>
      </w:r>
      <w:r w:rsidRPr="4CA7474E" w:rsidR="55F73B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consider</w:t>
      </w:r>
      <w:r w:rsidRPr="4CA7474E" w:rsidR="4A2B4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w:t>
      </w:r>
      <w:r w:rsidRPr="4CA7474E" w:rsidR="7C872D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58BB31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w:t>
      </w:r>
      <w:r w:rsidRPr="4CA7474E" w:rsidR="7C872D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disabilities. The setting of the standard of care is depends </w:t>
      </w:r>
      <w:r w:rsidRPr="4CA7474E" w:rsidR="0F36BE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 what the objective</w:t>
      </w:r>
      <w:r w:rsidRPr="4CA7474E" w:rsidR="7795FA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the negligence formula. If the objective is to compensate the claimant for their loss, then it is </w:t>
      </w:r>
      <w:r w:rsidRPr="4CA7474E" w:rsidR="67A599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considered</w:t>
      </w:r>
      <w:r w:rsidRPr="4CA7474E" w:rsidR="6B4EC9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that the claimant has an interest in to set the standard as high as they possibly can.</w:t>
      </w:r>
      <w:r w:rsidRPr="4CA7474E" w:rsidR="4AAE3C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the case of Nettleship v Weston (1971), the defendant was a learner driver that was having driving lessons of the claimant. The claimant was con</w:t>
      </w:r>
      <w:r w:rsidRPr="4CA7474E" w:rsidR="4B256E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sequently injured because of the defendants negligent driving. It was held that every drive, including learner drivers, owe a duty of care </w:t>
      </w:r>
      <w:r w:rsidRPr="4CA7474E" w:rsidR="2A77E0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that they would be judged by the standards of an average driver.</w:t>
      </w:r>
      <w:r w:rsidRPr="4CA7474E" w:rsidR="4893D6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learner driver may be doing his best, but his incompetent best is not good enough. He must drive in as good manner</w:t>
      </w:r>
      <w:r w:rsidRPr="4CA7474E" w:rsidR="342F43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a driver of skill, experience and care’.</w:t>
      </w:r>
      <w:r w:rsidRPr="4CA7474E" w:rsidR="5A4233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(Cooke,2019). Denning Mr stated “in all that I have said, I have treated the </w:t>
      </w:r>
      <w:r w:rsidRPr="4CA7474E" w:rsidR="31790E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defendant as the driver who was herself in control of the car. On that footing, she is plainly liable for the damage do</w:t>
      </w:r>
      <w:r w:rsidRPr="4CA7474E" w:rsidR="13737D5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ne to the lamp post and she is equally liable for </w:t>
      </w:r>
      <w:r w:rsidRPr="4CA7474E" w:rsidR="25E9E7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injuring Mr </w:t>
      </w:r>
      <w:r w:rsidRPr="4CA7474E" w:rsidR="648ECD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Nettleship</w:t>
      </w:r>
      <w:r w:rsidRPr="4CA7474E" w:rsidR="25E9E7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claimant. The defendant owed a duty of care to each. The standard of care is the same in either case. It is measured objectively by </w:t>
      </w:r>
      <w:r w:rsidRPr="4CA7474E" w:rsidR="13BE88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care expected of an experienced, skilled and careful driver.</w:t>
      </w:r>
      <w:r w:rsidRPr="4CA7474E" w:rsidR="5D4012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Mr Nettleship is not defeated by the maxim </w:t>
      </w:r>
      <w:r w:rsidRPr="4CA7474E" w:rsidR="5D40121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volenti non fit injuria, </w:t>
      </w:r>
      <w:r w:rsidRPr="4CA7474E" w:rsidR="5D4012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 is known as conse</w:t>
      </w:r>
      <w:r w:rsidRPr="4CA7474E" w:rsidR="7C1F8E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nt. He did not agree, expressly or impliedly, to waive</w:t>
      </w:r>
      <w:r w:rsidRPr="4CA7474E" w:rsidR="2E7B78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any claim for damages owing to failure to correct her error up to the standard. But his damages may fall to be reduced owing to his failure to correct her </w:t>
      </w:r>
      <w:r w:rsidRPr="4CA7474E" w:rsidR="7F4BBD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quick enough. Although the judge dismissed the claim, he did (in case he was wrong) apportion </w:t>
      </w:r>
      <w:r w:rsidRPr="4CA7474E" w:rsidR="673DF9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responsibility</w:t>
      </w:r>
      <w:r w:rsidRPr="4CA7474E" w:rsidR="7F4BBD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CA7474E" w:rsidR="03A909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 thought</w:t>
      </w:r>
      <w:r w:rsidRPr="4CA7474E" w:rsidR="336C33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would be just and equitable to regard them as equally to blame. I would accept this app</w:t>
      </w:r>
      <w:r w:rsidRPr="4CA7474E" w:rsidR="25E2DF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ortionment. (50%) </w:t>
      </w:r>
      <w:r w:rsidRPr="4CA7474E" w:rsidR="735B1F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(We</w:t>
      </w:r>
      <w:r w:rsidRPr="4CA7474E" w:rsidR="25E2DF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moving away from the concept</w:t>
      </w:r>
      <w:r w:rsidRPr="4CA7474E" w:rsidR="36EF6E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CA7474E" w:rsidR="5C11B2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w:t>
      </w:r>
      <w:r w:rsidRPr="4CA7474E" w:rsidR="36EF6E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 liability without fault’. We are beginning to apply the test:</w:t>
      </w:r>
      <w:r w:rsidRPr="4CA7474E" w:rsidR="0843E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36EF6E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 whom should </w:t>
      </w:r>
      <w:r w:rsidRPr="4CA7474E" w:rsidR="7203A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risk</w:t>
      </w:r>
      <w:r w:rsidRPr="4CA7474E" w:rsidR="36EF6E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fall?’ Morally the learner driver is not at fault</w:t>
      </w:r>
      <w:r w:rsidRPr="4CA7474E" w:rsidR="2ED3D5E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but legally she is liable because she is insured...”</w:t>
      </w:r>
      <w:r w:rsidRPr="4CA7474E" w:rsidR="445B5B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445B5BFD">
        <w:rPr>
          <w:rFonts w:ascii="Calibri" w:hAnsi="Calibri" w:eastAsia="Calibri" w:cs="Calibri"/>
          <w:b w:val="0"/>
          <w:bCs w:val="0"/>
          <w:i w:val="0"/>
          <w:iCs w:val="0"/>
          <w:caps w:val="0"/>
          <w:smallCaps w:val="0"/>
          <w:noProof w:val="0"/>
          <w:color w:val="auto"/>
          <w:sz w:val="24"/>
          <w:szCs w:val="24"/>
          <w:lang w:val="en-GB"/>
        </w:rPr>
        <w:t xml:space="preserve">Cooke, J. (2019). </w:t>
      </w:r>
      <w:r w:rsidRPr="4CA7474E" w:rsidR="445B5BFD">
        <w:rPr>
          <w:rFonts w:ascii="Calibri" w:hAnsi="Calibri" w:eastAsia="Calibri" w:cs="Calibri"/>
          <w:b w:val="0"/>
          <w:bCs w:val="0"/>
          <w:i w:val="1"/>
          <w:iCs w:val="1"/>
          <w:caps w:val="0"/>
          <w:smallCaps w:val="0"/>
          <w:noProof w:val="0"/>
          <w:color w:val="auto"/>
          <w:sz w:val="24"/>
          <w:szCs w:val="24"/>
          <w:lang w:val="en-GB"/>
        </w:rPr>
        <w:t>Law of tort</w:t>
      </w:r>
      <w:r w:rsidRPr="4CA7474E" w:rsidR="445B5BFD">
        <w:rPr>
          <w:rFonts w:ascii="Calibri" w:hAnsi="Calibri" w:eastAsia="Calibri" w:cs="Calibri"/>
          <w:b w:val="0"/>
          <w:bCs w:val="0"/>
          <w:i w:val="0"/>
          <w:iCs w:val="0"/>
          <w:caps w:val="0"/>
          <w:smallCaps w:val="0"/>
          <w:noProof w:val="0"/>
          <w:color w:val="auto"/>
          <w:sz w:val="24"/>
          <w:szCs w:val="24"/>
          <w:lang w:val="en-GB"/>
        </w:rPr>
        <w:t>. Harlow, United Kingdom: Pearson Education Limited. Pg. 189.</w:t>
      </w:r>
      <w:r w:rsidRPr="4CA7474E" w:rsidR="4646FB31">
        <w:rPr>
          <w:rFonts w:ascii="Calibri" w:hAnsi="Calibri" w:eastAsia="Calibri" w:cs="Calibri"/>
          <w:b w:val="0"/>
          <w:bCs w:val="0"/>
          <w:i w:val="0"/>
          <w:iCs w:val="0"/>
          <w:caps w:val="0"/>
          <w:smallCaps w:val="0"/>
          <w:noProof w:val="0"/>
          <w:color w:val="auto"/>
          <w:sz w:val="24"/>
          <w:szCs w:val="24"/>
          <w:lang w:val="en-GB"/>
        </w:rPr>
        <w:t xml:space="preserve"> This case shows that sometimes it can seem unfair to the defendant. </w:t>
      </w:r>
    </w:p>
    <w:p w:rsidR="0369390D" w:rsidP="4CA7474E" w:rsidRDefault="0369390D" w14:paraId="306E9767" w14:textId="3F16F95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CA7474E" w:rsidR="036939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reasonable person is a big part in the breach of duty and its relation to </w:t>
      </w:r>
      <w:r w:rsidRPr="4CA7474E" w:rsidR="72F5B4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standard of care. The liability in negligence is based on fault, so there always needs to be some blameworthiness. Liability will only be imposed if their </w:t>
      </w:r>
      <w:r w:rsidRPr="4CA7474E" w:rsidR="1CB1D4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conduct has fallen below the standard of a reasonable person.</w:t>
      </w:r>
      <w:r w:rsidRPr="4CA7474E" w:rsidR="04A411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reasonable person is a device used to determine the breach of th</w:t>
      </w:r>
      <w:r w:rsidRPr="4CA7474E" w:rsidR="2E6031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 standard of care</w:t>
      </w:r>
      <w:r w:rsidRPr="4CA7474E" w:rsidR="1D19BB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a test, the ‘reasonable person test’. The </w:t>
      </w:r>
      <w:r w:rsidRPr="4CA7474E" w:rsidR="238051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‘reasonable person’ was once known as the ‘reasonable man’ and is still sometimes referred to that in some cases, it was changed to ‘reasonable person’ due to subjective cri</w:t>
      </w:r>
      <w:r w:rsidRPr="4CA7474E" w:rsidR="38D7DF5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ticism.</w:t>
      </w:r>
      <w:r w:rsidRPr="4CA7474E" w:rsidR="2CD5B2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‘reasonable person’ test is judges who determines reasonableness. The test is based o</w:t>
      </w:r>
      <w:r w:rsidRPr="4CA7474E" w:rsidR="18711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 what judges effectively think is reasonable conduct. </w:t>
      </w:r>
      <w:r w:rsidRPr="4CA7474E" w:rsidR="6CD6EC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reasonable person is a fictional character and the decision as to negligence is a judgement made by the judge themself.</w:t>
      </w:r>
    </w:p>
    <w:p w:rsidR="327BC86D" w:rsidP="4CA7474E" w:rsidRDefault="327BC86D" w14:paraId="42AB9037" w14:textId="03FC0EB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CA7474E" w:rsidR="327BC8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Establishing the standard of care is how much care a reasonable person would take, and a person to </w:t>
      </w:r>
      <w:r w:rsidRPr="4CA7474E" w:rsidR="327BC8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take into account</w:t>
      </w:r>
      <w:r w:rsidRPr="4CA7474E" w:rsidR="327BC8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a junior doctor. </w:t>
      </w:r>
      <w:r w:rsidRPr="4CA7474E" w:rsidR="3B8A5B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any claim for any </w:t>
      </w:r>
      <w:r w:rsidRPr="4CA7474E" w:rsidR="3B8A5B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sort of medical</w:t>
      </w:r>
      <w:r w:rsidRPr="4CA7474E" w:rsidR="3B8A5B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negligence against a junior doctor, </w:t>
      </w:r>
      <w:r w:rsidRPr="4CA7474E" w:rsidR="2FC592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court </w:t>
      </w:r>
      <w:r w:rsidRPr="4CA7474E" w:rsidR="2FC592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has to</w:t>
      </w:r>
      <w:r w:rsidRPr="4CA7474E" w:rsidR="2FC592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consider whether the junior doctor has or has not breached a duty of care to the patient. </w:t>
      </w:r>
      <w:r w:rsidRPr="4CA7474E" w:rsidR="6F3F73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the case of Andrews v Greater Glasglow Health Board (2019) CSOH 31, where the </w:t>
      </w:r>
      <w:r w:rsidRPr="4CA7474E" w:rsidR="46764D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claimant</w:t>
      </w:r>
      <w:r w:rsidRPr="4CA7474E" w:rsidR="46764D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 wife had attended hospital and was seen by a junior doctor, who discharged her from the hospital. </w:t>
      </w:r>
      <w:r w:rsidRPr="4CA7474E" w:rsidR="5E070F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Before discharging her however, the junior doctor discussed the patient on the phone with an on-call consultant. The patient however, </w:t>
      </w:r>
      <w:r w:rsidRPr="4CA7474E" w:rsidR="5E070F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4CA7474E" w:rsidR="0E29C6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ubsequently</w:t>
      </w:r>
      <w:r w:rsidRPr="4CA7474E" w:rsidR="0E29C6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sadly</w:t>
      </w:r>
      <w:r w:rsidRPr="4CA7474E" w:rsidR="5E070F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2A1AB2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passed away</w:t>
      </w:r>
      <w:r w:rsidRPr="4CA7474E" w:rsidR="6AB0EE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patient’s partner, the </w:t>
      </w:r>
      <w:r w:rsidRPr="4CA7474E" w:rsidR="6AB0EE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claimant</w:t>
      </w:r>
      <w:r w:rsidRPr="4CA7474E" w:rsidR="6AB0EE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believed that the juniors doctors' decision to discharge his pa</w:t>
      </w:r>
      <w:r w:rsidRPr="4CA7474E" w:rsidR="73E2C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rtner from the hospital was negligent. He believed that his partner should have been </w:t>
      </w:r>
      <w:r w:rsidRPr="4CA7474E" w:rsidR="73E2C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offered admission</w:t>
      </w:r>
      <w:r w:rsidRPr="4CA7474E" w:rsidR="73E2C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into the hospital.</w:t>
      </w:r>
      <w:r w:rsidRPr="4CA7474E" w:rsidR="46EC4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the junior doctor</w:t>
      </w:r>
      <w:r w:rsidRPr="4CA7474E" w:rsidR="64E39E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CA7474E" w:rsidR="46EC4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4CA7474E" w:rsidR="46EC4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case, he pleaded that he had discussed the patient</w:t>
      </w:r>
      <w:r w:rsidRPr="4CA7474E" w:rsidR="4C0F5C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CA7474E" w:rsidR="46EC4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4CA7474E" w:rsidR="46EC4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case with the on-call consultant and that on-call consul</w:t>
      </w:r>
      <w:r w:rsidRPr="4CA7474E" w:rsidR="4178AB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tant approved the decision to discharge the patient from the hospital</w:t>
      </w:r>
      <w:r w:rsidRPr="4CA7474E" w:rsidR="0D7230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therefore the junior doctor was absolved of liability for </w:t>
      </w:r>
      <w:r w:rsidRPr="4CA7474E" w:rsidR="0D7230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failing to advise</w:t>
      </w:r>
      <w:r w:rsidRPr="4CA7474E" w:rsidR="0D7230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patient to be admitted to the hospital.</w:t>
      </w:r>
      <w:r w:rsidRPr="4CA7474E" w:rsidR="7C7460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Nevertheless, the on-call consultant was not told the correct information</w:t>
      </w:r>
      <w:r w:rsidRPr="4CA7474E" w:rsidR="7F158F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 judge of this case held that “</w:t>
      </w:r>
      <w:r w:rsidRPr="4CA7474E" w:rsidR="7F158F8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approval of the proposed discharge was based on inaccurate information. For that </w:t>
      </w:r>
      <w:r w:rsidRPr="4CA7474E" w:rsidR="7F158F8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inaccur</w:t>
      </w:r>
      <w:r w:rsidRPr="4CA7474E" w:rsidR="01BD8C1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acy</w:t>
      </w:r>
      <w:r w:rsidRPr="4CA7474E" w:rsidR="25FD24CE">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the junior doctor must, in my view, be held liable</w:t>
      </w:r>
      <w:r w:rsidRPr="4CA7474E" w:rsidR="25FD24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CA7474E" w:rsidR="58590F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(Barhey,2019)</w:t>
      </w:r>
      <w:r w:rsidRPr="4CA7474E" w:rsidR="210DBB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5D331C7F" w:rsidP="4CA7474E" w:rsidRDefault="5D331C7F" w14:paraId="316313E8" w14:textId="284ED897">
      <w:pPr>
        <w:pStyle w:val="Normal"/>
        <w:rPr>
          <w:rFonts w:ascii="Roboto" w:hAnsi="Roboto" w:eastAsia="Roboto" w:cs="Roboto"/>
          <w:b w:val="0"/>
          <w:bCs w:val="0"/>
          <w:i w:val="0"/>
          <w:iCs w:val="0"/>
          <w:caps w:val="0"/>
          <w:smallCaps w:val="0"/>
          <w:noProof w:val="0"/>
          <w:color w:val="2C3E50"/>
          <w:sz w:val="22"/>
          <w:szCs w:val="22"/>
          <w:lang w:val="en-GB"/>
        </w:rPr>
      </w:pPr>
      <w:r w:rsidRPr="4CA7474E" w:rsidR="5D331C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modern way to judge a doctor by the standard of skill and care </w:t>
      </w:r>
      <w:r w:rsidRPr="4CA7474E" w:rsidR="5D331C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appropriate to</w:t>
      </w:r>
      <w:r w:rsidRPr="4CA7474E" w:rsidR="5D331C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role th</w:t>
      </w:r>
      <w:r w:rsidRPr="4CA7474E" w:rsidR="21BA65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ey were fulfilling.</w:t>
      </w:r>
      <w:r w:rsidRPr="4CA7474E" w:rsidR="565B4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the case of Wilsher v Essex Area Health Authority (1988), the defendant who was represented by an </w:t>
      </w:r>
      <w:r w:rsidRPr="4CA7474E" w:rsidR="2964C0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inexperienced</w:t>
      </w:r>
      <w:r w:rsidRPr="4CA7474E" w:rsidR="565B48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junior </w:t>
      </w:r>
      <w:r w:rsidRPr="4CA7474E" w:rsidR="443927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doctor, was there by accused of negligence. The junior doctor had injected an overdose of oxygen into the lungs of </w:t>
      </w:r>
      <w:r w:rsidRPr="4CA7474E" w:rsidR="5BC0A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patient, a new-born baby, during postnatal care. After the injection, it was discovered that the baby had problems with its eyes after the postnatal care injection. </w:t>
      </w:r>
      <w:r w:rsidRPr="4CA7474E" w:rsidR="32F7857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overdose of oxygen in the lungs can be a cause of blindness</w:t>
      </w:r>
      <w:r w:rsidRPr="4CA7474E" w:rsidR="7DE565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however the junior doctor, the defendant had been held not liable for the new-born's injury in its eyes, as it </w:t>
      </w:r>
      <w:r w:rsidRPr="4CA7474E" w:rsidR="21BF21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was foreseen that it was more probable that another factor was the fault of the new-born baby ‘s blindness. </w:t>
      </w:r>
      <w:r w:rsidRPr="4CA7474E" w:rsidR="47D211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But the Court of Appeal, however, interjected and used the case of McGhee v National Coal Boar where the term “apparent increase in risks” was first used. The Court of Appeal c</w:t>
      </w:r>
      <w:r w:rsidRPr="4CA7474E" w:rsidR="1F08EB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laimed that the hospital broke its obligations, and the child’s risk of injury in its eyes was </w:t>
      </w:r>
      <w:r w:rsidRPr="4CA7474E" w:rsidR="2A50B2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increased as a result of the junior doctor's negligence. The Court of Appeal held the hospital to be liable fo</w:t>
      </w:r>
      <w:r w:rsidRPr="4CA7474E" w:rsidR="09A325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 the child's injury, its blindness in its eyes.</w:t>
      </w:r>
      <w:r w:rsidRPr="4CA7474E" w:rsidR="3467A9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Breach of duty was therefore established.</w:t>
      </w:r>
      <w:r w:rsidRPr="4CA7474E" w:rsidR="60D9F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60D9F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some case if the doctor does not have the right degree of skill needed for their role in which they play out, then the hospital will be held liable, or more </w:t>
      </w:r>
      <w:r w:rsidRPr="4CA7474E" w:rsidR="5AF79B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importantly</w:t>
      </w:r>
      <w:r w:rsidRPr="4CA7474E" w:rsidR="60D9F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hospital authorities</w:t>
      </w:r>
      <w:r w:rsidRPr="4CA7474E" w:rsidR="2E0113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will be held liable for putting that doctor in a position where the role they were given was too advanced for their abilities and skills.</w:t>
      </w:r>
      <w:r w:rsidRPr="4CA7474E" w:rsidR="5973FE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(View all posts by John-Paul Swoboda, 2017)</w:t>
      </w:r>
      <w:r w:rsidRPr="4CA7474E" w:rsidR="1E7F79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1E7F79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(Wilsher v Essex Area Health Authority [1988] Evidence, n.d.)</w:t>
      </w:r>
    </w:p>
    <w:p w:rsidR="72EAB510" w:rsidP="4CA7474E" w:rsidRDefault="72EAB510" w14:paraId="32724912" w14:textId="5BF3173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CA7474E" w:rsidR="72EAB5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There are factors that can higher or lower the standard of care</w:t>
      </w:r>
      <w:r w:rsidRPr="4CA7474E" w:rsidR="2B2903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can include the seriousness of the injury or damage. The seriousness of the injury or damage done </w:t>
      </w:r>
      <w:r w:rsidRPr="4CA7474E" w:rsidR="1F643B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 considered by a reasonable person. The more serious the injury or the damage is, </w:t>
      </w:r>
      <w:r w:rsidRPr="4CA7474E" w:rsidR="5E0920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greater the standard of care is required. Also, if the defendant in the case is aware of a certain </w:t>
      </w:r>
      <w:r w:rsidRPr="4CA7474E" w:rsidR="353FFB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person being at an enhanced risk of a serious injury, then the standard of care or the obligation to take care is increased. This was seen in the case of Paris v Stepney</w:t>
      </w:r>
      <w:r w:rsidRPr="4CA7474E" w:rsidR="084972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borough council (1951) AC 367</w:t>
      </w:r>
      <w:r w:rsidRPr="4CA7474E" w:rsidR="3AA55D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CA7474E" w:rsidR="3AA55D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Bailii.org. 2021). In this case </w:t>
      </w:r>
      <w:r w:rsidRPr="4CA7474E" w:rsidR="794A42B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person had an accident which resulted in them losing sight in one of their eyes. He lost sight in his eye while working as a mechanic </w:t>
      </w:r>
      <w:r w:rsidRPr="4CA7474E" w:rsidR="50811D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the defendant, who was a local authority. Before the incident had </w:t>
      </w:r>
      <w:r w:rsidRPr="4CA7474E" w:rsidR="76940D1B">
        <w:rPr>
          <w:rFonts w:ascii="Calibri" w:hAnsi="Calibri" w:eastAsia="Calibri" w:cs="Calibri"/>
          <w:b w:val="0"/>
          <w:bCs w:val="0"/>
          <w:i w:val="0"/>
          <w:iCs w:val="0"/>
          <w:caps w:val="0"/>
          <w:smallCaps w:val="0"/>
          <w:noProof w:val="0"/>
          <w:color w:val="000000" w:themeColor="text1" w:themeTint="FF" w:themeShade="FF"/>
          <w:sz w:val="24"/>
          <w:szCs w:val="24"/>
          <w:lang w:val="en-GB"/>
        </w:rPr>
        <w:t>accrued</w:t>
      </w:r>
      <w:r w:rsidRPr="4CA7474E" w:rsidR="50811D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defendant had the knowledge that the claimant was already blind in </w:t>
      </w:r>
      <w:r w:rsidRPr="4CA7474E" w:rsidR="702D76B7">
        <w:rPr>
          <w:rFonts w:ascii="Calibri" w:hAnsi="Calibri" w:eastAsia="Calibri" w:cs="Calibri"/>
          <w:b w:val="0"/>
          <w:bCs w:val="0"/>
          <w:i w:val="0"/>
          <w:iCs w:val="0"/>
          <w:caps w:val="0"/>
          <w:smallCaps w:val="0"/>
          <w:noProof w:val="0"/>
          <w:color w:val="000000" w:themeColor="text1" w:themeTint="FF" w:themeShade="FF"/>
          <w:sz w:val="24"/>
          <w:szCs w:val="24"/>
          <w:lang w:val="en-GB"/>
        </w:rPr>
        <w:t>one eye.</w:t>
      </w:r>
      <w:r w:rsidRPr="4CA7474E" w:rsidR="3362BA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Therefore, safety goggles should've been provided to the claimant to do the work as a mechanic. The House of Lords held that the probability of the injury</w:t>
      </w:r>
      <w:r w:rsidRPr="4CA7474E" w:rsidR="622F7A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claimant's eye was small, but the consequences and seriousness of the injury was very serious. Therefore, the defendant should</w:t>
      </w:r>
      <w:r w:rsidRPr="4CA7474E" w:rsidR="5EF512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taken extra precautions and care to provide safety goggles to the claimant.</w:t>
      </w:r>
    </w:p>
    <w:p w:rsidR="6BC23F63" w:rsidP="4CA7474E" w:rsidRDefault="6BC23F63" w14:paraId="73682705" w14:textId="785F34B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CA7474E" w:rsidR="6BC23F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Although the standard of care is usually judged objectively, age can also be a factor. A child is usually judged by the standards of a child of the same age. This was seen in the case of </w:t>
      </w:r>
      <w:proofErr w:type="spellStart"/>
      <w:r w:rsidRPr="4CA7474E" w:rsidR="21C75A58">
        <w:rPr>
          <w:rFonts w:ascii="Calibri" w:hAnsi="Calibri" w:eastAsia="Calibri" w:cs="Calibri"/>
          <w:b w:val="0"/>
          <w:bCs w:val="0"/>
          <w:i w:val="0"/>
          <w:iCs w:val="0"/>
          <w:caps w:val="0"/>
          <w:smallCaps w:val="0"/>
          <w:noProof w:val="0"/>
          <w:color w:val="000000" w:themeColor="text1" w:themeTint="FF" w:themeShade="FF"/>
          <w:sz w:val="24"/>
          <w:szCs w:val="24"/>
          <w:lang w:val="en-GB"/>
        </w:rPr>
        <w:t>Orchad</w:t>
      </w:r>
      <w:proofErr w:type="spellEnd"/>
      <w:r w:rsidRPr="4CA7474E" w:rsidR="21C75A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Lee (2009) where the claimant was a school dinner lady and she sustained injuries when a 13</w:t>
      </w:r>
      <w:r w:rsidRPr="4CA7474E" w:rsidR="3B914F97">
        <w:rPr>
          <w:rFonts w:ascii="Calibri" w:hAnsi="Calibri" w:eastAsia="Calibri" w:cs="Calibri"/>
          <w:b w:val="0"/>
          <w:bCs w:val="0"/>
          <w:i w:val="0"/>
          <w:iCs w:val="0"/>
          <w:caps w:val="0"/>
          <w:smallCaps w:val="0"/>
          <w:noProof w:val="0"/>
          <w:color w:val="000000" w:themeColor="text1" w:themeTint="FF" w:themeShade="FF"/>
          <w:sz w:val="24"/>
          <w:szCs w:val="24"/>
          <w:lang w:val="en-GB"/>
        </w:rPr>
        <w:t>-year-old boy ran backwards into her while playing the game, tag with his classmates. The dinner lady sued the boy in the tort of negligence. The issue was whether the defend</w:t>
      </w:r>
      <w:r w:rsidRPr="4CA7474E" w:rsidR="24F388FD">
        <w:rPr>
          <w:rFonts w:ascii="Calibri" w:hAnsi="Calibri" w:eastAsia="Calibri" w:cs="Calibri"/>
          <w:b w:val="0"/>
          <w:bCs w:val="0"/>
          <w:i w:val="0"/>
          <w:iCs w:val="0"/>
          <w:caps w:val="0"/>
          <w:smallCaps w:val="0"/>
          <w:noProof w:val="0"/>
          <w:color w:val="000000" w:themeColor="text1" w:themeTint="FF" w:themeShade="FF"/>
          <w:sz w:val="24"/>
          <w:szCs w:val="24"/>
          <w:lang w:val="en-GB"/>
        </w:rPr>
        <w:t>ant, the child, had breached his duty of care and the relevance of the boy’s age.</w:t>
      </w:r>
      <w:r w:rsidRPr="4CA7474E" w:rsidR="5FEF3DC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(www.casemine.com. n.d.)</w:t>
      </w:r>
    </w:p>
    <w:p w:rsidR="5FEF3DC5" w:rsidP="4CA7474E" w:rsidRDefault="5FEF3DC5" w14:paraId="05DBFBB9" w14:textId="4E0B60C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CA7474E" w:rsidR="5FEF3DC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professional negligence cases, provided that the defendant has required standard for the said profession, there is no negligence. The court will </w:t>
      </w:r>
      <w:r w:rsidRPr="4CA7474E" w:rsidR="75B593FC">
        <w:rPr>
          <w:rFonts w:ascii="Calibri" w:hAnsi="Calibri" w:eastAsia="Calibri" w:cs="Calibri"/>
          <w:b w:val="0"/>
          <w:bCs w:val="0"/>
          <w:i w:val="0"/>
          <w:iCs w:val="0"/>
          <w:caps w:val="0"/>
          <w:smallCaps w:val="0"/>
          <w:noProof w:val="0"/>
          <w:color w:val="000000" w:themeColor="text1" w:themeTint="FF" w:themeShade="FF"/>
          <w:sz w:val="24"/>
          <w:szCs w:val="24"/>
          <w:lang w:val="en-GB"/>
        </w:rPr>
        <w:t>always ask what is and would be expected of a professional according to the expertise that that professional holds. No unrealistic standards of skill and knowledg</w:t>
      </w:r>
      <w:r w:rsidRPr="4CA7474E" w:rsidR="157756F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will be demanded. A solicitor will be required to show the skill of </w:t>
      </w:r>
      <w:r w:rsidRPr="4CA7474E" w:rsidR="729095B5">
        <w:rPr>
          <w:rFonts w:ascii="Calibri" w:hAnsi="Calibri" w:eastAsia="Calibri" w:cs="Calibri"/>
          <w:b w:val="0"/>
          <w:bCs w:val="0"/>
          <w:i w:val="0"/>
          <w:iCs w:val="0"/>
          <w:caps w:val="0"/>
          <w:smallCaps w:val="0"/>
          <w:noProof w:val="0"/>
          <w:color w:val="000000" w:themeColor="text1" w:themeTint="FF" w:themeShade="FF"/>
          <w:sz w:val="24"/>
          <w:szCs w:val="24"/>
          <w:lang w:val="en-GB"/>
        </w:rPr>
        <w:t>the average solicitor, a lawyer will be required to show the skill of the average lawyer and a plumber will be required to show the skill of the average plumber</w:t>
      </w:r>
      <w:r w:rsidRPr="4CA7474E" w:rsidR="51E3084E">
        <w:rPr>
          <w:rFonts w:ascii="Calibri" w:hAnsi="Calibri" w:eastAsia="Calibri" w:cs="Calibri"/>
          <w:b w:val="0"/>
          <w:bCs w:val="0"/>
          <w:i w:val="0"/>
          <w:iCs w:val="0"/>
          <w:caps w:val="0"/>
          <w:smallCaps w:val="0"/>
          <w:noProof w:val="0"/>
          <w:color w:val="000000" w:themeColor="text1" w:themeTint="FF" w:themeShade="FF"/>
          <w:sz w:val="24"/>
          <w:szCs w:val="24"/>
          <w:lang w:val="en-GB"/>
        </w:rPr>
        <w:t>. The test here is still objective. In the case of Bolam v Friern Hospital Management Committee (1957)</w:t>
      </w:r>
      <w:r w:rsidRPr="4CA7474E" w:rsidR="77F5F83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was the allegation that a doctor was held negligent in administrating electro-conclusive therapy to a patient without giving that patient a relaxing drug</w:t>
      </w:r>
      <w:r w:rsidRPr="4CA7474E" w:rsidR="369ADD65">
        <w:rPr>
          <w:rFonts w:ascii="Calibri" w:hAnsi="Calibri" w:eastAsia="Calibri" w:cs="Calibri"/>
          <w:b w:val="0"/>
          <w:bCs w:val="0"/>
          <w:i w:val="0"/>
          <w:iCs w:val="0"/>
          <w:caps w:val="0"/>
          <w:smallCaps w:val="0"/>
          <w:noProof w:val="0"/>
          <w:color w:val="000000" w:themeColor="text1" w:themeTint="FF" w:themeShade="FF"/>
          <w:sz w:val="24"/>
          <w:szCs w:val="24"/>
          <w:lang w:val="en-GB"/>
        </w:rPr>
        <w:t>, and therefore, the patient suffered a fractured jaw. This case shows that a professional person will not be in breach of the standard of care expected of them if they show they acted</w:t>
      </w:r>
      <w:r w:rsidRPr="4CA7474E" w:rsidR="494A6E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other reasonably competent professionals would have acted in that same situation. The judge stated “in one case it has been said that you judge the standard of care by the conduct of the man on the top of a Clapham omn</w:t>
      </w:r>
      <w:r w:rsidRPr="4CA7474E" w:rsidR="738AC0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ibus. He is the ordinary man. But where you get a situation which involved the use of some special skill or competence, then the test </w:t>
      </w:r>
      <w:r w:rsidRPr="4CA7474E" w:rsidR="469438D2">
        <w:rPr>
          <w:rFonts w:ascii="Calibri" w:hAnsi="Calibri" w:eastAsia="Calibri" w:cs="Calibri"/>
          <w:b w:val="0"/>
          <w:bCs w:val="0"/>
          <w:i w:val="0"/>
          <w:iCs w:val="0"/>
          <w:caps w:val="0"/>
          <w:smallCaps w:val="0"/>
          <w:noProof w:val="0"/>
          <w:color w:val="000000" w:themeColor="text1" w:themeTint="FF" w:themeShade="FF"/>
          <w:sz w:val="24"/>
          <w:szCs w:val="24"/>
          <w:lang w:val="en-GB"/>
        </w:rPr>
        <w:t>whether</w:t>
      </w:r>
      <w:r w:rsidRPr="4CA7474E" w:rsidR="738AC0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had been negligence or not</w:t>
      </w:r>
      <w:r w:rsidRPr="4CA7474E" w:rsidR="7F17BC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not </w:t>
      </w:r>
      <w:r w:rsidRPr="4CA7474E" w:rsidR="4E42E43F">
        <w:rPr>
          <w:rFonts w:ascii="Calibri" w:hAnsi="Calibri" w:eastAsia="Calibri" w:cs="Calibri"/>
          <w:b w:val="0"/>
          <w:bCs w:val="0"/>
          <w:i w:val="0"/>
          <w:iCs w:val="0"/>
          <w:caps w:val="0"/>
          <w:smallCaps w:val="0"/>
          <w:noProof w:val="0"/>
          <w:color w:val="000000" w:themeColor="text1" w:themeTint="FF" w:themeShade="FF"/>
          <w:sz w:val="24"/>
          <w:szCs w:val="24"/>
          <w:lang w:val="en-GB"/>
        </w:rPr>
        <w:t>the man on the top of the Clapham omnibus because he has not got this special skill” “The test is the standard of the ordinary skilled man exer</w:t>
      </w:r>
      <w:r w:rsidRPr="4CA7474E" w:rsidR="76B6EF84">
        <w:rPr>
          <w:rFonts w:ascii="Calibri" w:hAnsi="Calibri" w:eastAsia="Calibri" w:cs="Calibri"/>
          <w:b w:val="0"/>
          <w:bCs w:val="0"/>
          <w:i w:val="0"/>
          <w:iCs w:val="0"/>
          <w:caps w:val="0"/>
          <w:smallCaps w:val="0"/>
          <w:noProof w:val="0"/>
          <w:color w:val="000000" w:themeColor="text1" w:themeTint="FF" w:themeShade="FF"/>
          <w:sz w:val="24"/>
          <w:szCs w:val="24"/>
          <w:lang w:val="en-GB"/>
        </w:rPr>
        <w:t>cising and professing to have that special skill”.</w:t>
      </w:r>
      <w:r w:rsidRPr="4CA7474E" w:rsidR="61DC5C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(Healthcare, Ethics and Law, n.d)</w:t>
      </w:r>
    </w:p>
    <w:p w:rsidR="07EF4CCE" w:rsidP="4CA7474E" w:rsidRDefault="07EF4CCE" w14:paraId="3AA1AED5" w14:textId="3366FD2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CA7474E" w:rsidR="07EF4C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Bolam case resulted in the Bolam test which was qualified by the </w:t>
      </w:r>
      <w:proofErr w:type="spellStart"/>
      <w:r w:rsidRPr="4CA7474E" w:rsidR="07EF4C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Hofl</w:t>
      </w:r>
      <w:proofErr w:type="spellEnd"/>
      <w:r w:rsidRPr="4CA7474E" w:rsidR="07EF4C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w:t>
      </w:r>
      <w:proofErr w:type="spellStart"/>
      <w:r w:rsidRPr="4CA7474E" w:rsidR="07EF4C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Bolthio</w:t>
      </w:r>
      <w:proofErr w:type="spellEnd"/>
      <w:r w:rsidRPr="4CA7474E" w:rsidR="07EF4C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 City and Hackney Health Authority (1997). Hofl held that </w:t>
      </w:r>
      <w:r w:rsidRPr="4CA7474E" w:rsidR="52DD2C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expert evidence indicating the prevailing standard of professional skill </w:t>
      </w:r>
      <w:r w:rsidRPr="4CA7474E" w:rsidR="118211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must be</w:t>
      </w:r>
      <w:r w:rsidRPr="4CA7474E" w:rsidR="52DD2C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logic</w:t>
      </w:r>
      <w:r w:rsidRPr="4CA7474E" w:rsidR="6D12EF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ally supported</w:t>
      </w:r>
      <w:r w:rsidRPr="4CA7474E" w:rsidR="3B8B9F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mere fact that an expert can be found to support the </w:t>
      </w:r>
      <w:r w:rsidRPr="4CA7474E" w:rsidR="08E977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defendant's</w:t>
      </w:r>
      <w:r w:rsidRPr="4CA7474E" w:rsidR="3B8B9F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opinion may not be</w:t>
      </w:r>
      <w:r w:rsidRPr="4CA7474E" w:rsidR="0E47AA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sufficient evidence to support his contention that they acted as a reasonable doctor would have acted. The judgement of the reasonable pract</w:t>
      </w:r>
      <w:r w:rsidRPr="4CA7474E" w:rsidR="4C84B8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itio</w:t>
      </w:r>
      <w:r w:rsidRPr="4CA7474E" w:rsidR="0E47AA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ner must be logical</w:t>
      </w:r>
      <w:r w:rsidRPr="4CA7474E" w:rsidR="2F7969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rational and consistent, as shown in the case of Chester v Afshar (2004).</w:t>
      </w:r>
    </w:p>
    <w:p w:rsidR="151D6EB1" w:rsidP="4CA7474E" w:rsidRDefault="151D6EB1" w14:paraId="6EC71C8E" w14:textId="194D500C">
      <w:pPr>
        <w:pStyle w:val="Normal"/>
        <w:rPr>
          <w:sz w:val="24"/>
          <w:szCs w:val="24"/>
        </w:rPr>
      </w:pPr>
      <w:r w:rsidRPr="4CA7474E" w:rsidR="151D6EB1">
        <w:rPr>
          <w:sz w:val="24"/>
          <w:szCs w:val="24"/>
        </w:rPr>
        <w:t>References-</w:t>
      </w:r>
    </w:p>
    <w:p w:rsidR="3A36336C" w:rsidP="4CA7474E" w:rsidRDefault="3A36336C" w14:paraId="5FAE08E5" w14:textId="58BF65DA">
      <w:pPr>
        <w:pStyle w:val="Normal"/>
        <w:rPr>
          <w:sz w:val="24"/>
          <w:szCs w:val="24"/>
        </w:rPr>
      </w:pPr>
      <w:r w:rsidRPr="4CA7474E" w:rsidR="3A36336C">
        <w:rPr>
          <w:sz w:val="24"/>
          <w:szCs w:val="24"/>
        </w:rPr>
        <w:t xml:space="preserve">Vancouver Lawyer (2013). </w:t>
      </w:r>
      <w:r w:rsidRPr="4CA7474E" w:rsidR="3A36336C">
        <w:rPr>
          <w:i w:val="1"/>
          <w:iCs w:val="1"/>
          <w:sz w:val="24"/>
          <w:szCs w:val="24"/>
        </w:rPr>
        <w:t xml:space="preserve">The Standard of Care in </w:t>
      </w:r>
      <w:proofErr w:type="spellStart"/>
      <w:r w:rsidRPr="4CA7474E" w:rsidR="3A36336C">
        <w:rPr>
          <w:i w:val="1"/>
          <w:iCs w:val="1"/>
          <w:sz w:val="24"/>
          <w:szCs w:val="24"/>
        </w:rPr>
        <w:t>Negligence:the</w:t>
      </w:r>
      <w:proofErr w:type="spellEnd"/>
      <w:r w:rsidRPr="4CA7474E" w:rsidR="3A36336C">
        <w:rPr>
          <w:i w:val="1"/>
          <w:iCs w:val="1"/>
          <w:sz w:val="24"/>
          <w:szCs w:val="24"/>
        </w:rPr>
        <w:t xml:space="preserve"> Reasonable Person/ Hobbs </w:t>
      </w:r>
      <w:proofErr w:type="spellStart"/>
      <w:r w:rsidRPr="4CA7474E" w:rsidR="3A36336C">
        <w:rPr>
          <w:i w:val="1"/>
          <w:iCs w:val="1"/>
          <w:sz w:val="24"/>
          <w:szCs w:val="24"/>
        </w:rPr>
        <w:t>Giroda</w:t>
      </w:r>
      <w:r w:rsidRPr="4CA7474E" w:rsidR="3B292E38">
        <w:rPr>
          <w:i w:val="1"/>
          <w:iCs w:val="1"/>
          <w:sz w:val="24"/>
          <w:szCs w:val="24"/>
        </w:rPr>
        <w:t>y</w:t>
      </w:r>
      <w:proofErr w:type="spellEnd"/>
      <w:r w:rsidRPr="4CA7474E" w:rsidR="3B292E38">
        <w:rPr>
          <w:sz w:val="24"/>
          <w:szCs w:val="24"/>
        </w:rPr>
        <w:t xml:space="preserve">.[online] Vancouver BC Litigation Lawyers: Hobbs </w:t>
      </w:r>
      <w:proofErr w:type="spellStart"/>
      <w:r w:rsidRPr="4CA7474E" w:rsidR="3B292E38">
        <w:rPr>
          <w:sz w:val="24"/>
          <w:szCs w:val="24"/>
        </w:rPr>
        <w:t>Giroday</w:t>
      </w:r>
      <w:proofErr w:type="spellEnd"/>
      <w:r w:rsidRPr="4CA7474E" w:rsidR="3B292E38">
        <w:rPr>
          <w:sz w:val="24"/>
          <w:szCs w:val="24"/>
        </w:rPr>
        <w:t xml:space="preserve">. Available at </w:t>
      </w:r>
      <w:hyperlink r:id="Rd7e25a5058c64775">
        <w:r w:rsidRPr="4CA7474E" w:rsidR="3B292E38">
          <w:rPr>
            <w:rStyle w:val="Hyperlink"/>
            <w:sz w:val="24"/>
            <w:szCs w:val="24"/>
          </w:rPr>
          <w:t>https:</w:t>
        </w:r>
        <w:r w:rsidRPr="4CA7474E" w:rsidR="5678897F">
          <w:rPr>
            <w:rStyle w:val="Hyperlink"/>
            <w:sz w:val="24"/>
            <w:szCs w:val="24"/>
          </w:rPr>
          <w:t>//www.hobbsgiroday.com/negligence-law-articles/the-standard-of-care-in-negligence-the-resonable-person/</w:t>
        </w:r>
      </w:hyperlink>
      <w:r w:rsidRPr="4CA7474E" w:rsidR="5678897F">
        <w:rPr>
          <w:sz w:val="24"/>
          <w:szCs w:val="24"/>
        </w:rPr>
        <w:t xml:space="preserve"> [Accessed 21 Oct. </w:t>
      </w:r>
      <w:r w:rsidRPr="4CA7474E" w:rsidR="73EBAF27">
        <w:rPr>
          <w:sz w:val="24"/>
          <w:szCs w:val="24"/>
        </w:rPr>
        <w:t>2021]</w:t>
      </w:r>
    </w:p>
    <w:p w:rsidR="38C4252A" w:rsidP="4CA7474E" w:rsidRDefault="38C4252A" w14:paraId="17029EDD" w14:textId="46334F8C">
      <w:pPr>
        <w:pStyle w:val="Normal"/>
        <w:rPr>
          <w:rFonts w:ascii="Calibri" w:hAnsi="Calibri" w:eastAsia="Calibri" w:cs="Calibri"/>
          <w:b w:val="0"/>
          <w:bCs w:val="0"/>
          <w:i w:val="0"/>
          <w:iCs w:val="0"/>
          <w:caps w:val="0"/>
          <w:smallCaps w:val="0"/>
          <w:noProof w:val="0"/>
          <w:color w:val="auto"/>
          <w:sz w:val="24"/>
          <w:szCs w:val="24"/>
          <w:lang w:val="en-GB"/>
        </w:rPr>
      </w:pPr>
      <w:r w:rsidRPr="4CA7474E" w:rsidR="38C4252A">
        <w:rPr>
          <w:rFonts w:ascii="Calibri" w:hAnsi="Calibri" w:eastAsia="Calibri" w:cs="Calibri"/>
          <w:b w:val="0"/>
          <w:bCs w:val="0"/>
          <w:i w:val="0"/>
          <w:iCs w:val="0"/>
          <w:caps w:val="0"/>
          <w:smallCaps w:val="0"/>
          <w:noProof w:val="0"/>
          <w:color w:val="auto"/>
          <w:sz w:val="24"/>
          <w:szCs w:val="24"/>
          <w:lang w:val="en-GB"/>
        </w:rPr>
        <w:t xml:space="preserve">Casebriefs.com. (2010). </w:t>
      </w:r>
      <w:r w:rsidRPr="4CA7474E" w:rsidR="38C4252A">
        <w:rPr>
          <w:rFonts w:ascii="Calibri" w:hAnsi="Calibri" w:eastAsia="Calibri" w:cs="Calibri"/>
          <w:b w:val="0"/>
          <w:bCs w:val="0"/>
          <w:i w:val="1"/>
          <w:iCs w:val="1"/>
          <w:caps w:val="0"/>
          <w:smallCaps w:val="0"/>
          <w:noProof w:val="0"/>
          <w:color w:val="auto"/>
          <w:sz w:val="24"/>
          <w:szCs w:val="24"/>
          <w:lang w:val="en-GB"/>
        </w:rPr>
        <w:t xml:space="preserve">Blyth v. Birmingham Waterworks Co. - Case Brief for Law Students | </w:t>
      </w:r>
      <w:proofErr w:type="spellStart"/>
      <w:r w:rsidRPr="4CA7474E" w:rsidR="38C4252A">
        <w:rPr>
          <w:rFonts w:ascii="Calibri" w:hAnsi="Calibri" w:eastAsia="Calibri" w:cs="Calibri"/>
          <w:b w:val="0"/>
          <w:bCs w:val="0"/>
          <w:i w:val="1"/>
          <w:iCs w:val="1"/>
          <w:caps w:val="0"/>
          <w:smallCaps w:val="0"/>
          <w:noProof w:val="0"/>
          <w:color w:val="auto"/>
          <w:sz w:val="24"/>
          <w:szCs w:val="24"/>
          <w:lang w:val="en-GB"/>
        </w:rPr>
        <w:t>Casebriefs</w:t>
      </w:r>
      <w:proofErr w:type="spellEnd"/>
      <w:r w:rsidRPr="4CA7474E" w:rsidR="38C4252A">
        <w:rPr>
          <w:rFonts w:ascii="Calibri" w:hAnsi="Calibri" w:eastAsia="Calibri" w:cs="Calibri"/>
          <w:b w:val="0"/>
          <w:bCs w:val="0"/>
          <w:i w:val="0"/>
          <w:iCs w:val="0"/>
          <w:caps w:val="0"/>
          <w:smallCaps w:val="0"/>
          <w:noProof w:val="0"/>
          <w:color w:val="auto"/>
          <w:sz w:val="24"/>
          <w:szCs w:val="24"/>
          <w:lang w:val="en-GB"/>
        </w:rPr>
        <w:t xml:space="preserve">. [online] Available at: </w:t>
      </w:r>
      <w:hyperlink r:id="R4ce4744defde4e4c">
        <w:r w:rsidRPr="4CA7474E" w:rsidR="38C4252A">
          <w:rPr>
            <w:rStyle w:val="Hyperlink"/>
            <w:rFonts w:ascii="Calibri" w:hAnsi="Calibri" w:eastAsia="Calibri" w:cs="Calibri"/>
            <w:b w:val="0"/>
            <w:bCs w:val="0"/>
            <w:i w:val="0"/>
            <w:iCs w:val="0"/>
            <w:caps w:val="0"/>
            <w:smallCaps w:val="0"/>
            <w:noProof w:val="0"/>
            <w:sz w:val="24"/>
            <w:szCs w:val="24"/>
            <w:lang w:val="en-GB"/>
          </w:rPr>
          <w:t>https://www.casebriefs.com/blog/law/torts/torts-keyed-to-prosser/negligence/blyth-v-birmingham-waterworks-co/</w:t>
        </w:r>
      </w:hyperlink>
      <w:r w:rsidRPr="4CA7474E" w:rsidR="38C4252A">
        <w:rPr>
          <w:rFonts w:ascii="Calibri" w:hAnsi="Calibri" w:eastAsia="Calibri" w:cs="Calibri"/>
          <w:b w:val="0"/>
          <w:bCs w:val="0"/>
          <w:i w:val="0"/>
          <w:iCs w:val="0"/>
          <w:caps w:val="0"/>
          <w:smallCaps w:val="0"/>
          <w:noProof w:val="0"/>
          <w:color w:val="auto"/>
          <w:sz w:val="24"/>
          <w:szCs w:val="24"/>
          <w:lang w:val="en-GB"/>
        </w:rPr>
        <w:t>. [Accessed 21 Oct. 2021]</w:t>
      </w:r>
    </w:p>
    <w:p w:rsidR="51885FE0" w:rsidP="4CA7474E" w:rsidRDefault="51885FE0" w14:paraId="64ADECB3" w14:textId="13A289BD">
      <w:pPr>
        <w:pStyle w:val="Normal"/>
        <w:rPr>
          <w:rFonts w:ascii="Calibri" w:hAnsi="Calibri" w:eastAsia="Calibri" w:cs="Calibri"/>
          <w:b w:val="0"/>
          <w:bCs w:val="0"/>
          <w:i w:val="0"/>
          <w:iCs w:val="0"/>
          <w:caps w:val="0"/>
          <w:smallCaps w:val="0"/>
          <w:noProof w:val="0"/>
          <w:color w:val="auto"/>
          <w:sz w:val="24"/>
          <w:szCs w:val="24"/>
          <w:lang w:val="en-GB"/>
        </w:rPr>
      </w:pPr>
      <w:r w:rsidRPr="4CA7474E" w:rsidR="51885FE0">
        <w:rPr>
          <w:rFonts w:ascii="Calibri" w:hAnsi="Calibri" w:eastAsia="Calibri" w:cs="Calibri"/>
          <w:b w:val="0"/>
          <w:bCs w:val="0"/>
          <w:i w:val="0"/>
          <w:iCs w:val="0"/>
          <w:caps w:val="0"/>
          <w:smallCaps w:val="0"/>
          <w:noProof w:val="0"/>
          <w:color w:val="auto"/>
          <w:sz w:val="24"/>
          <w:szCs w:val="24"/>
          <w:lang w:val="en-GB"/>
        </w:rPr>
        <w:t xml:space="preserve">Anon, (n.d.). </w:t>
      </w:r>
      <w:r w:rsidRPr="4CA7474E" w:rsidR="51885FE0">
        <w:rPr>
          <w:rFonts w:ascii="Calibri" w:hAnsi="Calibri" w:eastAsia="Calibri" w:cs="Calibri"/>
          <w:b w:val="0"/>
          <w:bCs w:val="0"/>
          <w:i w:val="1"/>
          <w:iCs w:val="1"/>
          <w:caps w:val="0"/>
          <w:smallCaps w:val="0"/>
          <w:noProof w:val="0"/>
          <w:color w:val="auto"/>
          <w:sz w:val="24"/>
          <w:szCs w:val="24"/>
          <w:lang w:val="en-GB"/>
        </w:rPr>
        <w:t xml:space="preserve">Glasgow Corp v Muir [1943] – </w:t>
      </w:r>
      <w:proofErr w:type="spellStart"/>
      <w:r w:rsidRPr="4CA7474E" w:rsidR="51885FE0">
        <w:rPr>
          <w:rFonts w:ascii="Calibri" w:hAnsi="Calibri" w:eastAsia="Calibri" w:cs="Calibri"/>
          <w:b w:val="0"/>
          <w:bCs w:val="0"/>
          <w:i w:val="1"/>
          <w:iCs w:val="1"/>
          <w:caps w:val="0"/>
          <w:smallCaps w:val="0"/>
          <w:noProof w:val="0"/>
          <w:color w:val="auto"/>
          <w:sz w:val="24"/>
          <w:szCs w:val="24"/>
          <w:lang w:val="en-GB"/>
        </w:rPr>
        <w:t>Webstroke</w:t>
      </w:r>
      <w:proofErr w:type="spellEnd"/>
      <w:r w:rsidRPr="4CA7474E" w:rsidR="51885FE0">
        <w:rPr>
          <w:rFonts w:ascii="Calibri" w:hAnsi="Calibri" w:eastAsia="Calibri" w:cs="Calibri"/>
          <w:b w:val="0"/>
          <w:bCs w:val="0"/>
          <w:i w:val="1"/>
          <w:iCs w:val="1"/>
          <w:caps w:val="0"/>
          <w:smallCaps w:val="0"/>
          <w:noProof w:val="0"/>
          <w:color w:val="auto"/>
          <w:sz w:val="24"/>
          <w:szCs w:val="24"/>
          <w:lang w:val="en-GB"/>
        </w:rPr>
        <w:t xml:space="preserve"> Law</w:t>
      </w:r>
      <w:r w:rsidRPr="4CA7474E" w:rsidR="51885FE0">
        <w:rPr>
          <w:rFonts w:ascii="Calibri" w:hAnsi="Calibri" w:eastAsia="Calibri" w:cs="Calibri"/>
          <w:b w:val="0"/>
          <w:bCs w:val="0"/>
          <w:i w:val="0"/>
          <w:iCs w:val="0"/>
          <w:caps w:val="0"/>
          <w:smallCaps w:val="0"/>
          <w:noProof w:val="0"/>
          <w:color w:val="auto"/>
          <w:sz w:val="24"/>
          <w:szCs w:val="24"/>
          <w:lang w:val="en-GB"/>
        </w:rPr>
        <w:t xml:space="preserve">. [online] Available at: </w:t>
      </w:r>
      <w:hyperlink r:id="R9cc6f4d096b74bbd">
        <w:r w:rsidRPr="4CA7474E" w:rsidR="51885FE0">
          <w:rPr>
            <w:rStyle w:val="Hyperlink"/>
            <w:rFonts w:ascii="Calibri" w:hAnsi="Calibri" w:eastAsia="Calibri" w:cs="Calibri"/>
            <w:b w:val="0"/>
            <w:bCs w:val="0"/>
            <w:i w:val="0"/>
            <w:iCs w:val="0"/>
            <w:caps w:val="0"/>
            <w:smallCaps w:val="0"/>
            <w:noProof w:val="0"/>
            <w:sz w:val="24"/>
            <w:szCs w:val="24"/>
            <w:lang w:val="en-GB"/>
          </w:rPr>
          <w:t>https://webstroke.co.uk/law/glasgow-corp-v-muir-1943</w:t>
        </w:r>
      </w:hyperlink>
      <w:r w:rsidRPr="4CA7474E" w:rsidR="51885FE0">
        <w:rPr>
          <w:rFonts w:ascii="Calibri" w:hAnsi="Calibri" w:eastAsia="Calibri" w:cs="Calibri"/>
          <w:b w:val="0"/>
          <w:bCs w:val="0"/>
          <w:i w:val="0"/>
          <w:iCs w:val="0"/>
          <w:caps w:val="0"/>
          <w:smallCaps w:val="0"/>
          <w:noProof w:val="0"/>
          <w:color w:val="auto"/>
          <w:sz w:val="24"/>
          <w:szCs w:val="24"/>
          <w:lang w:val="en-GB"/>
        </w:rPr>
        <w:t xml:space="preserve"> [Accessed 21 Oct. 2021].</w:t>
      </w:r>
    </w:p>
    <w:p w:rsidR="13E52C4E" w:rsidP="4CA7474E" w:rsidRDefault="13E52C4E" w14:paraId="4B769355" w14:textId="29B5D6C3">
      <w:pPr>
        <w:pStyle w:val="Normal"/>
        <w:rPr>
          <w:rFonts w:ascii="Calibri" w:hAnsi="Calibri" w:eastAsia="Calibri" w:cs="Calibri"/>
          <w:b w:val="0"/>
          <w:bCs w:val="0"/>
          <w:i w:val="0"/>
          <w:iCs w:val="0"/>
          <w:caps w:val="0"/>
          <w:smallCaps w:val="0"/>
          <w:noProof w:val="0"/>
          <w:color w:val="auto"/>
          <w:sz w:val="24"/>
          <w:szCs w:val="24"/>
          <w:lang w:val="en-GB"/>
        </w:rPr>
      </w:pPr>
      <w:r w:rsidRPr="4CA7474E" w:rsidR="13E52C4E">
        <w:rPr>
          <w:rFonts w:ascii="Calibri" w:hAnsi="Calibri" w:eastAsia="Calibri" w:cs="Calibri"/>
          <w:b w:val="0"/>
          <w:bCs w:val="0"/>
          <w:i w:val="0"/>
          <w:iCs w:val="0"/>
          <w:caps w:val="0"/>
          <w:smallCaps w:val="0"/>
          <w:noProof w:val="0"/>
          <w:color w:val="auto"/>
          <w:sz w:val="24"/>
          <w:szCs w:val="24"/>
          <w:lang w:val="en-GB"/>
        </w:rPr>
        <w:t xml:space="preserve">Weir Bowen LLP. (2019). </w:t>
      </w:r>
      <w:r w:rsidRPr="4CA7474E" w:rsidR="13E52C4E">
        <w:rPr>
          <w:rFonts w:ascii="Calibri" w:hAnsi="Calibri" w:eastAsia="Calibri" w:cs="Calibri"/>
          <w:b w:val="0"/>
          <w:bCs w:val="0"/>
          <w:i w:val="1"/>
          <w:iCs w:val="1"/>
          <w:caps w:val="0"/>
          <w:smallCaps w:val="0"/>
          <w:noProof w:val="0"/>
          <w:color w:val="auto"/>
          <w:sz w:val="24"/>
          <w:szCs w:val="24"/>
          <w:lang w:val="en-GB"/>
        </w:rPr>
        <w:t>Duty of Care, Standard of Care, Damages and Causation</w:t>
      </w:r>
      <w:r w:rsidRPr="4CA7474E" w:rsidR="13E52C4E">
        <w:rPr>
          <w:rFonts w:ascii="Calibri" w:hAnsi="Calibri" w:eastAsia="Calibri" w:cs="Calibri"/>
          <w:b w:val="0"/>
          <w:bCs w:val="0"/>
          <w:i w:val="0"/>
          <w:iCs w:val="0"/>
          <w:caps w:val="0"/>
          <w:smallCaps w:val="0"/>
          <w:noProof w:val="0"/>
          <w:color w:val="auto"/>
          <w:sz w:val="24"/>
          <w:szCs w:val="24"/>
          <w:lang w:val="en-GB"/>
        </w:rPr>
        <w:t xml:space="preserve">. [online] Available at: </w:t>
      </w:r>
      <w:hyperlink w:anchor=":~:text=The%20breach%20in%20the%20standard%20of%20care%20must" r:id="Ra1fec5fafac94aea">
        <w:r w:rsidRPr="4CA7474E" w:rsidR="13E52C4E">
          <w:rPr>
            <w:rStyle w:val="Hyperlink"/>
            <w:rFonts w:ascii="Calibri" w:hAnsi="Calibri" w:eastAsia="Calibri" w:cs="Calibri"/>
            <w:b w:val="0"/>
            <w:bCs w:val="0"/>
            <w:i w:val="0"/>
            <w:iCs w:val="0"/>
            <w:caps w:val="0"/>
            <w:smallCaps w:val="0"/>
            <w:noProof w:val="0"/>
            <w:sz w:val="24"/>
            <w:szCs w:val="24"/>
            <w:lang w:val="en-GB"/>
          </w:rPr>
          <w:t>https://weirbowen.com/news/overview-of-duty-of-care-standard-of-care-damages-and-causation/#:~:text=The%20breach%20in%20the%20standard%20of%20care%20must</w:t>
        </w:r>
      </w:hyperlink>
      <w:r w:rsidRPr="4CA7474E" w:rsidR="13E52C4E">
        <w:rPr>
          <w:rFonts w:ascii="Calibri" w:hAnsi="Calibri" w:eastAsia="Calibri" w:cs="Calibri"/>
          <w:b w:val="0"/>
          <w:bCs w:val="0"/>
          <w:i w:val="0"/>
          <w:iCs w:val="0"/>
          <w:caps w:val="0"/>
          <w:smallCaps w:val="0"/>
          <w:noProof w:val="0"/>
          <w:color w:val="auto"/>
          <w:sz w:val="24"/>
          <w:szCs w:val="24"/>
          <w:lang w:val="en-GB"/>
        </w:rPr>
        <w:t>[Accessed 21 Oct. 2021].</w:t>
      </w:r>
    </w:p>
    <w:p w:rsidR="2E6221E3" w:rsidP="4CA7474E" w:rsidRDefault="2E6221E3" w14:paraId="7391CD01" w14:textId="5BC83776">
      <w:pPr>
        <w:pStyle w:val="Normal"/>
        <w:rPr>
          <w:rFonts w:ascii="Calibri" w:hAnsi="Calibri" w:eastAsia="Calibri" w:cs="Calibri"/>
          <w:b w:val="0"/>
          <w:bCs w:val="0"/>
          <w:i w:val="0"/>
          <w:iCs w:val="0"/>
          <w:caps w:val="0"/>
          <w:smallCaps w:val="0"/>
          <w:noProof w:val="0"/>
          <w:color w:val="auto"/>
          <w:sz w:val="24"/>
          <w:szCs w:val="24"/>
          <w:lang w:val="en-GB"/>
        </w:rPr>
      </w:pPr>
      <w:r w:rsidRPr="4CA7474E" w:rsidR="2E6221E3">
        <w:rPr>
          <w:rFonts w:ascii="Calibri" w:hAnsi="Calibri" w:eastAsia="Calibri" w:cs="Calibri"/>
          <w:b w:val="0"/>
          <w:bCs w:val="0"/>
          <w:i w:val="0"/>
          <w:iCs w:val="0"/>
          <w:caps w:val="0"/>
          <w:smallCaps w:val="0"/>
          <w:noProof w:val="0"/>
          <w:color w:val="auto"/>
          <w:sz w:val="24"/>
          <w:szCs w:val="24"/>
          <w:lang w:val="en-GB"/>
        </w:rPr>
        <w:t xml:space="preserve">philosophy-question.com. (n.d.). </w:t>
      </w:r>
      <w:r w:rsidRPr="4CA7474E" w:rsidR="2E6221E3">
        <w:rPr>
          <w:rFonts w:ascii="Calibri" w:hAnsi="Calibri" w:eastAsia="Calibri" w:cs="Calibri"/>
          <w:b w:val="0"/>
          <w:bCs w:val="0"/>
          <w:i w:val="1"/>
          <w:iCs w:val="1"/>
          <w:caps w:val="0"/>
          <w:smallCaps w:val="0"/>
          <w:noProof w:val="0"/>
          <w:color w:val="auto"/>
          <w:sz w:val="24"/>
          <w:szCs w:val="24"/>
          <w:lang w:val="en-GB"/>
        </w:rPr>
        <w:t>What is the difference between objective and subjective standards?</w:t>
      </w:r>
      <w:r w:rsidRPr="4CA7474E" w:rsidR="2E6221E3">
        <w:rPr>
          <w:rFonts w:ascii="Calibri" w:hAnsi="Calibri" w:eastAsia="Calibri" w:cs="Calibri"/>
          <w:b w:val="0"/>
          <w:bCs w:val="0"/>
          <w:i w:val="0"/>
          <w:iCs w:val="0"/>
          <w:caps w:val="0"/>
          <w:smallCaps w:val="0"/>
          <w:noProof w:val="0"/>
          <w:color w:val="auto"/>
          <w:sz w:val="24"/>
          <w:szCs w:val="24"/>
          <w:lang w:val="en-GB"/>
        </w:rPr>
        <w:t xml:space="preserve"> [online] Available at: </w:t>
      </w:r>
      <w:hyperlink r:id="Rfbc48525ac7f4e32">
        <w:r w:rsidRPr="4CA7474E" w:rsidR="2E6221E3">
          <w:rPr>
            <w:rStyle w:val="Hyperlink"/>
            <w:rFonts w:ascii="Calibri" w:hAnsi="Calibri" w:eastAsia="Calibri" w:cs="Calibri"/>
            <w:b w:val="0"/>
            <w:bCs w:val="0"/>
            <w:i w:val="0"/>
            <w:iCs w:val="0"/>
            <w:caps w:val="0"/>
            <w:smallCaps w:val="0"/>
            <w:noProof w:val="0"/>
            <w:sz w:val="24"/>
            <w:szCs w:val="24"/>
            <w:lang w:val="en-GB"/>
          </w:rPr>
          <w:t>https://philosophy-question.com/library/lecture/read/401971-what-is-the-difference-between-objective-and-subjective-standards</w:t>
        </w:r>
      </w:hyperlink>
      <w:r w:rsidRPr="4CA7474E" w:rsidR="2E6221E3">
        <w:rPr>
          <w:rFonts w:ascii="Calibri" w:hAnsi="Calibri" w:eastAsia="Calibri" w:cs="Calibri"/>
          <w:b w:val="0"/>
          <w:bCs w:val="0"/>
          <w:i w:val="0"/>
          <w:iCs w:val="0"/>
          <w:caps w:val="0"/>
          <w:smallCaps w:val="0"/>
          <w:noProof w:val="0"/>
          <w:color w:val="auto"/>
          <w:sz w:val="24"/>
          <w:szCs w:val="24"/>
          <w:lang w:val="en-GB"/>
        </w:rPr>
        <w:t>[Accessed 21 Oct. 2021].</w:t>
      </w:r>
    </w:p>
    <w:p w:rsidR="6ADA41B1" w:rsidP="4CA7474E" w:rsidRDefault="6ADA41B1" w14:paraId="72DEF97F" w14:textId="128AEA88">
      <w:pPr>
        <w:pStyle w:val="Normal"/>
        <w:rPr>
          <w:rFonts w:ascii="Calibri" w:hAnsi="Calibri" w:eastAsia="Calibri" w:cs="Calibri"/>
          <w:b w:val="0"/>
          <w:bCs w:val="0"/>
          <w:i w:val="0"/>
          <w:iCs w:val="0"/>
          <w:caps w:val="0"/>
          <w:smallCaps w:val="0"/>
          <w:noProof w:val="0"/>
          <w:color w:val="auto"/>
          <w:sz w:val="24"/>
          <w:szCs w:val="24"/>
          <w:lang w:val="en-GB"/>
        </w:rPr>
      </w:pPr>
      <w:r w:rsidRPr="4CA7474E" w:rsidR="6ADA41B1">
        <w:rPr>
          <w:rFonts w:ascii="Calibri" w:hAnsi="Calibri" w:eastAsia="Calibri" w:cs="Calibri"/>
          <w:b w:val="0"/>
          <w:bCs w:val="0"/>
          <w:i w:val="0"/>
          <w:iCs w:val="0"/>
          <w:caps w:val="0"/>
          <w:smallCaps w:val="0"/>
          <w:noProof w:val="0"/>
          <w:color w:val="auto"/>
          <w:sz w:val="24"/>
          <w:szCs w:val="24"/>
          <w:lang w:val="en-GB"/>
        </w:rPr>
        <w:t xml:space="preserve">Cooke, J. (2019). </w:t>
      </w:r>
      <w:r w:rsidRPr="4CA7474E" w:rsidR="6ADA41B1">
        <w:rPr>
          <w:rFonts w:ascii="Calibri" w:hAnsi="Calibri" w:eastAsia="Calibri" w:cs="Calibri"/>
          <w:b w:val="0"/>
          <w:bCs w:val="0"/>
          <w:i w:val="1"/>
          <w:iCs w:val="1"/>
          <w:caps w:val="0"/>
          <w:smallCaps w:val="0"/>
          <w:noProof w:val="0"/>
          <w:color w:val="auto"/>
          <w:sz w:val="24"/>
          <w:szCs w:val="24"/>
          <w:lang w:val="en-GB"/>
        </w:rPr>
        <w:t>Law of tort</w:t>
      </w:r>
      <w:r w:rsidRPr="4CA7474E" w:rsidR="6ADA41B1">
        <w:rPr>
          <w:rFonts w:ascii="Calibri" w:hAnsi="Calibri" w:eastAsia="Calibri" w:cs="Calibri"/>
          <w:b w:val="0"/>
          <w:bCs w:val="0"/>
          <w:i w:val="0"/>
          <w:iCs w:val="0"/>
          <w:caps w:val="0"/>
          <w:smallCaps w:val="0"/>
          <w:noProof w:val="0"/>
          <w:color w:val="auto"/>
          <w:sz w:val="24"/>
          <w:szCs w:val="24"/>
          <w:lang w:val="en-GB"/>
        </w:rPr>
        <w:t>. Harlow, United Kingdom: Pearson Education Limited.</w:t>
      </w:r>
    </w:p>
    <w:p w:rsidR="6A846E41" w:rsidP="4CA7474E" w:rsidRDefault="6A846E41" w14:paraId="6B8613E5" w14:textId="1686E709">
      <w:pPr>
        <w:pStyle w:val="Normal"/>
        <w:rPr>
          <w:rFonts w:ascii="Calibri" w:hAnsi="Calibri" w:eastAsia="Calibri" w:cs="Calibri"/>
          <w:b w:val="0"/>
          <w:bCs w:val="0"/>
          <w:i w:val="0"/>
          <w:iCs w:val="0"/>
          <w:caps w:val="0"/>
          <w:smallCaps w:val="0"/>
          <w:noProof w:val="0"/>
          <w:color w:val="auto"/>
          <w:sz w:val="24"/>
          <w:szCs w:val="24"/>
          <w:lang w:val="en-GB"/>
        </w:rPr>
      </w:pPr>
      <w:proofErr w:type="spellStart"/>
      <w:r w:rsidRPr="4CA7474E" w:rsidR="6A846E41">
        <w:rPr>
          <w:rFonts w:ascii="Calibri" w:hAnsi="Calibri" w:eastAsia="Calibri" w:cs="Calibri"/>
          <w:b w:val="0"/>
          <w:bCs w:val="0"/>
          <w:i w:val="0"/>
          <w:iCs w:val="0"/>
          <w:caps w:val="0"/>
          <w:smallCaps w:val="0"/>
          <w:noProof w:val="0"/>
          <w:color w:val="auto"/>
          <w:sz w:val="24"/>
          <w:szCs w:val="24"/>
          <w:lang w:val="en-GB"/>
        </w:rPr>
        <w:t>Barhey</w:t>
      </w:r>
      <w:proofErr w:type="spellEnd"/>
      <w:r w:rsidRPr="4CA7474E" w:rsidR="6A846E41">
        <w:rPr>
          <w:rFonts w:ascii="Calibri" w:hAnsi="Calibri" w:eastAsia="Calibri" w:cs="Calibri"/>
          <w:b w:val="0"/>
          <w:bCs w:val="0"/>
          <w:i w:val="0"/>
          <w:iCs w:val="0"/>
          <w:caps w:val="0"/>
          <w:smallCaps w:val="0"/>
          <w:noProof w:val="0"/>
          <w:color w:val="auto"/>
          <w:sz w:val="24"/>
          <w:szCs w:val="24"/>
          <w:lang w:val="en-GB"/>
        </w:rPr>
        <w:t xml:space="preserve">, R. (2019). </w:t>
      </w:r>
      <w:r w:rsidRPr="4CA7474E" w:rsidR="6A846E41">
        <w:rPr>
          <w:rFonts w:ascii="Calibri" w:hAnsi="Calibri" w:eastAsia="Calibri" w:cs="Calibri"/>
          <w:b w:val="0"/>
          <w:bCs w:val="0"/>
          <w:i w:val="1"/>
          <w:iCs w:val="1"/>
          <w:caps w:val="0"/>
          <w:smallCaps w:val="0"/>
          <w:noProof w:val="0"/>
          <w:color w:val="auto"/>
          <w:sz w:val="24"/>
          <w:szCs w:val="24"/>
          <w:lang w:val="en-GB"/>
        </w:rPr>
        <w:t>Assessing the Standard of Care - Junior Doctors</w:t>
      </w:r>
      <w:r w:rsidRPr="4CA7474E" w:rsidR="6A846E41">
        <w:rPr>
          <w:rFonts w:ascii="Calibri" w:hAnsi="Calibri" w:eastAsia="Calibri" w:cs="Calibri"/>
          <w:b w:val="0"/>
          <w:bCs w:val="0"/>
          <w:i w:val="0"/>
          <w:iCs w:val="0"/>
          <w:caps w:val="0"/>
          <w:smallCaps w:val="0"/>
          <w:noProof w:val="0"/>
          <w:color w:val="auto"/>
          <w:sz w:val="24"/>
          <w:szCs w:val="24"/>
          <w:lang w:val="en-GB"/>
        </w:rPr>
        <w:t xml:space="preserve">. [online] The QMLR Archive. Available at: </w:t>
      </w:r>
      <w:hyperlink r:id="R0b27cf2e7b7446ed">
        <w:r w:rsidRPr="4CA7474E" w:rsidR="6A846E41">
          <w:rPr>
            <w:rStyle w:val="Hyperlink"/>
            <w:rFonts w:ascii="Calibri" w:hAnsi="Calibri" w:eastAsia="Calibri" w:cs="Calibri"/>
            <w:b w:val="0"/>
            <w:bCs w:val="0"/>
            <w:i w:val="0"/>
            <w:iCs w:val="0"/>
            <w:caps w:val="0"/>
            <w:smallCaps w:val="0"/>
            <w:noProof w:val="0"/>
            <w:sz w:val="24"/>
            <w:szCs w:val="24"/>
            <w:lang w:val="en-GB"/>
          </w:rPr>
          <w:t>https://1corqmlr.com/2019/11/01/assessing-the-standard-of-care-junior-doctors/</w:t>
        </w:r>
      </w:hyperlink>
      <w:r w:rsidRPr="4CA7474E" w:rsidR="6A846E41">
        <w:rPr>
          <w:rFonts w:ascii="Calibri" w:hAnsi="Calibri" w:eastAsia="Calibri" w:cs="Calibri"/>
          <w:b w:val="0"/>
          <w:bCs w:val="0"/>
          <w:i w:val="0"/>
          <w:iCs w:val="0"/>
          <w:caps w:val="0"/>
          <w:smallCaps w:val="0"/>
          <w:noProof w:val="0"/>
          <w:color w:val="auto"/>
          <w:sz w:val="24"/>
          <w:szCs w:val="24"/>
          <w:lang w:val="en-GB"/>
        </w:rPr>
        <w:t xml:space="preserve"> [Accessed 22 Oct. 2021].</w:t>
      </w:r>
    </w:p>
    <w:p w:rsidR="2135AF45" w:rsidP="4CA7474E" w:rsidRDefault="2135AF45" w14:paraId="2175D13E" w14:textId="57FC78BE">
      <w:pPr>
        <w:pStyle w:val="Normal"/>
        <w:rPr>
          <w:rFonts w:ascii="Calibri" w:hAnsi="Calibri" w:eastAsia="Calibri" w:cs="Calibri"/>
          <w:b w:val="0"/>
          <w:bCs w:val="0"/>
          <w:i w:val="0"/>
          <w:iCs w:val="0"/>
          <w:caps w:val="0"/>
          <w:smallCaps w:val="0"/>
          <w:noProof w:val="0"/>
          <w:color w:val="auto"/>
          <w:sz w:val="24"/>
          <w:szCs w:val="24"/>
          <w:lang w:val="en-GB"/>
        </w:rPr>
      </w:pPr>
      <w:r w:rsidRPr="4CA7474E" w:rsidR="2135AF45">
        <w:rPr>
          <w:rFonts w:ascii="Calibri" w:hAnsi="Calibri" w:eastAsia="Calibri" w:cs="Calibri"/>
          <w:b w:val="0"/>
          <w:bCs w:val="0"/>
          <w:i w:val="0"/>
          <w:iCs w:val="0"/>
          <w:caps w:val="0"/>
          <w:smallCaps w:val="0"/>
          <w:noProof w:val="0"/>
          <w:color w:val="auto"/>
          <w:sz w:val="24"/>
          <w:szCs w:val="24"/>
          <w:lang w:val="en-GB"/>
        </w:rPr>
        <w:t xml:space="preserve">View all posts by John-Paul Swoboda (2017). </w:t>
      </w:r>
      <w:r w:rsidRPr="4CA7474E" w:rsidR="2135AF45">
        <w:rPr>
          <w:rFonts w:ascii="Calibri" w:hAnsi="Calibri" w:eastAsia="Calibri" w:cs="Calibri"/>
          <w:b w:val="0"/>
          <w:bCs w:val="0"/>
          <w:i w:val="1"/>
          <w:iCs w:val="1"/>
          <w:caps w:val="0"/>
          <w:smallCaps w:val="0"/>
          <w:noProof w:val="0"/>
          <w:color w:val="auto"/>
          <w:sz w:val="24"/>
          <w:szCs w:val="24"/>
          <w:lang w:val="en-GB"/>
        </w:rPr>
        <w:t xml:space="preserve">FB v Princess Alexandra Hospital NHS Trust [2017] EWCA </w:t>
      </w:r>
      <w:proofErr w:type="spellStart"/>
      <w:r w:rsidRPr="4CA7474E" w:rsidR="2135AF45">
        <w:rPr>
          <w:rFonts w:ascii="Calibri" w:hAnsi="Calibri" w:eastAsia="Calibri" w:cs="Calibri"/>
          <w:b w:val="0"/>
          <w:bCs w:val="0"/>
          <w:i w:val="1"/>
          <w:iCs w:val="1"/>
          <w:caps w:val="0"/>
          <w:smallCaps w:val="0"/>
          <w:noProof w:val="0"/>
          <w:color w:val="auto"/>
          <w:sz w:val="24"/>
          <w:szCs w:val="24"/>
          <w:lang w:val="en-GB"/>
        </w:rPr>
        <w:t>Civ</w:t>
      </w:r>
      <w:proofErr w:type="spellEnd"/>
      <w:r w:rsidRPr="4CA7474E" w:rsidR="2135AF45">
        <w:rPr>
          <w:rFonts w:ascii="Calibri" w:hAnsi="Calibri" w:eastAsia="Calibri" w:cs="Calibri"/>
          <w:b w:val="0"/>
          <w:bCs w:val="0"/>
          <w:i w:val="1"/>
          <w:iCs w:val="1"/>
          <w:caps w:val="0"/>
          <w:smallCaps w:val="0"/>
          <w:noProof w:val="0"/>
          <w:color w:val="auto"/>
          <w:sz w:val="24"/>
          <w:szCs w:val="24"/>
          <w:lang w:val="en-GB"/>
        </w:rPr>
        <w:t xml:space="preserve"> 334; The spectrum of seniority for professionals in negligence claims</w:t>
      </w:r>
      <w:r w:rsidRPr="4CA7474E" w:rsidR="2135AF45">
        <w:rPr>
          <w:rFonts w:ascii="Calibri" w:hAnsi="Calibri" w:eastAsia="Calibri" w:cs="Calibri"/>
          <w:b w:val="0"/>
          <w:bCs w:val="0"/>
          <w:i w:val="0"/>
          <w:iCs w:val="0"/>
          <w:caps w:val="0"/>
          <w:smallCaps w:val="0"/>
          <w:noProof w:val="0"/>
          <w:color w:val="auto"/>
          <w:sz w:val="24"/>
          <w:szCs w:val="24"/>
          <w:lang w:val="en-GB"/>
        </w:rPr>
        <w:t xml:space="preserve">. [online] Clinical Negligence Law. Available at: </w:t>
      </w:r>
      <w:hyperlink r:id="Rf31718d6d9c44ff6">
        <w:r w:rsidRPr="4CA7474E" w:rsidR="2135AF45">
          <w:rPr>
            <w:rStyle w:val="Hyperlink"/>
            <w:rFonts w:ascii="Calibri" w:hAnsi="Calibri" w:eastAsia="Calibri" w:cs="Calibri"/>
            <w:b w:val="0"/>
            <w:bCs w:val="0"/>
            <w:i w:val="0"/>
            <w:iCs w:val="0"/>
            <w:caps w:val="0"/>
            <w:smallCaps w:val="0"/>
            <w:noProof w:val="0"/>
            <w:sz w:val="24"/>
            <w:szCs w:val="24"/>
            <w:lang w:val="en-GB"/>
          </w:rPr>
          <w:t>https://clinicalnegligence.blog/2017/05/19/fb-v-princess-alexandra-hospital-nhs-trust-2017-ewca-civ-334-the-spectrum-of-seniority-for-professionals-in-negligence-claims/</w:t>
        </w:r>
      </w:hyperlink>
      <w:r w:rsidRPr="4CA7474E" w:rsidR="2135AF45">
        <w:rPr>
          <w:rFonts w:ascii="Calibri" w:hAnsi="Calibri" w:eastAsia="Calibri" w:cs="Calibri"/>
          <w:b w:val="0"/>
          <w:bCs w:val="0"/>
          <w:i w:val="0"/>
          <w:iCs w:val="0"/>
          <w:caps w:val="0"/>
          <w:smallCaps w:val="0"/>
          <w:noProof w:val="0"/>
          <w:sz w:val="24"/>
          <w:szCs w:val="24"/>
          <w:lang w:val="en-GB"/>
        </w:rPr>
        <w:t>. [Accessed 22 Oct. 2021]</w:t>
      </w:r>
    </w:p>
    <w:p w:rsidR="3F2D070F" w:rsidP="4CA7474E" w:rsidRDefault="3F2D070F" w14:paraId="3C4AAC6E" w14:textId="4266A611">
      <w:pPr>
        <w:pStyle w:val="Normal"/>
        <w:rPr>
          <w:rFonts w:ascii="Calibri" w:hAnsi="Calibri" w:eastAsia="Calibri" w:cs="Calibri"/>
          <w:b w:val="0"/>
          <w:bCs w:val="0"/>
          <w:i w:val="0"/>
          <w:iCs w:val="0"/>
          <w:caps w:val="0"/>
          <w:smallCaps w:val="0"/>
          <w:noProof w:val="0"/>
          <w:color w:val="auto"/>
          <w:sz w:val="24"/>
          <w:szCs w:val="24"/>
          <w:lang w:val="en-GB"/>
        </w:rPr>
      </w:pPr>
      <w:r w:rsidRPr="4CA7474E" w:rsidR="3F2D070F">
        <w:rPr>
          <w:rFonts w:ascii="Calibri" w:hAnsi="Calibri" w:eastAsia="Calibri" w:cs="Calibri"/>
          <w:b w:val="0"/>
          <w:bCs w:val="0"/>
          <w:i w:val="0"/>
          <w:iCs w:val="0"/>
          <w:caps w:val="0"/>
          <w:smallCaps w:val="0"/>
          <w:noProof w:val="0"/>
          <w:color w:val="auto"/>
          <w:sz w:val="24"/>
          <w:szCs w:val="24"/>
          <w:lang w:val="en-GB"/>
        </w:rPr>
        <w:t xml:space="preserve">Wilsher v Essex Area Health Authority [1988] Evidence. (n.d.). [online] Available at: </w:t>
      </w:r>
      <w:hyperlink r:id="R3072e876afe146ae">
        <w:r w:rsidRPr="4CA7474E" w:rsidR="3F2D070F">
          <w:rPr>
            <w:rStyle w:val="Hyperlink"/>
            <w:rFonts w:ascii="Calibri" w:hAnsi="Calibri" w:eastAsia="Calibri" w:cs="Calibri"/>
            <w:b w:val="0"/>
            <w:bCs w:val="0"/>
            <w:i w:val="0"/>
            <w:iCs w:val="0"/>
            <w:caps w:val="0"/>
            <w:smallCaps w:val="0"/>
            <w:noProof w:val="0"/>
            <w:sz w:val="24"/>
            <w:szCs w:val="24"/>
            <w:lang w:val="en-GB"/>
          </w:rPr>
          <w:t>https://academicexperts.com/cases/wilsher-v-essex-area-health-authority.pdf</w:t>
        </w:r>
      </w:hyperlink>
      <w:r w:rsidRPr="4CA7474E" w:rsidR="3F2D070F">
        <w:rPr>
          <w:rFonts w:ascii="Calibri" w:hAnsi="Calibri" w:eastAsia="Calibri" w:cs="Calibri"/>
          <w:b w:val="0"/>
          <w:bCs w:val="0"/>
          <w:i w:val="0"/>
          <w:iCs w:val="0"/>
          <w:caps w:val="0"/>
          <w:smallCaps w:val="0"/>
          <w:noProof w:val="0"/>
          <w:color w:val="auto"/>
          <w:sz w:val="24"/>
          <w:szCs w:val="24"/>
          <w:lang w:val="en-GB"/>
        </w:rPr>
        <w:t xml:space="preserve"> [Accessed 22 Oct. 2021].</w:t>
      </w:r>
    </w:p>
    <w:p w:rsidR="24517457" w:rsidP="4CA7474E" w:rsidRDefault="24517457" w14:paraId="38F5AE96" w14:textId="4D24CB4D">
      <w:pPr>
        <w:pStyle w:val="Normal"/>
        <w:rPr>
          <w:rFonts w:ascii="Calibri" w:hAnsi="Calibri" w:eastAsia="Calibri" w:cs="Calibri"/>
          <w:b w:val="0"/>
          <w:bCs w:val="0"/>
          <w:i w:val="0"/>
          <w:iCs w:val="0"/>
          <w:caps w:val="0"/>
          <w:smallCaps w:val="0"/>
          <w:noProof w:val="0"/>
          <w:color w:val="auto"/>
          <w:sz w:val="22"/>
          <w:szCs w:val="22"/>
          <w:lang w:val="en-GB"/>
        </w:rPr>
      </w:pPr>
      <w:r w:rsidRPr="4CA7474E" w:rsidR="24517457">
        <w:rPr>
          <w:rFonts w:ascii="Calibri" w:hAnsi="Calibri" w:eastAsia="Calibri" w:cs="Calibri"/>
          <w:b w:val="0"/>
          <w:bCs w:val="0"/>
          <w:i w:val="0"/>
          <w:iCs w:val="0"/>
          <w:caps w:val="0"/>
          <w:smallCaps w:val="0"/>
          <w:noProof w:val="0"/>
          <w:color w:val="auto"/>
          <w:sz w:val="24"/>
          <w:szCs w:val="24"/>
          <w:lang w:val="en-GB"/>
        </w:rPr>
        <w:t xml:space="preserve">Bailii.org. (2021). </w:t>
      </w:r>
      <w:r w:rsidRPr="4CA7474E" w:rsidR="24517457">
        <w:rPr>
          <w:rFonts w:ascii="Calibri" w:hAnsi="Calibri" w:eastAsia="Calibri" w:cs="Calibri"/>
          <w:b w:val="0"/>
          <w:bCs w:val="0"/>
          <w:i w:val="1"/>
          <w:iCs w:val="1"/>
          <w:caps w:val="0"/>
          <w:smallCaps w:val="0"/>
          <w:noProof w:val="0"/>
          <w:color w:val="auto"/>
          <w:sz w:val="24"/>
          <w:szCs w:val="24"/>
          <w:lang w:val="en-GB"/>
        </w:rPr>
        <w:t>Paris v Stepney BC [1950] UKHL 3 (13 December 1950)</w:t>
      </w:r>
      <w:r w:rsidRPr="4CA7474E" w:rsidR="24517457">
        <w:rPr>
          <w:rFonts w:ascii="Calibri" w:hAnsi="Calibri" w:eastAsia="Calibri" w:cs="Calibri"/>
          <w:b w:val="0"/>
          <w:bCs w:val="0"/>
          <w:i w:val="0"/>
          <w:iCs w:val="0"/>
          <w:caps w:val="0"/>
          <w:smallCaps w:val="0"/>
          <w:noProof w:val="0"/>
          <w:color w:val="auto"/>
          <w:sz w:val="24"/>
          <w:szCs w:val="24"/>
          <w:lang w:val="en-GB"/>
        </w:rPr>
        <w:t xml:space="preserve">. [online] Available at: </w:t>
      </w:r>
      <w:hyperlink r:id="R702d70c476044168">
        <w:r w:rsidRPr="4CA7474E" w:rsidR="24517457">
          <w:rPr>
            <w:rStyle w:val="Hyperlink"/>
            <w:rFonts w:ascii="Calibri" w:hAnsi="Calibri" w:eastAsia="Calibri" w:cs="Calibri"/>
            <w:b w:val="0"/>
            <w:bCs w:val="0"/>
            <w:i w:val="0"/>
            <w:iCs w:val="0"/>
            <w:caps w:val="0"/>
            <w:smallCaps w:val="0"/>
            <w:noProof w:val="0"/>
            <w:sz w:val="24"/>
            <w:szCs w:val="24"/>
            <w:lang w:val="en-GB"/>
          </w:rPr>
          <w:t>http://www.bailii.org/uk/cases/UKHL/1950/3.html</w:t>
        </w:r>
      </w:hyperlink>
      <w:r w:rsidRPr="4CA7474E" w:rsidR="24517457">
        <w:rPr>
          <w:rFonts w:ascii="Calibri" w:hAnsi="Calibri" w:eastAsia="Calibri" w:cs="Calibri"/>
          <w:b w:val="0"/>
          <w:bCs w:val="0"/>
          <w:i w:val="0"/>
          <w:iCs w:val="0"/>
          <w:caps w:val="0"/>
          <w:smallCaps w:val="0"/>
          <w:noProof w:val="0"/>
          <w:color w:val="auto"/>
          <w:sz w:val="24"/>
          <w:szCs w:val="24"/>
          <w:lang w:val="en-GB"/>
        </w:rPr>
        <w:t>[Accessed 22 Oct. 2021].</w:t>
      </w:r>
    </w:p>
    <w:p w:rsidR="0CE5C5D3" w:rsidP="4CA7474E" w:rsidRDefault="0CE5C5D3" w14:paraId="0888E4ED" w14:textId="718C9B61">
      <w:pPr>
        <w:pStyle w:val="Normal"/>
        <w:rPr>
          <w:rFonts w:ascii="Calibri" w:hAnsi="Calibri" w:eastAsia="Calibri" w:cs="Calibri"/>
          <w:b w:val="0"/>
          <w:bCs w:val="0"/>
          <w:i w:val="0"/>
          <w:iCs w:val="0"/>
          <w:caps w:val="0"/>
          <w:smallCaps w:val="0"/>
          <w:noProof w:val="0"/>
          <w:color w:val="auto"/>
          <w:sz w:val="24"/>
          <w:szCs w:val="24"/>
          <w:lang w:val="en-GB"/>
        </w:rPr>
      </w:pPr>
      <w:r w:rsidRPr="4CA7474E" w:rsidR="0CE5C5D3">
        <w:rPr>
          <w:rFonts w:ascii="Calibri" w:hAnsi="Calibri" w:eastAsia="Calibri" w:cs="Calibri"/>
          <w:b w:val="0"/>
          <w:bCs w:val="0"/>
          <w:i w:val="0"/>
          <w:iCs w:val="0"/>
          <w:caps w:val="0"/>
          <w:smallCaps w:val="0"/>
          <w:noProof w:val="0"/>
          <w:color w:val="auto"/>
          <w:sz w:val="24"/>
          <w:szCs w:val="24"/>
          <w:lang w:val="en-GB"/>
        </w:rPr>
        <w:t xml:space="preserve">www.casemine.com. (n.d.). </w:t>
      </w:r>
      <w:r w:rsidRPr="4CA7474E" w:rsidR="0CE5C5D3">
        <w:rPr>
          <w:rFonts w:ascii="Calibri" w:hAnsi="Calibri" w:eastAsia="Calibri" w:cs="Calibri"/>
          <w:b w:val="0"/>
          <w:bCs w:val="0"/>
          <w:i w:val="1"/>
          <w:iCs w:val="1"/>
          <w:caps w:val="0"/>
          <w:smallCaps w:val="0"/>
          <w:noProof w:val="0"/>
          <w:color w:val="auto"/>
          <w:sz w:val="24"/>
          <w:szCs w:val="24"/>
          <w:lang w:val="en-GB"/>
        </w:rPr>
        <w:t xml:space="preserve">Orchard v Lee | [2009] PIQR P16 | England and Wales Court of Appeal (Civil Division) | Judgment | Law | </w:t>
      </w:r>
      <w:proofErr w:type="spellStart"/>
      <w:r w:rsidRPr="4CA7474E" w:rsidR="0CE5C5D3">
        <w:rPr>
          <w:rFonts w:ascii="Calibri" w:hAnsi="Calibri" w:eastAsia="Calibri" w:cs="Calibri"/>
          <w:b w:val="0"/>
          <w:bCs w:val="0"/>
          <w:i w:val="1"/>
          <w:iCs w:val="1"/>
          <w:caps w:val="0"/>
          <w:smallCaps w:val="0"/>
          <w:noProof w:val="0"/>
          <w:color w:val="auto"/>
          <w:sz w:val="24"/>
          <w:szCs w:val="24"/>
          <w:lang w:val="en-GB"/>
        </w:rPr>
        <w:t>CaseMine</w:t>
      </w:r>
      <w:proofErr w:type="spellEnd"/>
      <w:r w:rsidRPr="4CA7474E" w:rsidR="0CE5C5D3">
        <w:rPr>
          <w:rFonts w:ascii="Calibri" w:hAnsi="Calibri" w:eastAsia="Calibri" w:cs="Calibri"/>
          <w:b w:val="0"/>
          <w:bCs w:val="0"/>
          <w:i w:val="0"/>
          <w:iCs w:val="0"/>
          <w:caps w:val="0"/>
          <w:smallCaps w:val="0"/>
          <w:noProof w:val="0"/>
          <w:color w:val="auto"/>
          <w:sz w:val="24"/>
          <w:szCs w:val="24"/>
          <w:lang w:val="en-GB"/>
        </w:rPr>
        <w:t xml:space="preserve">. [online] Available at: </w:t>
      </w:r>
      <w:hyperlink r:id="R9fad934832544197">
        <w:r w:rsidRPr="4CA7474E" w:rsidR="0CE5C5D3">
          <w:rPr>
            <w:rStyle w:val="Hyperlink"/>
            <w:rFonts w:ascii="Calibri" w:hAnsi="Calibri" w:eastAsia="Calibri" w:cs="Calibri"/>
            <w:b w:val="0"/>
            <w:bCs w:val="0"/>
            <w:i w:val="0"/>
            <w:iCs w:val="0"/>
            <w:caps w:val="0"/>
            <w:smallCaps w:val="0"/>
            <w:noProof w:val="0"/>
            <w:sz w:val="24"/>
            <w:szCs w:val="24"/>
            <w:lang w:val="en-GB"/>
          </w:rPr>
          <w:t>https://www.casemine.com/judgement/uk/5a8ff70d60d03e7f57ea6c44</w:t>
        </w:r>
      </w:hyperlink>
      <w:r w:rsidRPr="4CA7474E" w:rsidR="0CE5C5D3">
        <w:rPr>
          <w:rFonts w:ascii="Calibri" w:hAnsi="Calibri" w:eastAsia="Calibri" w:cs="Calibri"/>
          <w:b w:val="0"/>
          <w:bCs w:val="0"/>
          <w:i w:val="0"/>
          <w:iCs w:val="0"/>
          <w:caps w:val="0"/>
          <w:smallCaps w:val="0"/>
          <w:noProof w:val="0"/>
          <w:color w:val="auto"/>
          <w:sz w:val="24"/>
          <w:szCs w:val="24"/>
          <w:lang w:val="en-GB"/>
        </w:rPr>
        <w:t xml:space="preserve"> [Accessed 22 Oct. 2021].</w:t>
      </w:r>
    </w:p>
    <w:p w:rsidR="56771B5A" w:rsidP="4CA7474E" w:rsidRDefault="56771B5A" w14:paraId="0C6190C1" w14:textId="3AEBA2B5">
      <w:pPr>
        <w:pStyle w:val="Normal"/>
        <w:rPr>
          <w:rFonts w:ascii="Calibri" w:hAnsi="Calibri" w:eastAsia="Calibri" w:cs="Calibri"/>
          <w:b w:val="0"/>
          <w:bCs w:val="0"/>
          <w:i w:val="0"/>
          <w:iCs w:val="0"/>
          <w:caps w:val="0"/>
          <w:smallCaps w:val="0"/>
          <w:noProof w:val="0"/>
          <w:color w:val="auto"/>
          <w:sz w:val="24"/>
          <w:szCs w:val="24"/>
          <w:lang w:val="en-GB"/>
        </w:rPr>
      </w:pPr>
      <w:r w:rsidRPr="4CA7474E" w:rsidR="56771B5A">
        <w:rPr>
          <w:rFonts w:ascii="Calibri" w:hAnsi="Calibri" w:eastAsia="Calibri" w:cs="Calibri"/>
          <w:b w:val="0"/>
          <w:bCs w:val="0"/>
          <w:i w:val="0"/>
          <w:iCs w:val="0"/>
          <w:caps w:val="0"/>
          <w:smallCaps w:val="0"/>
          <w:noProof w:val="0"/>
          <w:color w:val="auto"/>
          <w:sz w:val="24"/>
          <w:szCs w:val="24"/>
          <w:lang w:val="en-GB"/>
        </w:rPr>
        <w:t>Healthcare Ethics and Law. (n.d.). Bolam v Friern Hospital Management Committee (19</w:t>
      </w:r>
      <w:r w:rsidRPr="4CA7474E" w:rsidR="43E5051E">
        <w:rPr>
          <w:rFonts w:ascii="Calibri" w:hAnsi="Calibri" w:eastAsia="Calibri" w:cs="Calibri"/>
          <w:b w:val="0"/>
          <w:bCs w:val="0"/>
          <w:i w:val="0"/>
          <w:iCs w:val="0"/>
          <w:caps w:val="0"/>
          <w:smallCaps w:val="0"/>
          <w:noProof w:val="0"/>
          <w:color w:val="auto"/>
          <w:sz w:val="24"/>
          <w:szCs w:val="24"/>
          <w:lang w:val="en-GB"/>
        </w:rPr>
        <w:t xml:space="preserve">57). [online] Available at : </w:t>
      </w:r>
      <w:hyperlink r:id="Rea7541ccfa564163">
        <w:r w:rsidRPr="4CA7474E" w:rsidR="43E5051E">
          <w:rPr>
            <w:rStyle w:val="Hyperlink"/>
            <w:rFonts w:ascii="Calibri" w:hAnsi="Calibri" w:eastAsia="Calibri" w:cs="Calibri"/>
            <w:b w:val="0"/>
            <w:bCs w:val="0"/>
            <w:i w:val="0"/>
            <w:iCs w:val="0"/>
            <w:caps w:val="0"/>
            <w:smallCaps w:val="0"/>
            <w:noProof w:val="0"/>
            <w:sz w:val="24"/>
            <w:szCs w:val="24"/>
            <w:lang w:val="en-GB"/>
          </w:rPr>
          <w:t>https://www.healthcareet</w:t>
        </w:r>
        <w:r w:rsidRPr="4CA7474E" w:rsidR="63915E9F">
          <w:rPr>
            <w:rStyle w:val="Hyperlink"/>
            <w:rFonts w:ascii="Calibri" w:hAnsi="Calibri" w:eastAsia="Calibri" w:cs="Calibri"/>
            <w:b w:val="0"/>
            <w:bCs w:val="0"/>
            <w:i w:val="0"/>
            <w:iCs w:val="0"/>
            <w:caps w:val="0"/>
            <w:smallCaps w:val="0"/>
            <w:noProof w:val="0"/>
            <w:sz w:val="24"/>
            <w:szCs w:val="24"/>
            <w:lang w:val="en-GB"/>
          </w:rPr>
          <w:t>hicsandlaw.co.uk/negligence-1/bloam-v-friern-hospital-managment-committee-1957-bolam-test</w:t>
        </w:r>
      </w:hyperlink>
      <w:r w:rsidR="63915E9F">
        <w:rPr/>
        <w:t xml:space="preserve">  </w:t>
      </w:r>
      <w:r w:rsidRPr="4CA7474E" w:rsidR="63915E9F">
        <w:rPr>
          <w:sz w:val="24"/>
          <w:szCs w:val="24"/>
        </w:rPr>
        <w:t xml:space="preserve">[Accessed </w:t>
      </w:r>
      <w:r w:rsidRPr="4CA7474E" w:rsidR="339740FA">
        <w:rPr>
          <w:sz w:val="24"/>
          <w:szCs w:val="24"/>
        </w:rPr>
        <w:t>22 Oct. 2021]</w:t>
      </w:r>
    </w:p>
    <w:p w:rsidR="4CA7474E" w:rsidP="4CA7474E" w:rsidRDefault="4CA7474E" w14:paraId="5A459EA9" w14:textId="28CD6EF0">
      <w:pPr>
        <w:pStyle w:val="Normal"/>
        <w:rPr>
          <w:rFonts w:ascii="Calibri" w:hAnsi="Calibri" w:eastAsia="Calibri" w:cs="Calibri"/>
          <w:b w:val="0"/>
          <w:bCs w:val="0"/>
          <w:i w:val="0"/>
          <w:iCs w:val="0"/>
          <w:caps w:val="0"/>
          <w:smallCaps w:val="0"/>
          <w:noProof w:val="0"/>
          <w:color w:val="auto"/>
          <w:sz w:val="24"/>
          <w:szCs w:val="24"/>
          <w:lang w:val="en-GB"/>
        </w:rPr>
      </w:pPr>
    </w:p>
    <w:p w:rsidR="4CA7474E" w:rsidP="4CA7474E" w:rsidRDefault="4CA7474E" w14:paraId="66E78431" w14:textId="5528A31D">
      <w:pPr>
        <w:pStyle w:val="Normal"/>
        <w:rPr>
          <w:sz w:val="24"/>
          <w:szCs w:val="24"/>
        </w:rPr>
      </w:pPr>
    </w:p>
    <w:p w:rsidR="3A36336C" w:rsidRDefault="3A36336C" w14:paraId="7FC10665" w14:textId="3972204C">
      <w:r w:rsidRPr="4CA7474E" w:rsidR="3A36336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CA7474E" w:rsidP="4CA7474E" w:rsidRDefault="4CA7474E" w14:paraId="523E6816" w14:textId="72350980">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541491258" textId="474478023" start="692" length="17" invalidationStart="692" invalidationLength="17" id="COJR95Jo"/>
    <int:WordHash hashCode="H9YWE5LnkG3Mjv" id="lSPVAqNf"/>
    <int:ParagraphRange paragraphId="150485429" textId="2132773470" start="99" length="17" invalidationStart="99" invalidationLength="17" id="nJbXhDDx"/>
    <int:ParagraphRange paragraphId="150485429" textId="33647208" start="220" length="6" invalidationStart="220" invalidationLength="6" id="CX8Ihmph"/>
    <int:ParagraphRange paragraphId="150485429" textId="33647208" start="99" length="17" invalidationStart="99" invalidationLength="17" id="ASH3sRgd"/>
    <int:ParagraphRange paragraphId="150485429" textId="295109782" start="220" length="6" invalidationStart="220" invalidationLength="6" id="G4UTouAl"/>
    <int:ParagraphRange paragraphId="150485429" textId="1527573042" start="858" length="17" invalidationStart="858" invalidationLength="17" id="TAUjYE4v"/>
    <int:ParagraphRange paragraphId="150485429" textId="1078854163" start="858" length="17" invalidationStart="858" invalidationLength="17" id="QCmCwxcy"/>
    <int:WordHash hashCode="kuku5Ek2vmv0CX" id="qRQHbOVj"/>
    <int:WordHash hashCode="XhY0YykjaJiESo" id="ZojW9x2g"/>
    <int:WordHash hashCode="f8uMVpiXobtPXa" id="WcnVyasO"/>
    <int:WordHash hashCode="IyYXNFz5azjKDb" id="RI86/eot"/>
  </int:Manifest>
  <int:Observations>
    <int:Content id="COJR95Jo">
      <int:Rejection type="LegacyProofing"/>
    </int:Content>
    <int:Content id="lSPVAqNf">
      <int:Rejection type="LegacyProofing"/>
    </int:Content>
    <int:Content id="nJbXhDDx">
      <int:Rejection type="LegacyProofing"/>
    </int:Content>
    <int:Content id="CX8Ihmph">
      <int:Rejection type="LegacyProofing"/>
    </int:Content>
    <int:Content id="ASH3sRgd">
      <int:Rejection type="LegacyProofing"/>
    </int:Content>
    <int:Content id="G4UTouAl">
      <int:Rejection type="LegacyProofing"/>
    </int:Content>
    <int:Content id="TAUjYE4v">
      <int:Rejection type="LegacyProofing"/>
    </int:Content>
    <int:Content id="QCmCwxcy">
      <int:Rejection type="LegacyProofing"/>
    </int:Content>
    <int:Content id="qRQHbOVj">
      <int:Rejection type="LegacyProofing"/>
    </int:Content>
    <int:Content id="ZojW9x2g">
      <int:Rejection type="LegacyProofing"/>
    </int:Content>
    <int:Content id="WcnVyasO">
      <int:Rejection type="LegacyProofing"/>
    </int:Content>
    <int:Content id="RI86/eot">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AECB1"/>
    <w:rsid w:val="0042A5C0"/>
    <w:rsid w:val="0091CE91"/>
    <w:rsid w:val="01BD8C11"/>
    <w:rsid w:val="023D7F7E"/>
    <w:rsid w:val="027AAAA5"/>
    <w:rsid w:val="02E3D6AF"/>
    <w:rsid w:val="0369390D"/>
    <w:rsid w:val="036E5164"/>
    <w:rsid w:val="03936EDF"/>
    <w:rsid w:val="03A9096E"/>
    <w:rsid w:val="03C44BCA"/>
    <w:rsid w:val="03D94FDF"/>
    <w:rsid w:val="04542262"/>
    <w:rsid w:val="04A41130"/>
    <w:rsid w:val="04AE1A3C"/>
    <w:rsid w:val="0526E698"/>
    <w:rsid w:val="06AD4D42"/>
    <w:rsid w:val="06B1E744"/>
    <w:rsid w:val="075B4465"/>
    <w:rsid w:val="07940ED6"/>
    <w:rsid w:val="07E7C1F9"/>
    <w:rsid w:val="07EF4CCE"/>
    <w:rsid w:val="0843E43D"/>
    <w:rsid w:val="084972FC"/>
    <w:rsid w:val="084DB7A5"/>
    <w:rsid w:val="08528192"/>
    <w:rsid w:val="085DD9B7"/>
    <w:rsid w:val="08A5C5FE"/>
    <w:rsid w:val="08ACC102"/>
    <w:rsid w:val="08B608D3"/>
    <w:rsid w:val="08E977F8"/>
    <w:rsid w:val="091876ED"/>
    <w:rsid w:val="09279385"/>
    <w:rsid w:val="09A3251C"/>
    <w:rsid w:val="0A100973"/>
    <w:rsid w:val="0A526745"/>
    <w:rsid w:val="0A819425"/>
    <w:rsid w:val="0A9FC032"/>
    <w:rsid w:val="0AC363E6"/>
    <w:rsid w:val="0B1F62BB"/>
    <w:rsid w:val="0B855867"/>
    <w:rsid w:val="0BDD66C0"/>
    <w:rsid w:val="0C2C26D3"/>
    <w:rsid w:val="0CBA6952"/>
    <w:rsid w:val="0CC8442B"/>
    <w:rsid w:val="0CE5C5D3"/>
    <w:rsid w:val="0D723094"/>
    <w:rsid w:val="0E29C60A"/>
    <w:rsid w:val="0E47AA18"/>
    <w:rsid w:val="0E4BE431"/>
    <w:rsid w:val="0E7A6AB2"/>
    <w:rsid w:val="0EFAE723"/>
    <w:rsid w:val="0F36BE97"/>
    <w:rsid w:val="0F93DA31"/>
    <w:rsid w:val="0FED4438"/>
    <w:rsid w:val="0FF2D3DE"/>
    <w:rsid w:val="103B7E2C"/>
    <w:rsid w:val="1054A63D"/>
    <w:rsid w:val="1058C98A"/>
    <w:rsid w:val="109D3F2C"/>
    <w:rsid w:val="10AFDFE1"/>
    <w:rsid w:val="10B8FDA9"/>
    <w:rsid w:val="11730DEA"/>
    <w:rsid w:val="118211D7"/>
    <w:rsid w:val="11A70DE6"/>
    <w:rsid w:val="11E306F2"/>
    <w:rsid w:val="12E282D9"/>
    <w:rsid w:val="132B6627"/>
    <w:rsid w:val="1347663B"/>
    <w:rsid w:val="13737D50"/>
    <w:rsid w:val="139857D2"/>
    <w:rsid w:val="13A3EA7A"/>
    <w:rsid w:val="13BE88EE"/>
    <w:rsid w:val="13CE5846"/>
    <w:rsid w:val="13E52C4E"/>
    <w:rsid w:val="14164392"/>
    <w:rsid w:val="1474BCED"/>
    <w:rsid w:val="14E9AC36"/>
    <w:rsid w:val="151D6EB1"/>
    <w:rsid w:val="153FBADB"/>
    <w:rsid w:val="157756F6"/>
    <w:rsid w:val="157B637E"/>
    <w:rsid w:val="15A7E966"/>
    <w:rsid w:val="1606D543"/>
    <w:rsid w:val="161DE26E"/>
    <w:rsid w:val="166306E9"/>
    <w:rsid w:val="1788D5B7"/>
    <w:rsid w:val="181E6EC6"/>
    <w:rsid w:val="1860C3F1"/>
    <w:rsid w:val="18711FE0"/>
    <w:rsid w:val="19BA3F27"/>
    <w:rsid w:val="19FC9452"/>
    <w:rsid w:val="1A3D99CA"/>
    <w:rsid w:val="1ADA4666"/>
    <w:rsid w:val="1B00C7D3"/>
    <w:rsid w:val="1B47B2E3"/>
    <w:rsid w:val="1CB1D45A"/>
    <w:rsid w:val="1CD8B78C"/>
    <w:rsid w:val="1CE38344"/>
    <w:rsid w:val="1D19BB6C"/>
    <w:rsid w:val="1D809324"/>
    <w:rsid w:val="1DC60B60"/>
    <w:rsid w:val="1E6E18CE"/>
    <w:rsid w:val="1E7F79A8"/>
    <w:rsid w:val="1E987C02"/>
    <w:rsid w:val="1EAE1BAC"/>
    <w:rsid w:val="1EDB0A79"/>
    <w:rsid w:val="1F08EBC3"/>
    <w:rsid w:val="1F2A334A"/>
    <w:rsid w:val="1F643B5A"/>
    <w:rsid w:val="20344C63"/>
    <w:rsid w:val="206F22B3"/>
    <w:rsid w:val="210DBB58"/>
    <w:rsid w:val="210E32DB"/>
    <w:rsid w:val="2135AF45"/>
    <w:rsid w:val="21A5B990"/>
    <w:rsid w:val="21BA65F3"/>
    <w:rsid w:val="21BF2160"/>
    <w:rsid w:val="21C47C2B"/>
    <w:rsid w:val="21C75A58"/>
    <w:rsid w:val="21D01CC4"/>
    <w:rsid w:val="227F629F"/>
    <w:rsid w:val="238051D0"/>
    <w:rsid w:val="24517457"/>
    <w:rsid w:val="24D1497F"/>
    <w:rsid w:val="24F388FD"/>
    <w:rsid w:val="25AED2F2"/>
    <w:rsid w:val="25E2DF1A"/>
    <w:rsid w:val="25E9E7D6"/>
    <w:rsid w:val="25FD24CE"/>
    <w:rsid w:val="264EA26F"/>
    <w:rsid w:val="265AE707"/>
    <w:rsid w:val="26E61C5E"/>
    <w:rsid w:val="26F3DA15"/>
    <w:rsid w:val="27014BAE"/>
    <w:rsid w:val="2735452F"/>
    <w:rsid w:val="278E2F2C"/>
    <w:rsid w:val="2814FB14"/>
    <w:rsid w:val="2816676D"/>
    <w:rsid w:val="289D1C0F"/>
    <w:rsid w:val="294AEBF4"/>
    <w:rsid w:val="2964C073"/>
    <w:rsid w:val="29937FCB"/>
    <w:rsid w:val="29966EA8"/>
    <w:rsid w:val="29ACA828"/>
    <w:rsid w:val="29D17FD3"/>
    <w:rsid w:val="2A1AB280"/>
    <w:rsid w:val="2A50B283"/>
    <w:rsid w:val="2A77E0C4"/>
    <w:rsid w:val="2A8A7484"/>
    <w:rsid w:val="2AADDBB9"/>
    <w:rsid w:val="2B1ED923"/>
    <w:rsid w:val="2B24C1DD"/>
    <w:rsid w:val="2B2903DE"/>
    <w:rsid w:val="2B35F33E"/>
    <w:rsid w:val="2B4C9BD6"/>
    <w:rsid w:val="2BB134D9"/>
    <w:rsid w:val="2BF18633"/>
    <w:rsid w:val="2BF77B7B"/>
    <w:rsid w:val="2C49AC1A"/>
    <w:rsid w:val="2C5199A0"/>
    <w:rsid w:val="2CD5B2A1"/>
    <w:rsid w:val="2D4D053A"/>
    <w:rsid w:val="2D67F6B9"/>
    <w:rsid w:val="2DD01E57"/>
    <w:rsid w:val="2DDC2F2A"/>
    <w:rsid w:val="2E01134A"/>
    <w:rsid w:val="2E5679E5"/>
    <w:rsid w:val="2E60317E"/>
    <w:rsid w:val="2E6221E3"/>
    <w:rsid w:val="2E7B78F9"/>
    <w:rsid w:val="2ED3D5E6"/>
    <w:rsid w:val="2EEE6CAC"/>
    <w:rsid w:val="2F7969A1"/>
    <w:rsid w:val="2F7E6EAA"/>
    <w:rsid w:val="2FB2F410"/>
    <w:rsid w:val="2FC592D0"/>
    <w:rsid w:val="30B30444"/>
    <w:rsid w:val="30C4F756"/>
    <w:rsid w:val="30FAA78F"/>
    <w:rsid w:val="3113CFEC"/>
    <w:rsid w:val="31790E34"/>
    <w:rsid w:val="31A8F246"/>
    <w:rsid w:val="3266BCFF"/>
    <w:rsid w:val="327BC86D"/>
    <w:rsid w:val="32A7B2C7"/>
    <w:rsid w:val="32F7857C"/>
    <w:rsid w:val="32FECF99"/>
    <w:rsid w:val="3337C148"/>
    <w:rsid w:val="3362BA24"/>
    <w:rsid w:val="336C33E5"/>
    <w:rsid w:val="339740FA"/>
    <w:rsid w:val="339F4130"/>
    <w:rsid w:val="33DD457B"/>
    <w:rsid w:val="33F4BD9B"/>
    <w:rsid w:val="342F43D1"/>
    <w:rsid w:val="34324851"/>
    <w:rsid w:val="3467A9AE"/>
    <w:rsid w:val="34EE62CD"/>
    <w:rsid w:val="353FFB09"/>
    <w:rsid w:val="35BF6716"/>
    <w:rsid w:val="369ADD65"/>
    <w:rsid w:val="36EF6E01"/>
    <w:rsid w:val="3757BCB5"/>
    <w:rsid w:val="37BEE85A"/>
    <w:rsid w:val="380B326B"/>
    <w:rsid w:val="381362DA"/>
    <w:rsid w:val="381833CA"/>
    <w:rsid w:val="3835E41B"/>
    <w:rsid w:val="38C4252A"/>
    <w:rsid w:val="38D0093B"/>
    <w:rsid w:val="38D7DF5D"/>
    <w:rsid w:val="38F38D16"/>
    <w:rsid w:val="393C8C50"/>
    <w:rsid w:val="39C1D3F0"/>
    <w:rsid w:val="3A36336C"/>
    <w:rsid w:val="3A6BD99C"/>
    <w:rsid w:val="3AA55D87"/>
    <w:rsid w:val="3ABAB232"/>
    <w:rsid w:val="3B292E38"/>
    <w:rsid w:val="3B8A5B54"/>
    <w:rsid w:val="3B8B9FF8"/>
    <w:rsid w:val="3B914F97"/>
    <w:rsid w:val="3B945B41"/>
    <w:rsid w:val="3C812235"/>
    <w:rsid w:val="3CE04C55"/>
    <w:rsid w:val="3CE931DD"/>
    <w:rsid w:val="3DF9DEF5"/>
    <w:rsid w:val="3E038DCB"/>
    <w:rsid w:val="3E7C1CB6"/>
    <w:rsid w:val="3EDBCEA8"/>
    <w:rsid w:val="3F2D070F"/>
    <w:rsid w:val="3F583E63"/>
    <w:rsid w:val="3F6FDFA9"/>
    <w:rsid w:val="3F766751"/>
    <w:rsid w:val="3FDAECB1"/>
    <w:rsid w:val="40A3D28C"/>
    <w:rsid w:val="40DBB45B"/>
    <w:rsid w:val="4117C758"/>
    <w:rsid w:val="4178AB61"/>
    <w:rsid w:val="417C4B89"/>
    <w:rsid w:val="41B3BD78"/>
    <w:rsid w:val="420DF1C8"/>
    <w:rsid w:val="42AC9BBA"/>
    <w:rsid w:val="42C5C417"/>
    <w:rsid w:val="435E0307"/>
    <w:rsid w:val="43D74610"/>
    <w:rsid w:val="43E5051E"/>
    <w:rsid w:val="44392770"/>
    <w:rsid w:val="445B5BFD"/>
    <w:rsid w:val="457CEA41"/>
    <w:rsid w:val="45FCB0BB"/>
    <w:rsid w:val="4609350A"/>
    <w:rsid w:val="4646FB31"/>
    <w:rsid w:val="46764DF1"/>
    <w:rsid w:val="469438D2"/>
    <w:rsid w:val="46EC46F9"/>
    <w:rsid w:val="4765B010"/>
    <w:rsid w:val="477BE990"/>
    <w:rsid w:val="47D21145"/>
    <w:rsid w:val="482CB9D5"/>
    <w:rsid w:val="4893D692"/>
    <w:rsid w:val="48C5E266"/>
    <w:rsid w:val="48C9B4D3"/>
    <w:rsid w:val="494A6E6F"/>
    <w:rsid w:val="49A3FE39"/>
    <w:rsid w:val="49A48DCA"/>
    <w:rsid w:val="49BECF5D"/>
    <w:rsid w:val="4A2B4301"/>
    <w:rsid w:val="4AAE3C79"/>
    <w:rsid w:val="4B0CC6A0"/>
    <w:rsid w:val="4B1C46A2"/>
    <w:rsid w:val="4B256E2B"/>
    <w:rsid w:val="4B924835"/>
    <w:rsid w:val="4BBCAB69"/>
    <w:rsid w:val="4C0DBB75"/>
    <w:rsid w:val="4C0F5C9B"/>
    <w:rsid w:val="4C4092EC"/>
    <w:rsid w:val="4C84B834"/>
    <w:rsid w:val="4CA7474E"/>
    <w:rsid w:val="4D351495"/>
    <w:rsid w:val="4D587BCA"/>
    <w:rsid w:val="4DE63833"/>
    <w:rsid w:val="4E42E43F"/>
    <w:rsid w:val="4E8C5E41"/>
    <w:rsid w:val="4F80DFEA"/>
    <w:rsid w:val="50282EA2"/>
    <w:rsid w:val="50811D36"/>
    <w:rsid w:val="50E2CD15"/>
    <w:rsid w:val="5122CBD6"/>
    <w:rsid w:val="5126E8A8"/>
    <w:rsid w:val="51401780"/>
    <w:rsid w:val="51885FE0"/>
    <w:rsid w:val="51DF660A"/>
    <w:rsid w:val="51E3084E"/>
    <w:rsid w:val="52AD6160"/>
    <w:rsid w:val="52AFD470"/>
    <w:rsid w:val="52DD2CA5"/>
    <w:rsid w:val="53485744"/>
    <w:rsid w:val="54667D6B"/>
    <w:rsid w:val="55B6EBDB"/>
    <w:rsid w:val="55F544F7"/>
    <w:rsid w:val="55F73BE3"/>
    <w:rsid w:val="5608BCEB"/>
    <w:rsid w:val="5639AEA9"/>
    <w:rsid w:val="563E2845"/>
    <w:rsid w:val="565B4880"/>
    <w:rsid w:val="5670038B"/>
    <w:rsid w:val="56771B5A"/>
    <w:rsid w:val="5678897F"/>
    <w:rsid w:val="56D4FADC"/>
    <w:rsid w:val="572B4765"/>
    <w:rsid w:val="57419926"/>
    <w:rsid w:val="57A48D4C"/>
    <w:rsid w:val="58590F59"/>
    <w:rsid w:val="586CA7F0"/>
    <w:rsid w:val="5878B8C3"/>
    <w:rsid w:val="58BB3149"/>
    <w:rsid w:val="58D56440"/>
    <w:rsid w:val="5922328A"/>
    <w:rsid w:val="5928E69C"/>
    <w:rsid w:val="5960C90F"/>
    <w:rsid w:val="5973FE12"/>
    <w:rsid w:val="59B49DF0"/>
    <w:rsid w:val="5A25C3FB"/>
    <w:rsid w:val="5A4233B6"/>
    <w:rsid w:val="5A6DC7CB"/>
    <w:rsid w:val="5ADC2E0E"/>
    <w:rsid w:val="5AF79B57"/>
    <w:rsid w:val="5B29883D"/>
    <w:rsid w:val="5B78B10E"/>
    <w:rsid w:val="5B7AA94C"/>
    <w:rsid w:val="5BC0AAFE"/>
    <w:rsid w:val="5C0D0502"/>
    <w:rsid w:val="5C11B269"/>
    <w:rsid w:val="5C718F50"/>
    <w:rsid w:val="5CD0E6C9"/>
    <w:rsid w:val="5D331C7F"/>
    <w:rsid w:val="5D401210"/>
    <w:rsid w:val="5D5CB09F"/>
    <w:rsid w:val="5E070F57"/>
    <w:rsid w:val="5E09208B"/>
    <w:rsid w:val="5E9F16F9"/>
    <w:rsid w:val="5EDBE974"/>
    <w:rsid w:val="5EF5129B"/>
    <w:rsid w:val="5F47E3FB"/>
    <w:rsid w:val="5F72BC0B"/>
    <w:rsid w:val="5FCC7DF9"/>
    <w:rsid w:val="5FEF3DC5"/>
    <w:rsid w:val="60D9FF99"/>
    <w:rsid w:val="61DC5CE8"/>
    <w:rsid w:val="61FD50B6"/>
    <w:rsid w:val="6217AD83"/>
    <w:rsid w:val="622F7A5A"/>
    <w:rsid w:val="62CDE5C0"/>
    <w:rsid w:val="63666894"/>
    <w:rsid w:val="63915E9F"/>
    <w:rsid w:val="639C659A"/>
    <w:rsid w:val="63FD9957"/>
    <w:rsid w:val="6423C313"/>
    <w:rsid w:val="64691316"/>
    <w:rsid w:val="648ECD07"/>
    <w:rsid w:val="64951479"/>
    <w:rsid w:val="64E39EC3"/>
    <w:rsid w:val="64F9536D"/>
    <w:rsid w:val="65B3E748"/>
    <w:rsid w:val="65FB2BBB"/>
    <w:rsid w:val="662A77A8"/>
    <w:rsid w:val="66F5E3E3"/>
    <w:rsid w:val="673DF9E8"/>
    <w:rsid w:val="674FB7A9"/>
    <w:rsid w:val="67A59907"/>
    <w:rsid w:val="67E309FE"/>
    <w:rsid w:val="686AE985"/>
    <w:rsid w:val="6882CBBA"/>
    <w:rsid w:val="68A01764"/>
    <w:rsid w:val="68D7A0D7"/>
    <w:rsid w:val="6916FD88"/>
    <w:rsid w:val="69932639"/>
    <w:rsid w:val="6A0D6144"/>
    <w:rsid w:val="6A188090"/>
    <w:rsid w:val="6A846E41"/>
    <w:rsid w:val="6AB0EE80"/>
    <w:rsid w:val="6AB2CDE9"/>
    <w:rsid w:val="6ADA41B1"/>
    <w:rsid w:val="6B4EC970"/>
    <w:rsid w:val="6BC23F63"/>
    <w:rsid w:val="6C1A469D"/>
    <w:rsid w:val="6CA0265E"/>
    <w:rsid w:val="6CC3A3BE"/>
    <w:rsid w:val="6CD6ECDA"/>
    <w:rsid w:val="6D12EF10"/>
    <w:rsid w:val="6D477516"/>
    <w:rsid w:val="6D7AC1EF"/>
    <w:rsid w:val="6D83020E"/>
    <w:rsid w:val="6E3CE846"/>
    <w:rsid w:val="6E5929C8"/>
    <w:rsid w:val="6F1ED26F"/>
    <w:rsid w:val="6F3F7373"/>
    <w:rsid w:val="6F62B714"/>
    <w:rsid w:val="6F8DF0C4"/>
    <w:rsid w:val="7028C867"/>
    <w:rsid w:val="702D76B7"/>
    <w:rsid w:val="707F15D8"/>
    <w:rsid w:val="709B5ACB"/>
    <w:rsid w:val="70DCCB8B"/>
    <w:rsid w:val="710273F7"/>
    <w:rsid w:val="7203A10F"/>
    <w:rsid w:val="72187329"/>
    <w:rsid w:val="72319B86"/>
    <w:rsid w:val="723C2DF2"/>
    <w:rsid w:val="729095B5"/>
    <w:rsid w:val="72E1980F"/>
    <w:rsid w:val="72EAB510"/>
    <w:rsid w:val="72F5B40B"/>
    <w:rsid w:val="735B1F59"/>
    <w:rsid w:val="73606929"/>
    <w:rsid w:val="736BAFB3"/>
    <w:rsid w:val="738AC0DF"/>
    <w:rsid w:val="73E2CF06"/>
    <w:rsid w:val="73EBAF27"/>
    <w:rsid w:val="73EDEED0"/>
    <w:rsid w:val="74213535"/>
    <w:rsid w:val="74E5DA51"/>
    <w:rsid w:val="75B593FC"/>
    <w:rsid w:val="75B8D03B"/>
    <w:rsid w:val="75BD0596"/>
    <w:rsid w:val="7625AFD8"/>
    <w:rsid w:val="764178FE"/>
    <w:rsid w:val="766A6FD9"/>
    <w:rsid w:val="76940D1B"/>
    <w:rsid w:val="76B6EF84"/>
    <w:rsid w:val="770414A7"/>
    <w:rsid w:val="77050CA9"/>
    <w:rsid w:val="7795FA91"/>
    <w:rsid w:val="77F5F833"/>
    <w:rsid w:val="7806403A"/>
    <w:rsid w:val="7825F879"/>
    <w:rsid w:val="7833DA4C"/>
    <w:rsid w:val="784F057F"/>
    <w:rsid w:val="7850BC37"/>
    <w:rsid w:val="78A0DD0A"/>
    <w:rsid w:val="7911CDE6"/>
    <w:rsid w:val="7936B79F"/>
    <w:rsid w:val="794A42B8"/>
    <w:rsid w:val="79631311"/>
    <w:rsid w:val="79BA9A56"/>
    <w:rsid w:val="7A23850E"/>
    <w:rsid w:val="7A3CAD6B"/>
    <w:rsid w:val="7AD90FA8"/>
    <w:rsid w:val="7B21DA6D"/>
    <w:rsid w:val="7B3B02CA"/>
    <w:rsid w:val="7B899681"/>
    <w:rsid w:val="7BCB6642"/>
    <w:rsid w:val="7C0E3CBA"/>
    <w:rsid w:val="7C1F8E6D"/>
    <w:rsid w:val="7C6E5861"/>
    <w:rsid w:val="7C746029"/>
    <w:rsid w:val="7C872D8C"/>
    <w:rsid w:val="7CE19EE3"/>
    <w:rsid w:val="7CF73E8D"/>
    <w:rsid w:val="7DDD0A7D"/>
    <w:rsid w:val="7DE56553"/>
    <w:rsid w:val="7DE76A18"/>
    <w:rsid w:val="7E1D5BD7"/>
    <w:rsid w:val="7E597B2F"/>
    <w:rsid w:val="7F1441DB"/>
    <w:rsid w:val="7F158F8D"/>
    <w:rsid w:val="7F17BC07"/>
    <w:rsid w:val="7F3265FC"/>
    <w:rsid w:val="7F4BBD12"/>
    <w:rsid w:val="7F78D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AECB1"/>
  <w15:chartTrackingRefBased/>
  <w15:docId w15:val="{BE8AB907-567C-4334-94B0-3F1DC62FE3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obbsgiroday.com/negligence-law-articles/the-standard-of-care-in-negligence-the-resonable-person/" TargetMode="External" Id="Rd7e25a5058c64775" /><Relationship Type="http://schemas.openxmlformats.org/officeDocument/2006/relationships/hyperlink" Target="https://www.casebriefs.com/blog/law/torts/torts-keyed-to-prosser/negligence/blyth-v-birmingham-waterworks-co/" TargetMode="External" Id="R4ce4744defde4e4c" /><Relationship Type="http://schemas.openxmlformats.org/officeDocument/2006/relationships/hyperlink" Target="https://webstroke.co.uk/law/glasgow-corp-v-muir-1943" TargetMode="External" Id="R9cc6f4d096b74bbd" /><Relationship Type="http://schemas.openxmlformats.org/officeDocument/2006/relationships/hyperlink" Target="https://weirbowen.com/news/overview-of-duty-of-care-standard-of-care-damages-and-causation/" TargetMode="External" Id="Ra1fec5fafac94aea" /><Relationship Type="http://schemas.openxmlformats.org/officeDocument/2006/relationships/hyperlink" Target="https://philosophy-question.com/library/lecture/read/401971-what-is-the-difference-between-objective-and-subjective-standards" TargetMode="External" Id="Rfbc48525ac7f4e32" /><Relationship Type="http://schemas.openxmlformats.org/officeDocument/2006/relationships/hyperlink" Target="https://1corqmlr.com/2019/11/01/assessing-the-standard-of-care-junior-doctors/" TargetMode="External" Id="R0b27cf2e7b7446ed" /><Relationship Type="http://schemas.openxmlformats.org/officeDocument/2006/relationships/hyperlink" Target="https://clinicalnegligence.blog/2017/05/19/fb-v-princess-alexandra-hospital-nhs-trust-2017-ewca-civ-334-the-spectrum-of-seniority-for-professionals-in-negligence-claims/" TargetMode="External" Id="Rf31718d6d9c44ff6" /><Relationship Type="http://schemas.openxmlformats.org/officeDocument/2006/relationships/hyperlink" Target="https://academicexperts.com/cases/wilsher-v-essex-area-health-authority.pdf" TargetMode="External" Id="R3072e876afe146ae" /><Relationship Type="http://schemas.openxmlformats.org/officeDocument/2006/relationships/hyperlink" Target="http://www.bailii.org/uk/cases/UKHL/1950/3.html" TargetMode="External" Id="R702d70c476044168" /><Relationship Type="http://schemas.openxmlformats.org/officeDocument/2006/relationships/hyperlink" Target="https://www.casemine.com/judgement/uk/5a8ff70d60d03e7f57ea6c44" TargetMode="External" Id="R9fad934832544197" /><Relationship Type="http://schemas.openxmlformats.org/officeDocument/2006/relationships/hyperlink" Target="https://www.healthcareethicsandlaw.co.uk/negligence-1/bloam-v-friern-hospital-managment-committee-1957-bolam-test" TargetMode="External" Id="Rea7541ccfa564163" /><Relationship Type="http://schemas.microsoft.com/office/2019/09/relationships/intelligence" Target="/word/intelligence.xml" Id="R368e3737052149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Piller (2000701)</dc:creator>
  <keywords/>
  <dc:description/>
  <lastModifiedBy>Chloe Piller (2000701)</lastModifiedBy>
  <revision>3</revision>
  <dcterms:created xsi:type="dcterms:W3CDTF">2021-11-01T13:33:38.2643898Z</dcterms:created>
  <dcterms:modified xsi:type="dcterms:W3CDTF">2021-11-05T13:47:22.2718405Z</dcterms:modified>
</coreProperties>
</file>