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621E8"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The Role of Consideration in Contract Law</w:t>
      </w:r>
    </w:p>
    <w:p w14:paraId="066F89A1"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 </w:t>
      </w:r>
    </w:p>
    <w:p w14:paraId="7FFF9417"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In contract law, forming a legally binding agreement is a complex process that hinges upon exchanging something valuable between parties. This exchange involves a series of steps, such as the offering of something valuable, its acceptance, and consideration. Consideration is critical to this process, distinguishing a mere promise from an enforceable contract. It is a crucial aspect that ensures that each party involved sacrifices or provides something of worth in exchange for the promise or performance of the other party. This exchange establishes legal obligations that bind all parties involved and ensures the Contract is enforceable in court. Consideration is the bedrock of contract formation, laying the groundwork for the enforceability of contractual agreements. Without consideration, a contract is merely a promise, and any legal obligations would not bind the parties involved. It is a fundamental requirement for the formation of any contract, and it must be present for the agreements to be enforceable. Thus, the exchange of valuable consideration is a crucial step in forming a legally binding agreement, and it plays a vital role in ensuring that all parties involved uphold their legal obligations.</w:t>
      </w:r>
    </w:p>
    <w:p w14:paraId="0AE135D0"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 </w:t>
      </w:r>
    </w:p>
    <w:p w14:paraId="7CDA1EFC"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Formation of a Contract</w:t>
      </w:r>
      <w:r w:rsidRPr="00813E02">
        <w:rPr>
          <w:rFonts w:asciiTheme="majorBidi" w:hAnsiTheme="majorBidi" w:cstheme="majorBidi"/>
          <w:color w:val="0E101A"/>
        </w:rPr>
        <w:t> </w:t>
      </w:r>
    </w:p>
    <w:p w14:paraId="56E3B31D"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785B4C41"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Contract law is a vital aspect of legal processes, where a legally binding agreement arises from exchanging something of value between parties. This exchange, comprising an offer, acceptance, and consideration, constitutes the formation of a contract. Among these components, consideration is pivotal in distinguishing a promise from an enforceable contract. The legal term describes the value or benefit exchanged by the parties involved in a contract. Consideration ensures that each party sacrifices or provides something of value in return for the promise or performance of the other party, thereby creating legal obligations that bind the parties involved. Thus, consideration acts as the cornerstone of contract formation, establishing the basis for the enforceability of contractual agreements. It is worth noting that while consideration can take many forms, the Contract must be enforceable. Without consideration, a contract may be viewed as a mere gift or a promise, which is not legally binding. Therefore, parties must ensure that they provide something of value to each other to create an enforceable agreement.</w:t>
      </w:r>
    </w:p>
    <w:p w14:paraId="618948F4"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 </w:t>
      </w:r>
    </w:p>
    <w:p w14:paraId="6AC0B5D8"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What is Consideration?</w:t>
      </w:r>
    </w:p>
    <w:p w14:paraId="7E0D0D4F"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55C49AD7"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Consideration is a fundamental concept in contract law that refers to the price or value exchanged between parties to a contract. It is the consideration that forms the basis of the enforceability of any agreement, regardless of its form. Consideration reflects the mutual exchange of benefits and detriments between the parties involved in the agreement, and it is the basis of reciprocity in contractual relationships. In simple terms, each party must give something of value, whether a promise, an act, refraining from an action, or even incurring a legal detriment, to obtain something in return. The value exchanged must be sufficient, but it need not be equal. Moreover, the value exchange must be bargained for, not merely a gift. </w:t>
      </w:r>
    </w:p>
    <w:p w14:paraId="72750FC8"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lastRenderedPageBreak/>
        <w:t>The concept of consideration ensures that the parties' mutual intent to be bound by the terms of the agreement is valid and legally enforceable. It validates the parties' agreement to enter the Contract and ensures that the agreement is fair and equitable. Consideration is essential to any contract, and its absence renders the agreement unenforceable. </w:t>
      </w:r>
    </w:p>
    <w:p w14:paraId="0FEB5828"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52A1AA9B"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The concept of consideration is a crucial safeguard in contractual relationships. It ensures that both parties provide something of value to validate the agreement's enforceability. It underscores the principle of reciprocity and reflects a negotiated transaction between the parties involved.</w:t>
      </w:r>
    </w:p>
    <w:p w14:paraId="1F1ADF5E"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64F7D191"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Consideration is a fundamental principle in contract law that refers to exchanging something of value between parties. It can take various forms, each reflecting a unique aspect of mutual obligations and shaping the dynamics of contractual relationships. The four main types of consideration are promise for a promise, promise for performance, performance for performance, and performance for a promise. These types are used in different types of contracts depending on the parties' needs.</w:t>
      </w:r>
    </w:p>
    <w:p w14:paraId="122F9F44"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47FDA348"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These classifications underscore the versatility of consideration, accommodating various scenarios and preferences within contractual agreements. Each type of consideration reflects a unique aspect of the parties' mutual obligations, shaping the dynamics of contractual relationships and reinforcing the principle of reciprocity. Thus, understanding the diverse forms of consideration is essential for crafting effective and legally binding contracts that accurately capture the intentions and obligations of the parties involved.</w:t>
      </w:r>
    </w:p>
    <w:p w14:paraId="686DE81B"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5B6E43AD"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In contract law, valid consideration is essential and must meet specific criteria. Firstly, it must involve a mutual agreement where both parties exchange something valuable. Secondly, the consideration must have legal significance and be deemed valuable by the law. Thirdly, both parties must contribute consideration for a reciprocal arrangement. Lastly, the consideration must possess legal significance and be more adequate that it renders the Contract unenforceable.</w:t>
      </w:r>
    </w:p>
    <w:p w14:paraId="302724F5"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68C18E10"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Compliance with these criteria ensures the validity and enforceability of contractual obligations, safeguarding the interests of all parties involved in the agreement. A bargained-for exchange reflects the voluntary nature of the agreement, while legal value and sufficiency guarantee that the consideration meets legal standards. Mutuality reinforces the principle of reciprocity, emphasizing the bilateral nature of contracts. These criteria ensure that contractual agreements are fair, just, and enforceable under the law.</w:t>
      </w:r>
    </w:p>
    <w:p w14:paraId="6473EB74"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4E1CB3B5"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Issues with Consideration</w:t>
      </w:r>
    </w:p>
    <w:p w14:paraId="3E26F62E"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Consideration is a fundamental concept in contract law, as it refers to the exchange of value between parties that forms the basis of a legally binding agreement. However, despite its importance, consideration faces several challenges and criticisms that require careful consideration to uphold the fairness and validity of contractual arrangements.</w:t>
      </w:r>
    </w:p>
    <w:p w14:paraId="77BF0ADD"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7710BD6A"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lastRenderedPageBreak/>
        <w:t>Firstly, courts typically do not assess the adequacy of consideration, but extreme inadequacy may signal issues such as duress, fraud, or unconscionability, potentially rendering the Contract unenforceable. In such cases, the court may determine that the consideration exchanged is insufficient to justify the contractual obligations and may invalidate the agreement.</w:t>
      </w:r>
    </w:p>
    <w:p w14:paraId="583F7288"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1519C252"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xml:space="preserve">Secondly, consideration must be exchanged for a promise or performance during contract formation. Past consideration, actions completed before the Contract, is generally invalid unless explicitly requested by the promisor, ensuring </w:t>
      </w:r>
      <w:proofErr w:type="gramStart"/>
      <w:r w:rsidRPr="00813E02">
        <w:rPr>
          <w:rFonts w:asciiTheme="majorBidi" w:hAnsiTheme="majorBidi" w:cstheme="majorBidi"/>
          <w:color w:val="0E101A"/>
        </w:rPr>
        <w:t>fairness</w:t>
      </w:r>
      <w:proofErr w:type="gramEnd"/>
      <w:r w:rsidRPr="00813E02">
        <w:rPr>
          <w:rFonts w:asciiTheme="majorBidi" w:hAnsiTheme="majorBidi" w:cstheme="majorBidi"/>
          <w:color w:val="0E101A"/>
        </w:rPr>
        <w:t xml:space="preserve"> and preventing exploitation. This means that the consideration provided must be contemporaneous with the promise made rather than something that has already occurred in the past.</w:t>
      </w:r>
    </w:p>
    <w:p w14:paraId="18408162"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7DB04BEA"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Finally, a promise to fulfil an existing legal obligation typically constitutes valid consideration if the Contract is modified or additional consideration is provided. This prevents parties from leveraging pre-existing duties for additional benefits without fair compensation, maintaining the integrity of contractual agreements.</w:t>
      </w:r>
    </w:p>
    <w:p w14:paraId="6F5D3C80"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66E6FB4D"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These issues highlight the complexities surrounding consideration and the need for scrutiny to uphold the fairness and validity of contractual arrangements. Contract law seeks to maintain equity and justice in commercial transactions by addressing these challenges while promoting confidence and stability in contractual relationships. Therefore, it is essential to understand the intricacies of consideration to ensure that contractual obligations are legally binding and enforceable.</w:t>
      </w:r>
    </w:p>
    <w:p w14:paraId="46439C1A"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Point: While consideration is a fundamental aspect of contract law, it has issues and criticisms.</w:t>
      </w:r>
    </w:p>
    <w:p w14:paraId="2AC87733" w14:textId="545A5992"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xml:space="preserve">Evidence: One notable issue is the doctrine of nominal consideration, exemplified by the "peppercorn" rule. This rule states that even a minimal or trivial amount of consideration, such as a single peppercorn, can create a binding contract </w:t>
      </w:r>
      <w:r w:rsidR="00A76C47">
        <w:rPr>
          <w:rFonts w:asciiTheme="majorBidi" w:hAnsiTheme="majorBidi" w:cstheme="majorBidi"/>
          <w:color w:val="0E101A"/>
        </w:rPr>
        <w:t>(</w:t>
      </w:r>
      <w:r w:rsidR="00A76C47" w:rsidRPr="00A76C47">
        <w:rPr>
          <w:rStyle w:val="Strong"/>
          <w:rFonts w:asciiTheme="majorBidi" w:eastAsiaTheme="majorEastAsia" w:hAnsiTheme="majorBidi" w:cstheme="majorBidi"/>
          <w:b w:val="0"/>
          <w:bCs w:val="0"/>
          <w:color w:val="0D0D0D"/>
          <w:shd w:val="clear" w:color="auto" w:fill="FFFFFF"/>
        </w:rPr>
        <w:t>Chappell &amp; Co Ltd v Nestle Co Ltd [1960</w:t>
      </w:r>
      <w:proofErr w:type="gramStart"/>
      <w:r w:rsidR="00A76C47" w:rsidRPr="00A76C47">
        <w:rPr>
          <w:rStyle w:val="Strong"/>
          <w:rFonts w:asciiTheme="majorBidi" w:eastAsiaTheme="majorEastAsia" w:hAnsiTheme="majorBidi" w:cstheme="majorBidi"/>
          <w:b w:val="0"/>
          <w:bCs w:val="0"/>
          <w:color w:val="0D0D0D"/>
          <w:shd w:val="clear" w:color="auto" w:fill="FFFFFF"/>
        </w:rPr>
        <w:t xml:space="preserve">] </w:t>
      </w:r>
      <w:r w:rsidR="00A76C47">
        <w:rPr>
          <w:rStyle w:val="Strong"/>
          <w:rFonts w:asciiTheme="majorBidi" w:eastAsiaTheme="majorEastAsia" w:hAnsiTheme="majorBidi" w:cstheme="majorBidi"/>
          <w:b w:val="0"/>
          <w:bCs w:val="0"/>
          <w:color w:val="0D0D0D"/>
          <w:shd w:val="clear" w:color="auto" w:fill="FFFFFF"/>
        </w:rPr>
        <w:t>)</w:t>
      </w:r>
      <w:proofErr w:type="gramEnd"/>
      <w:r w:rsidR="00A76C47">
        <w:rPr>
          <w:rStyle w:val="Strong"/>
          <w:rFonts w:asciiTheme="majorBidi" w:eastAsiaTheme="majorEastAsia" w:hAnsiTheme="majorBidi" w:cstheme="majorBidi"/>
          <w:b w:val="0"/>
          <w:bCs w:val="0"/>
          <w:color w:val="0D0D0D"/>
          <w:shd w:val="clear" w:color="auto" w:fill="FFFFFF"/>
        </w:rPr>
        <w:t>.</w:t>
      </w:r>
    </w:p>
    <w:p w14:paraId="6791ACA0"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Explain: Critics argue that this rule can lead to situations where consideration lacks value or substance, potentially undermining the integrity of contractual agreements. In such cases, the nominal consideration may not reflect a genuine value exchange or mutual assent between the parties.</w:t>
      </w:r>
    </w:p>
    <w:p w14:paraId="5A9872CE"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Link: Despite the importance of consideration in contract formation, nominal consideration raises questions about the fairness and validity of contractual arrangements. Therefore, while consideration is a cornerstone of contract law, its application and interpretation, particularly in nominal considerations, warrant careful examination to ensure equitable outcomes.</w:t>
      </w:r>
    </w:p>
    <w:p w14:paraId="25792C45"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 </w:t>
      </w:r>
    </w:p>
    <w:p w14:paraId="34A407F8"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Reform Suggestions</w:t>
      </w:r>
    </w:p>
    <w:p w14:paraId="13D271B7"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Several reform suggestions have been proposed:</w:t>
      </w:r>
    </w:p>
    <w:p w14:paraId="0B612AF0"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29B8E82B"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Expansion of Promissory Estoppel</w:t>
      </w:r>
      <w:r w:rsidRPr="00813E02">
        <w:rPr>
          <w:rFonts w:asciiTheme="majorBidi" w:hAnsiTheme="majorBidi" w:cstheme="majorBidi"/>
          <w:color w:val="0E101A"/>
        </w:rPr>
        <w:t xml:space="preserve">: A proposal to extend the doctrine of promissory estoppel would allow the enforcement of promises even without consideration in specific scenarios where denying enforcement would result in injustice (Atiyah, 2005). This </w:t>
      </w:r>
      <w:r w:rsidRPr="00813E02">
        <w:rPr>
          <w:rFonts w:asciiTheme="majorBidi" w:hAnsiTheme="majorBidi" w:cstheme="majorBidi"/>
          <w:color w:val="0E101A"/>
        </w:rPr>
        <w:lastRenderedPageBreak/>
        <w:t>expansion would provide additional protection to parties who reasonably rely on promises made without formal consideration, promoting fairness and equity in contractual relationships.</w:t>
      </w:r>
    </w:p>
    <w:p w14:paraId="35AF8F31"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2B150EEA"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Legislative Intervention</w:t>
      </w:r>
      <w:r w:rsidRPr="00813E02">
        <w:rPr>
          <w:rFonts w:asciiTheme="majorBidi" w:hAnsiTheme="majorBidi" w:cstheme="majorBidi"/>
          <w:color w:val="0E101A"/>
        </w:rPr>
        <w:t>: Another approach involves providing more precise guidelines on what constitutes valid consideration and specifying exceptions to the general rule (McKendrick, 2018). More explicit legislation would offer more certainty to parties entering contracts and help address ambiguity and inconsistency in applying consideration principles.</w:t>
      </w:r>
    </w:p>
    <w:p w14:paraId="61E9DEC1"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64137158"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Flexibility in Pre-existing Duties</w:t>
      </w:r>
      <w:r w:rsidRPr="00813E02">
        <w:rPr>
          <w:rFonts w:asciiTheme="majorBidi" w:hAnsiTheme="majorBidi" w:cstheme="majorBidi"/>
          <w:color w:val="0E101A"/>
        </w:rPr>
        <w:t>: Courts could adopt a more flexible approach towards pre-existing duties, allowing for the enforcement of modifications without requiring additional consideration in certain circumstances (Burrows et al., 2018). This would enable parties to amend contracts without facing the burden of providing additional consideration, facilitating smoother contract modifications while maintaining fairness and practicality.</w:t>
      </w:r>
    </w:p>
    <w:p w14:paraId="58F03800"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These reform suggestions aim to enhance the effectiveness and fairness of consideration within contract law, addressing existing challenges and promoting a more equitable legal framework for contractual agreements.</w:t>
      </w:r>
    </w:p>
    <w:p w14:paraId="12A13B95"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 </w:t>
      </w:r>
    </w:p>
    <w:p w14:paraId="4E7785F7"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 </w:t>
      </w:r>
    </w:p>
    <w:p w14:paraId="5A5B2F78"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 </w:t>
      </w:r>
    </w:p>
    <w:p w14:paraId="7738E728"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Style w:val="Strong"/>
          <w:rFonts w:asciiTheme="majorBidi" w:eastAsiaTheme="majorEastAsia" w:hAnsiTheme="majorBidi" w:cstheme="majorBidi"/>
          <w:color w:val="0E101A"/>
        </w:rPr>
        <w:t>Conclusion</w:t>
      </w:r>
    </w:p>
    <w:p w14:paraId="5D08DE31"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 </w:t>
      </w:r>
    </w:p>
    <w:p w14:paraId="3840F6F6"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Consideration is the cornerstone of contract law, facilitating the formation of legally binding agreements by exchanging valuable promises, acts, or forbearances between parties. It is the essence of reciprocity, ensuring fairness and equity in contractual relationships by establishing mutual obligations that bind the involved parties.</w:t>
      </w:r>
    </w:p>
    <w:p w14:paraId="2F4F0A31"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Throughout this exploration, we have delved into the significance of consideration, its various forms, and validity criteria and encountered challenges within its application. Despite its pivotal role, consideration has faced criticisms and encountered complexities, particularly concerning adequacy, past consideration, and pre-existing duties.</w:t>
      </w:r>
    </w:p>
    <w:p w14:paraId="0646D6F1"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In response to these challenges, reform suggestions have been proposed, ranging from expanding promissory estoppel to legislative intervention and flexibility in addressing pre-existing duties. These suggestions aim to enhance the fairness and effectiveness of consideration within contract law, promoting confidence and stability in contractual relationships.</w:t>
      </w:r>
    </w:p>
    <w:p w14:paraId="66B0868F" w14:textId="77777777" w:rsidR="00813E02" w:rsidRPr="00813E02" w:rsidRDefault="00813E02" w:rsidP="00813E02">
      <w:pPr>
        <w:pStyle w:val="NormalWeb"/>
        <w:spacing w:before="0" w:beforeAutospacing="0" w:after="0" w:afterAutospacing="0" w:line="276" w:lineRule="auto"/>
        <w:rPr>
          <w:rFonts w:asciiTheme="majorBidi" w:hAnsiTheme="majorBidi" w:cstheme="majorBidi"/>
          <w:color w:val="0E101A"/>
        </w:rPr>
      </w:pPr>
      <w:r w:rsidRPr="00813E02">
        <w:rPr>
          <w:rFonts w:asciiTheme="majorBidi" w:hAnsiTheme="majorBidi" w:cstheme="majorBidi"/>
          <w:color w:val="0E101A"/>
        </w:rPr>
        <w:t>Ultimately, consideration remains integral to the fabric of contract law, shaping the rights and obligations of parties in contractual agreements. As the legal landscape evolves, continued scrutiny and adaptation of consideration principles will be essential to ensure its continued relevance and effectiveness in the ever-changing world of commerce and law.</w:t>
      </w:r>
    </w:p>
    <w:p w14:paraId="49BEA207" w14:textId="77777777" w:rsidR="00F26976" w:rsidRPr="00813E02" w:rsidRDefault="00F26976" w:rsidP="00813E02">
      <w:pPr>
        <w:pStyle w:val="NormalWeb"/>
        <w:spacing w:before="0" w:beforeAutospacing="0" w:after="0" w:afterAutospacing="0" w:line="276" w:lineRule="auto"/>
        <w:rPr>
          <w:rFonts w:asciiTheme="majorBidi" w:hAnsiTheme="majorBidi" w:cstheme="majorBidi"/>
          <w:color w:val="0E101A"/>
        </w:rPr>
      </w:pPr>
    </w:p>
    <w:p w14:paraId="7D12C049" w14:textId="77777777" w:rsidR="0099265F" w:rsidRPr="006331AB" w:rsidRDefault="0099265F" w:rsidP="0099265F">
      <w:pPr>
        <w:pStyle w:val="NormalWeb"/>
        <w:spacing w:before="0" w:beforeAutospacing="0" w:after="0" w:afterAutospacing="0" w:line="276" w:lineRule="auto"/>
        <w:rPr>
          <w:rStyle w:val="Strong"/>
          <w:rFonts w:asciiTheme="majorBidi" w:eastAsiaTheme="majorEastAsia" w:hAnsiTheme="majorBidi" w:cstheme="majorBidi"/>
          <w:color w:val="0E101A"/>
        </w:rPr>
      </w:pPr>
    </w:p>
    <w:p w14:paraId="4C9193EA" w14:textId="77777777" w:rsidR="0099265F" w:rsidRDefault="0099265F" w:rsidP="0099265F">
      <w:pPr>
        <w:pStyle w:val="NormalWeb"/>
        <w:spacing w:before="0" w:beforeAutospacing="0" w:after="0" w:afterAutospacing="0" w:line="276" w:lineRule="auto"/>
        <w:rPr>
          <w:rStyle w:val="Strong"/>
          <w:rFonts w:asciiTheme="majorBidi" w:eastAsiaTheme="majorEastAsia" w:hAnsiTheme="majorBidi" w:cstheme="majorBidi"/>
          <w:color w:val="0E101A"/>
        </w:rPr>
      </w:pPr>
    </w:p>
    <w:p w14:paraId="5FB14625" w14:textId="77777777" w:rsidR="0099265F" w:rsidRDefault="0099265F" w:rsidP="0099265F">
      <w:pPr>
        <w:pStyle w:val="NormalWeb"/>
        <w:spacing w:before="0" w:beforeAutospacing="0" w:after="0" w:afterAutospacing="0" w:line="276" w:lineRule="auto"/>
        <w:rPr>
          <w:rStyle w:val="Strong"/>
          <w:rFonts w:asciiTheme="majorBidi" w:eastAsiaTheme="majorEastAsia" w:hAnsiTheme="majorBidi" w:cstheme="majorBidi"/>
          <w:color w:val="0E101A"/>
        </w:rPr>
      </w:pPr>
    </w:p>
    <w:p w14:paraId="0D5EB2DD" w14:textId="5E06A565" w:rsidR="00E67287" w:rsidRPr="00E67287" w:rsidRDefault="00E67287" w:rsidP="00E67287">
      <w:pPr>
        <w:spacing w:after="240" w:line="360" w:lineRule="auto"/>
        <w:outlineLvl w:val="0"/>
        <w:rPr>
          <w:rFonts w:ascii="Times New Roman" w:eastAsia="Times New Roman" w:hAnsi="Times New Roman" w:cs="Times New Roman"/>
          <w:b/>
          <w:bCs/>
          <w:kern w:val="36"/>
          <w:sz w:val="36"/>
          <w:szCs w:val="36"/>
          <w:lang w:eastAsia="en-GB"/>
          <w14:ligatures w14:val="none"/>
        </w:rPr>
      </w:pPr>
      <w:r w:rsidRPr="00E67287">
        <w:rPr>
          <w:rFonts w:ascii="Times New Roman" w:eastAsia="Times New Roman" w:hAnsi="Times New Roman" w:cs="Times New Roman"/>
          <w:b/>
          <w:bCs/>
          <w:kern w:val="36"/>
          <w:sz w:val="36"/>
          <w:szCs w:val="36"/>
          <w:lang w:eastAsia="en-GB"/>
          <w14:ligatures w14:val="none"/>
        </w:rPr>
        <w:lastRenderedPageBreak/>
        <w:t>Reference list</w:t>
      </w:r>
    </w:p>
    <w:p w14:paraId="05009038"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r w:rsidRPr="00E67287">
        <w:rPr>
          <w:rFonts w:ascii="Times New Roman" w:eastAsia="Times New Roman" w:hAnsi="Times New Roman" w:cs="Times New Roman"/>
          <w:kern w:val="0"/>
          <w:sz w:val="24"/>
          <w:szCs w:val="24"/>
          <w:lang w:eastAsia="en-GB"/>
          <w14:ligatures w14:val="none"/>
        </w:rPr>
        <w:t xml:space="preserve">Atiyah, P.S. (1995). </w:t>
      </w:r>
      <w:r w:rsidRPr="00E67287">
        <w:rPr>
          <w:rFonts w:ascii="Times New Roman" w:eastAsia="Times New Roman" w:hAnsi="Times New Roman" w:cs="Times New Roman"/>
          <w:i/>
          <w:iCs/>
          <w:kern w:val="0"/>
          <w:sz w:val="24"/>
          <w:szCs w:val="24"/>
          <w:lang w:eastAsia="en-GB"/>
          <w14:ligatures w14:val="none"/>
        </w:rPr>
        <w:t>An introduction to the Law of contract</w:t>
      </w:r>
      <w:r w:rsidRPr="00E67287">
        <w:rPr>
          <w:rFonts w:ascii="Times New Roman" w:eastAsia="Times New Roman" w:hAnsi="Times New Roman" w:cs="Times New Roman"/>
          <w:kern w:val="0"/>
          <w:sz w:val="24"/>
          <w:szCs w:val="24"/>
          <w:lang w:eastAsia="en-GB"/>
          <w14:ligatures w14:val="none"/>
        </w:rPr>
        <w:t>. Oxford: Clarendon Press.</w:t>
      </w:r>
    </w:p>
    <w:p w14:paraId="01A97636"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r w:rsidRPr="00E67287">
        <w:rPr>
          <w:rFonts w:ascii="Times New Roman" w:eastAsia="Times New Roman" w:hAnsi="Times New Roman" w:cs="Times New Roman"/>
          <w:kern w:val="0"/>
          <w:sz w:val="24"/>
          <w:szCs w:val="24"/>
          <w:lang w:eastAsia="en-GB"/>
          <w14:ligatures w14:val="none"/>
        </w:rPr>
        <w:t xml:space="preserve">Beale, H.G., Bishop, W.D. and </w:t>
      </w:r>
      <w:proofErr w:type="spellStart"/>
      <w:r w:rsidRPr="00E67287">
        <w:rPr>
          <w:rFonts w:ascii="Times New Roman" w:eastAsia="Times New Roman" w:hAnsi="Times New Roman" w:cs="Times New Roman"/>
          <w:kern w:val="0"/>
          <w:sz w:val="24"/>
          <w:szCs w:val="24"/>
          <w:lang w:eastAsia="en-GB"/>
          <w14:ligatures w14:val="none"/>
        </w:rPr>
        <w:t>Furmston</w:t>
      </w:r>
      <w:proofErr w:type="spellEnd"/>
      <w:r w:rsidRPr="00E67287">
        <w:rPr>
          <w:rFonts w:ascii="Times New Roman" w:eastAsia="Times New Roman" w:hAnsi="Times New Roman" w:cs="Times New Roman"/>
          <w:kern w:val="0"/>
          <w:sz w:val="24"/>
          <w:szCs w:val="24"/>
          <w:lang w:eastAsia="en-GB"/>
          <w14:ligatures w14:val="none"/>
        </w:rPr>
        <w:t xml:space="preserve">, M.P. (2008). </w:t>
      </w:r>
      <w:proofErr w:type="gramStart"/>
      <w:r w:rsidRPr="00E67287">
        <w:rPr>
          <w:rFonts w:ascii="Times New Roman" w:eastAsia="Times New Roman" w:hAnsi="Times New Roman" w:cs="Times New Roman"/>
          <w:i/>
          <w:iCs/>
          <w:kern w:val="0"/>
          <w:sz w:val="24"/>
          <w:szCs w:val="24"/>
          <w:lang w:eastAsia="en-GB"/>
          <w14:ligatures w14:val="none"/>
        </w:rPr>
        <w:t>Contract :</w:t>
      </w:r>
      <w:proofErr w:type="gramEnd"/>
      <w:r w:rsidRPr="00E67287">
        <w:rPr>
          <w:rFonts w:ascii="Times New Roman" w:eastAsia="Times New Roman" w:hAnsi="Times New Roman" w:cs="Times New Roman"/>
          <w:i/>
          <w:iCs/>
          <w:kern w:val="0"/>
          <w:sz w:val="24"/>
          <w:szCs w:val="24"/>
          <w:lang w:eastAsia="en-GB"/>
          <w14:ligatures w14:val="none"/>
        </w:rPr>
        <w:t xml:space="preserve"> Cases and materials</w:t>
      </w:r>
      <w:r w:rsidRPr="00E67287">
        <w:rPr>
          <w:rFonts w:ascii="Times New Roman" w:eastAsia="Times New Roman" w:hAnsi="Times New Roman" w:cs="Times New Roman"/>
          <w:kern w:val="0"/>
          <w:sz w:val="24"/>
          <w:szCs w:val="24"/>
          <w:lang w:eastAsia="en-GB"/>
          <w14:ligatures w14:val="none"/>
        </w:rPr>
        <w:t>. Oxford: Oxford University Press.</w:t>
      </w:r>
    </w:p>
    <w:p w14:paraId="5D289C21"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r w:rsidRPr="00E67287">
        <w:rPr>
          <w:rFonts w:ascii="Times New Roman" w:eastAsia="Times New Roman" w:hAnsi="Times New Roman" w:cs="Times New Roman"/>
          <w:kern w:val="0"/>
          <w:sz w:val="24"/>
          <w:szCs w:val="24"/>
          <w:lang w:eastAsia="en-GB"/>
          <w14:ligatures w14:val="none"/>
        </w:rPr>
        <w:t xml:space="preserve">Cartwright, J. (2016). </w:t>
      </w:r>
      <w:r w:rsidRPr="00E67287">
        <w:rPr>
          <w:rFonts w:ascii="Times New Roman" w:eastAsia="Times New Roman" w:hAnsi="Times New Roman" w:cs="Times New Roman"/>
          <w:i/>
          <w:iCs/>
          <w:kern w:val="0"/>
          <w:sz w:val="24"/>
          <w:szCs w:val="24"/>
          <w:lang w:eastAsia="en-GB"/>
          <w14:ligatures w14:val="none"/>
        </w:rPr>
        <w:t>Contract Law</w:t>
      </w:r>
      <w:r w:rsidRPr="00E67287">
        <w:rPr>
          <w:rFonts w:ascii="Times New Roman" w:eastAsia="Times New Roman" w:hAnsi="Times New Roman" w:cs="Times New Roman"/>
          <w:kern w:val="0"/>
          <w:sz w:val="24"/>
          <w:szCs w:val="24"/>
          <w:lang w:eastAsia="en-GB"/>
          <w14:ligatures w14:val="none"/>
        </w:rPr>
        <w:t>. Bloomsbury Publishing.</w:t>
      </w:r>
    </w:p>
    <w:p w14:paraId="79FA85C3"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r w:rsidRPr="00E67287">
        <w:rPr>
          <w:rFonts w:ascii="Times New Roman" w:eastAsia="Times New Roman" w:hAnsi="Times New Roman" w:cs="Times New Roman"/>
          <w:kern w:val="0"/>
          <w:sz w:val="24"/>
          <w:szCs w:val="24"/>
          <w:lang w:eastAsia="en-GB"/>
          <w14:ligatures w14:val="none"/>
        </w:rPr>
        <w:t xml:space="preserve">Cartwright, J. and Martijn Willem Hesselink (2008). </w:t>
      </w:r>
      <w:r w:rsidRPr="00E67287">
        <w:rPr>
          <w:rFonts w:ascii="Times New Roman" w:eastAsia="Times New Roman" w:hAnsi="Times New Roman" w:cs="Times New Roman"/>
          <w:i/>
          <w:iCs/>
          <w:kern w:val="0"/>
          <w:sz w:val="24"/>
          <w:szCs w:val="24"/>
          <w:lang w:eastAsia="en-GB"/>
          <w14:ligatures w14:val="none"/>
        </w:rPr>
        <w:t>Precontractual liability in European private law</w:t>
      </w:r>
      <w:r w:rsidRPr="00E67287">
        <w:rPr>
          <w:rFonts w:ascii="Times New Roman" w:eastAsia="Times New Roman" w:hAnsi="Times New Roman" w:cs="Times New Roman"/>
          <w:kern w:val="0"/>
          <w:sz w:val="24"/>
          <w:szCs w:val="24"/>
          <w:lang w:eastAsia="en-GB"/>
          <w14:ligatures w14:val="none"/>
        </w:rPr>
        <w:t xml:space="preserve">. Cambridge, </w:t>
      </w:r>
      <w:proofErr w:type="spellStart"/>
      <w:proofErr w:type="gramStart"/>
      <w:r w:rsidRPr="00E67287">
        <w:rPr>
          <w:rFonts w:ascii="Times New Roman" w:eastAsia="Times New Roman" w:hAnsi="Times New Roman" w:cs="Times New Roman"/>
          <w:kern w:val="0"/>
          <w:sz w:val="24"/>
          <w:szCs w:val="24"/>
          <w:lang w:eastAsia="en-GB"/>
          <w14:ligatures w14:val="none"/>
        </w:rPr>
        <w:t>Uk</w:t>
      </w:r>
      <w:proofErr w:type="spellEnd"/>
      <w:r w:rsidRPr="00E67287">
        <w:rPr>
          <w:rFonts w:ascii="Times New Roman" w:eastAsia="Times New Roman" w:hAnsi="Times New Roman" w:cs="Times New Roman"/>
          <w:kern w:val="0"/>
          <w:sz w:val="24"/>
          <w:szCs w:val="24"/>
          <w:lang w:eastAsia="en-GB"/>
          <w14:ligatures w14:val="none"/>
        </w:rPr>
        <w:t xml:space="preserve"> ;</w:t>
      </w:r>
      <w:proofErr w:type="gramEnd"/>
      <w:r w:rsidRPr="00E67287">
        <w:rPr>
          <w:rFonts w:ascii="Times New Roman" w:eastAsia="Times New Roman" w:hAnsi="Times New Roman" w:cs="Times New Roman"/>
          <w:kern w:val="0"/>
          <w:sz w:val="24"/>
          <w:szCs w:val="24"/>
          <w:lang w:eastAsia="en-GB"/>
          <w14:ligatures w14:val="none"/>
        </w:rPr>
        <w:t xml:space="preserve"> New York: Cambridge University Press.</w:t>
      </w:r>
    </w:p>
    <w:p w14:paraId="1AEA8519"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r w:rsidRPr="00E67287">
        <w:rPr>
          <w:rFonts w:ascii="Times New Roman" w:eastAsia="Times New Roman" w:hAnsi="Times New Roman" w:cs="Times New Roman"/>
          <w:kern w:val="0"/>
          <w:sz w:val="24"/>
          <w:szCs w:val="24"/>
          <w:lang w:eastAsia="en-GB"/>
          <w14:ligatures w14:val="none"/>
        </w:rPr>
        <w:t xml:space="preserve">Finch, E. and Fafinski, S. (2018). </w:t>
      </w:r>
      <w:r w:rsidRPr="00E67287">
        <w:rPr>
          <w:rFonts w:ascii="Times New Roman" w:eastAsia="Times New Roman" w:hAnsi="Times New Roman" w:cs="Times New Roman"/>
          <w:i/>
          <w:iCs/>
          <w:kern w:val="0"/>
          <w:sz w:val="24"/>
          <w:szCs w:val="24"/>
          <w:lang w:eastAsia="en-GB"/>
          <w14:ligatures w14:val="none"/>
        </w:rPr>
        <w:t>Law Express: Contract Law</w:t>
      </w:r>
      <w:r w:rsidRPr="00E67287">
        <w:rPr>
          <w:rFonts w:ascii="Times New Roman" w:eastAsia="Times New Roman" w:hAnsi="Times New Roman" w:cs="Times New Roman"/>
          <w:kern w:val="0"/>
          <w:sz w:val="24"/>
          <w:szCs w:val="24"/>
          <w:lang w:eastAsia="en-GB"/>
          <w14:ligatures w14:val="none"/>
        </w:rPr>
        <w:t>. Pearson UK.</w:t>
      </w:r>
    </w:p>
    <w:p w14:paraId="3200E248"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proofErr w:type="spellStart"/>
      <w:r w:rsidRPr="00E67287">
        <w:rPr>
          <w:rFonts w:ascii="Times New Roman" w:eastAsia="Times New Roman" w:hAnsi="Times New Roman" w:cs="Times New Roman"/>
          <w:kern w:val="0"/>
          <w:sz w:val="24"/>
          <w:szCs w:val="24"/>
          <w:lang w:eastAsia="en-GB"/>
          <w14:ligatures w14:val="none"/>
        </w:rPr>
        <w:t>Furmston</w:t>
      </w:r>
      <w:proofErr w:type="spellEnd"/>
      <w:r w:rsidRPr="00E67287">
        <w:rPr>
          <w:rFonts w:ascii="Times New Roman" w:eastAsia="Times New Roman" w:hAnsi="Times New Roman" w:cs="Times New Roman"/>
          <w:kern w:val="0"/>
          <w:sz w:val="24"/>
          <w:szCs w:val="24"/>
          <w:lang w:eastAsia="en-GB"/>
          <w14:ligatures w14:val="none"/>
        </w:rPr>
        <w:t xml:space="preserve">, M.P., Cheshire, G.C. and C H S </w:t>
      </w:r>
      <w:proofErr w:type="spellStart"/>
      <w:r w:rsidRPr="00E67287">
        <w:rPr>
          <w:rFonts w:ascii="Times New Roman" w:eastAsia="Times New Roman" w:hAnsi="Times New Roman" w:cs="Times New Roman"/>
          <w:kern w:val="0"/>
          <w:sz w:val="24"/>
          <w:szCs w:val="24"/>
          <w:lang w:eastAsia="en-GB"/>
          <w14:ligatures w14:val="none"/>
        </w:rPr>
        <w:t>Fifoot</w:t>
      </w:r>
      <w:proofErr w:type="spellEnd"/>
      <w:r w:rsidRPr="00E67287">
        <w:rPr>
          <w:rFonts w:ascii="Times New Roman" w:eastAsia="Times New Roman" w:hAnsi="Times New Roman" w:cs="Times New Roman"/>
          <w:kern w:val="0"/>
          <w:sz w:val="24"/>
          <w:szCs w:val="24"/>
          <w:lang w:eastAsia="en-GB"/>
          <w14:ligatures w14:val="none"/>
        </w:rPr>
        <w:t xml:space="preserve"> (2007). </w:t>
      </w:r>
      <w:r w:rsidRPr="00E67287">
        <w:rPr>
          <w:rFonts w:ascii="Times New Roman" w:eastAsia="Times New Roman" w:hAnsi="Times New Roman" w:cs="Times New Roman"/>
          <w:i/>
          <w:iCs/>
          <w:kern w:val="0"/>
          <w:sz w:val="24"/>
          <w:szCs w:val="24"/>
          <w:lang w:eastAsia="en-GB"/>
          <w14:ligatures w14:val="none"/>
        </w:rPr>
        <w:t xml:space="preserve">Cheshire, </w:t>
      </w:r>
      <w:proofErr w:type="spellStart"/>
      <w:r w:rsidRPr="00E67287">
        <w:rPr>
          <w:rFonts w:ascii="Times New Roman" w:eastAsia="Times New Roman" w:hAnsi="Times New Roman" w:cs="Times New Roman"/>
          <w:i/>
          <w:iCs/>
          <w:kern w:val="0"/>
          <w:sz w:val="24"/>
          <w:szCs w:val="24"/>
          <w:lang w:eastAsia="en-GB"/>
          <w14:ligatures w14:val="none"/>
        </w:rPr>
        <w:t>Fifoot</w:t>
      </w:r>
      <w:proofErr w:type="spellEnd"/>
      <w:r w:rsidRPr="00E67287">
        <w:rPr>
          <w:rFonts w:ascii="Times New Roman" w:eastAsia="Times New Roman" w:hAnsi="Times New Roman" w:cs="Times New Roman"/>
          <w:i/>
          <w:iCs/>
          <w:kern w:val="0"/>
          <w:sz w:val="24"/>
          <w:szCs w:val="24"/>
          <w:lang w:eastAsia="en-GB"/>
          <w14:ligatures w14:val="none"/>
        </w:rPr>
        <w:t xml:space="preserve"> and </w:t>
      </w:r>
      <w:proofErr w:type="spellStart"/>
      <w:r w:rsidRPr="00E67287">
        <w:rPr>
          <w:rFonts w:ascii="Times New Roman" w:eastAsia="Times New Roman" w:hAnsi="Times New Roman" w:cs="Times New Roman"/>
          <w:i/>
          <w:iCs/>
          <w:kern w:val="0"/>
          <w:sz w:val="24"/>
          <w:szCs w:val="24"/>
          <w:lang w:eastAsia="en-GB"/>
          <w14:ligatures w14:val="none"/>
        </w:rPr>
        <w:t>Furmston’s</w:t>
      </w:r>
      <w:proofErr w:type="spellEnd"/>
      <w:r w:rsidRPr="00E67287">
        <w:rPr>
          <w:rFonts w:ascii="Times New Roman" w:eastAsia="Times New Roman" w:hAnsi="Times New Roman" w:cs="Times New Roman"/>
          <w:i/>
          <w:iCs/>
          <w:kern w:val="0"/>
          <w:sz w:val="24"/>
          <w:szCs w:val="24"/>
          <w:lang w:eastAsia="en-GB"/>
          <w14:ligatures w14:val="none"/>
        </w:rPr>
        <w:t xml:space="preserve"> Law of contract</w:t>
      </w:r>
      <w:r w:rsidRPr="00E67287">
        <w:rPr>
          <w:rFonts w:ascii="Times New Roman" w:eastAsia="Times New Roman" w:hAnsi="Times New Roman" w:cs="Times New Roman"/>
          <w:kern w:val="0"/>
          <w:sz w:val="24"/>
          <w:szCs w:val="24"/>
          <w:lang w:eastAsia="en-GB"/>
          <w14:ligatures w14:val="none"/>
        </w:rPr>
        <w:t xml:space="preserve">. </w:t>
      </w:r>
      <w:proofErr w:type="gramStart"/>
      <w:r w:rsidRPr="00E67287">
        <w:rPr>
          <w:rFonts w:ascii="Times New Roman" w:eastAsia="Times New Roman" w:hAnsi="Times New Roman" w:cs="Times New Roman"/>
          <w:kern w:val="0"/>
          <w:sz w:val="24"/>
          <w:szCs w:val="24"/>
          <w:lang w:eastAsia="en-GB"/>
          <w14:ligatures w14:val="none"/>
        </w:rPr>
        <w:t>Oxford ;</w:t>
      </w:r>
      <w:proofErr w:type="gramEnd"/>
      <w:r w:rsidRPr="00E67287">
        <w:rPr>
          <w:rFonts w:ascii="Times New Roman" w:eastAsia="Times New Roman" w:hAnsi="Times New Roman" w:cs="Times New Roman"/>
          <w:kern w:val="0"/>
          <w:sz w:val="24"/>
          <w:szCs w:val="24"/>
          <w:lang w:eastAsia="en-GB"/>
          <w14:ligatures w14:val="none"/>
        </w:rPr>
        <w:t xml:space="preserve"> New York: Oxford University Press.</w:t>
      </w:r>
    </w:p>
    <w:p w14:paraId="66F5A198"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proofErr w:type="spellStart"/>
      <w:r w:rsidRPr="00E67287">
        <w:rPr>
          <w:rFonts w:ascii="Times New Roman" w:eastAsia="Times New Roman" w:hAnsi="Times New Roman" w:cs="Times New Roman"/>
          <w:kern w:val="0"/>
          <w:sz w:val="24"/>
          <w:szCs w:val="24"/>
          <w:lang w:eastAsia="en-GB"/>
          <w14:ligatures w14:val="none"/>
        </w:rPr>
        <w:t>Giliker</w:t>
      </w:r>
      <w:proofErr w:type="spellEnd"/>
      <w:r w:rsidRPr="00E67287">
        <w:rPr>
          <w:rFonts w:ascii="Times New Roman" w:eastAsia="Times New Roman" w:hAnsi="Times New Roman" w:cs="Times New Roman"/>
          <w:kern w:val="0"/>
          <w:sz w:val="24"/>
          <w:szCs w:val="24"/>
          <w:lang w:eastAsia="en-GB"/>
          <w14:ligatures w14:val="none"/>
        </w:rPr>
        <w:t xml:space="preserve">, P. (2021). CODIFICATION, CONSOLIDATION, RESTATEMENT? HOW BEST TO SYSTEMISE THE MODERN LAW OF TORT. </w:t>
      </w:r>
      <w:r w:rsidRPr="00E67287">
        <w:rPr>
          <w:rFonts w:ascii="Times New Roman" w:eastAsia="Times New Roman" w:hAnsi="Times New Roman" w:cs="Times New Roman"/>
          <w:i/>
          <w:iCs/>
          <w:kern w:val="0"/>
          <w:sz w:val="24"/>
          <w:szCs w:val="24"/>
          <w:lang w:eastAsia="en-GB"/>
          <w14:ligatures w14:val="none"/>
        </w:rPr>
        <w:t>International and Comparative Law Quarterly</w:t>
      </w:r>
      <w:r w:rsidRPr="00E67287">
        <w:rPr>
          <w:rFonts w:ascii="Times New Roman" w:eastAsia="Times New Roman" w:hAnsi="Times New Roman" w:cs="Times New Roman"/>
          <w:kern w:val="0"/>
          <w:sz w:val="24"/>
          <w:szCs w:val="24"/>
          <w:lang w:eastAsia="en-GB"/>
          <w14:ligatures w14:val="none"/>
        </w:rPr>
        <w:t xml:space="preserve">, 70(2), pp.271–305. </w:t>
      </w:r>
      <w:proofErr w:type="spellStart"/>
      <w:proofErr w:type="gramStart"/>
      <w:r w:rsidRPr="00E67287">
        <w:rPr>
          <w:rFonts w:ascii="Times New Roman" w:eastAsia="Times New Roman" w:hAnsi="Times New Roman" w:cs="Times New Roman"/>
          <w:kern w:val="0"/>
          <w:sz w:val="24"/>
          <w:szCs w:val="24"/>
          <w:lang w:eastAsia="en-GB"/>
          <w14:ligatures w14:val="none"/>
        </w:rPr>
        <w:t>doi:https</w:t>
      </w:r>
      <w:proofErr w:type="spellEnd"/>
      <w:r w:rsidRPr="00E67287">
        <w:rPr>
          <w:rFonts w:ascii="Times New Roman" w:eastAsia="Times New Roman" w:hAnsi="Times New Roman" w:cs="Times New Roman"/>
          <w:kern w:val="0"/>
          <w:sz w:val="24"/>
          <w:szCs w:val="24"/>
          <w:lang w:eastAsia="en-GB"/>
          <w14:ligatures w14:val="none"/>
        </w:rPr>
        <w:t>://doi.org/10.1017/s0020589321000087</w:t>
      </w:r>
      <w:proofErr w:type="gramEnd"/>
      <w:r w:rsidRPr="00E67287">
        <w:rPr>
          <w:rFonts w:ascii="Times New Roman" w:eastAsia="Times New Roman" w:hAnsi="Times New Roman" w:cs="Times New Roman"/>
          <w:kern w:val="0"/>
          <w:sz w:val="24"/>
          <w:szCs w:val="24"/>
          <w:lang w:eastAsia="en-GB"/>
          <w14:ligatures w14:val="none"/>
        </w:rPr>
        <w:t>.</w:t>
      </w:r>
    </w:p>
    <w:p w14:paraId="78454252"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r w:rsidRPr="00E67287">
        <w:rPr>
          <w:rFonts w:ascii="Times New Roman" w:eastAsia="Times New Roman" w:hAnsi="Times New Roman" w:cs="Times New Roman"/>
          <w:kern w:val="0"/>
          <w:sz w:val="24"/>
          <w:szCs w:val="24"/>
          <w:lang w:eastAsia="en-GB"/>
          <w14:ligatures w14:val="none"/>
        </w:rPr>
        <w:t xml:space="preserve">Graziadei, M. and Smith, L. (2017). </w:t>
      </w:r>
      <w:r w:rsidRPr="00E67287">
        <w:rPr>
          <w:rFonts w:ascii="Times New Roman" w:eastAsia="Times New Roman" w:hAnsi="Times New Roman" w:cs="Times New Roman"/>
          <w:i/>
          <w:iCs/>
          <w:kern w:val="0"/>
          <w:sz w:val="24"/>
          <w:szCs w:val="24"/>
          <w:lang w:eastAsia="en-GB"/>
          <w14:ligatures w14:val="none"/>
        </w:rPr>
        <w:t>Comparative Property Law</w:t>
      </w:r>
      <w:r w:rsidRPr="00E67287">
        <w:rPr>
          <w:rFonts w:ascii="Times New Roman" w:eastAsia="Times New Roman" w:hAnsi="Times New Roman" w:cs="Times New Roman"/>
          <w:kern w:val="0"/>
          <w:sz w:val="24"/>
          <w:szCs w:val="24"/>
          <w:lang w:eastAsia="en-GB"/>
          <w14:ligatures w14:val="none"/>
        </w:rPr>
        <w:t>. Edward Elgar Publishing.</w:t>
      </w:r>
    </w:p>
    <w:p w14:paraId="140E3888"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r w:rsidRPr="00E67287">
        <w:rPr>
          <w:rFonts w:ascii="Times New Roman" w:eastAsia="Times New Roman" w:hAnsi="Times New Roman" w:cs="Times New Roman"/>
          <w:kern w:val="0"/>
          <w:sz w:val="24"/>
          <w:szCs w:val="24"/>
          <w:lang w:eastAsia="en-GB"/>
          <w14:ligatures w14:val="none"/>
        </w:rPr>
        <w:t xml:space="preserve">Hans-W </w:t>
      </w:r>
      <w:proofErr w:type="spellStart"/>
      <w:r w:rsidRPr="00E67287">
        <w:rPr>
          <w:rFonts w:ascii="Times New Roman" w:eastAsia="Times New Roman" w:hAnsi="Times New Roman" w:cs="Times New Roman"/>
          <w:kern w:val="0"/>
          <w:sz w:val="24"/>
          <w:szCs w:val="24"/>
          <w:lang w:eastAsia="en-GB"/>
          <w14:ligatures w14:val="none"/>
        </w:rPr>
        <w:t>Micklitz</w:t>
      </w:r>
      <w:proofErr w:type="spellEnd"/>
      <w:r w:rsidRPr="00E67287">
        <w:rPr>
          <w:rFonts w:ascii="Times New Roman" w:eastAsia="Times New Roman" w:hAnsi="Times New Roman" w:cs="Times New Roman"/>
          <w:kern w:val="0"/>
          <w:sz w:val="24"/>
          <w:szCs w:val="24"/>
          <w:lang w:eastAsia="en-GB"/>
          <w14:ligatures w14:val="none"/>
        </w:rPr>
        <w:t xml:space="preserve"> (2018). </w:t>
      </w:r>
      <w:r w:rsidRPr="00E67287">
        <w:rPr>
          <w:rFonts w:ascii="Times New Roman" w:eastAsia="Times New Roman" w:hAnsi="Times New Roman" w:cs="Times New Roman"/>
          <w:i/>
          <w:iCs/>
          <w:kern w:val="0"/>
          <w:sz w:val="24"/>
          <w:szCs w:val="24"/>
          <w:lang w:eastAsia="en-GB"/>
          <w14:ligatures w14:val="none"/>
        </w:rPr>
        <w:t>The Politics of Justice in European Private Law</w:t>
      </w:r>
      <w:r w:rsidRPr="00E67287">
        <w:rPr>
          <w:rFonts w:ascii="Times New Roman" w:eastAsia="Times New Roman" w:hAnsi="Times New Roman" w:cs="Times New Roman"/>
          <w:kern w:val="0"/>
          <w:sz w:val="24"/>
          <w:szCs w:val="24"/>
          <w:lang w:eastAsia="en-GB"/>
          <w14:ligatures w14:val="none"/>
        </w:rPr>
        <w:t>. Cambridge University Press.</w:t>
      </w:r>
    </w:p>
    <w:p w14:paraId="009B6CE3"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r w:rsidRPr="00E67287">
        <w:rPr>
          <w:rFonts w:ascii="Times New Roman" w:eastAsia="Times New Roman" w:hAnsi="Times New Roman" w:cs="Times New Roman"/>
          <w:kern w:val="0"/>
          <w:sz w:val="24"/>
          <w:szCs w:val="24"/>
          <w:lang w:eastAsia="en-GB"/>
          <w14:ligatures w14:val="none"/>
        </w:rPr>
        <w:t xml:space="preserve">Peel, E. and Treitel, G.H. (2010). </w:t>
      </w:r>
      <w:r w:rsidRPr="00E67287">
        <w:rPr>
          <w:rFonts w:ascii="Times New Roman" w:eastAsia="Times New Roman" w:hAnsi="Times New Roman" w:cs="Times New Roman"/>
          <w:i/>
          <w:iCs/>
          <w:kern w:val="0"/>
          <w:sz w:val="24"/>
          <w:szCs w:val="24"/>
          <w:lang w:eastAsia="en-GB"/>
          <w14:ligatures w14:val="none"/>
        </w:rPr>
        <w:t>The law of contract</w:t>
      </w:r>
      <w:r w:rsidRPr="00E67287">
        <w:rPr>
          <w:rFonts w:ascii="Times New Roman" w:eastAsia="Times New Roman" w:hAnsi="Times New Roman" w:cs="Times New Roman"/>
          <w:kern w:val="0"/>
          <w:sz w:val="24"/>
          <w:szCs w:val="24"/>
          <w:lang w:eastAsia="en-GB"/>
          <w14:ligatures w14:val="none"/>
        </w:rPr>
        <w:t>. London: Sweet &amp; Maxwell.</w:t>
      </w:r>
    </w:p>
    <w:p w14:paraId="65ACEBC5"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r w:rsidRPr="00E67287">
        <w:rPr>
          <w:rFonts w:ascii="Times New Roman" w:eastAsia="Times New Roman" w:hAnsi="Times New Roman" w:cs="Times New Roman"/>
          <w:kern w:val="0"/>
          <w:sz w:val="24"/>
          <w:szCs w:val="24"/>
          <w:lang w:eastAsia="en-GB"/>
          <w14:ligatures w14:val="none"/>
        </w:rPr>
        <w:t xml:space="preserve">Poole, J. (2016). </w:t>
      </w:r>
      <w:r w:rsidRPr="00E67287">
        <w:rPr>
          <w:rFonts w:ascii="Times New Roman" w:eastAsia="Times New Roman" w:hAnsi="Times New Roman" w:cs="Times New Roman"/>
          <w:i/>
          <w:iCs/>
          <w:kern w:val="0"/>
          <w:sz w:val="24"/>
          <w:szCs w:val="24"/>
          <w:lang w:eastAsia="en-GB"/>
          <w14:ligatures w14:val="none"/>
        </w:rPr>
        <w:t>Textbook on contract law</w:t>
      </w:r>
      <w:r w:rsidRPr="00E67287">
        <w:rPr>
          <w:rFonts w:ascii="Times New Roman" w:eastAsia="Times New Roman" w:hAnsi="Times New Roman" w:cs="Times New Roman"/>
          <w:kern w:val="0"/>
          <w:sz w:val="24"/>
          <w:szCs w:val="24"/>
          <w:lang w:eastAsia="en-GB"/>
          <w14:ligatures w14:val="none"/>
        </w:rPr>
        <w:t>. 13th ed. Oxford: Oxford University Press.</w:t>
      </w:r>
    </w:p>
    <w:p w14:paraId="35DDE452" w14:textId="77777777" w:rsidR="00E67287" w:rsidRP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r w:rsidRPr="00E67287">
        <w:rPr>
          <w:rFonts w:ascii="Times New Roman" w:eastAsia="Times New Roman" w:hAnsi="Times New Roman" w:cs="Times New Roman"/>
          <w:kern w:val="0"/>
          <w:sz w:val="24"/>
          <w:szCs w:val="24"/>
          <w:lang w:eastAsia="en-GB"/>
          <w14:ligatures w14:val="none"/>
        </w:rPr>
        <w:t xml:space="preserve">Stone, </w:t>
      </w:r>
      <w:proofErr w:type="gramStart"/>
      <w:r w:rsidRPr="00E67287">
        <w:rPr>
          <w:rFonts w:ascii="Times New Roman" w:eastAsia="Times New Roman" w:hAnsi="Times New Roman" w:cs="Times New Roman"/>
          <w:kern w:val="0"/>
          <w:sz w:val="24"/>
          <w:szCs w:val="24"/>
          <w:lang w:eastAsia="en-GB"/>
          <w14:ligatures w14:val="none"/>
        </w:rPr>
        <w:t>R.</w:t>
      </w:r>
      <w:proofErr w:type="gramEnd"/>
      <w:r w:rsidRPr="00E67287">
        <w:rPr>
          <w:rFonts w:ascii="Times New Roman" w:eastAsia="Times New Roman" w:hAnsi="Times New Roman" w:cs="Times New Roman"/>
          <w:kern w:val="0"/>
          <w:sz w:val="24"/>
          <w:szCs w:val="24"/>
          <w:lang w:eastAsia="en-GB"/>
          <w14:ligatures w14:val="none"/>
        </w:rPr>
        <w:t xml:space="preserve"> and Dawson Books (2013). </w:t>
      </w:r>
      <w:r w:rsidRPr="00E67287">
        <w:rPr>
          <w:rFonts w:ascii="Times New Roman" w:eastAsia="Times New Roman" w:hAnsi="Times New Roman" w:cs="Times New Roman"/>
          <w:i/>
          <w:iCs/>
          <w:kern w:val="0"/>
          <w:sz w:val="24"/>
          <w:szCs w:val="24"/>
          <w:lang w:eastAsia="en-GB"/>
          <w14:ligatures w14:val="none"/>
        </w:rPr>
        <w:t>The modern law of contract</w:t>
      </w:r>
      <w:r w:rsidRPr="00E67287">
        <w:rPr>
          <w:rFonts w:ascii="Times New Roman" w:eastAsia="Times New Roman" w:hAnsi="Times New Roman" w:cs="Times New Roman"/>
          <w:kern w:val="0"/>
          <w:sz w:val="24"/>
          <w:szCs w:val="24"/>
          <w:lang w:eastAsia="en-GB"/>
          <w14:ligatures w14:val="none"/>
        </w:rPr>
        <w:t xml:space="preserve">. </w:t>
      </w:r>
      <w:proofErr w:type="gramStart"/>
      <w:r w:rsidRPr="00E67287">
        <w:rPr>
          <w:rFonts w:ascii="Times New Roman" w:eastAsia="Times New Roman" w:hAnsi="Times New Roman" w:cs="Times New Roman"/>
          <w:kern w:val="0"/>
          <w:sz w:val="24"/>
          <w:szCs w:val="24"/>
          <w:lang w:eastAsia="en-GB"/>
          <w14:ligatures w14:val="none"/>
        </w:rPr>
        <w:t>Abingdon,:</w:t>
      </w:r>
      <w:proofErr w:type="gramEnd"/>
      <w:r w:rsidRPr="00E67287">
        <w:rPr>
          <w:rFonts w:ascii="Times New Roman" w:eastAsia="Times New Roman" w:hAnsi="Times New Roman" w:cs="Times New Roman"/>
          <w:kern w:val="0"/>
          <w:sz w:val="24"/>
          <w:szCs w:val="24"/>
          <w:lang w:eastAsia="en-GB"/>
          <w14:ligatures w14:val="none"/>
        </w:rPr>
        <w:t xml:space="preserve"> Routledge.</w:t>
      </w:r>
    </w:p>
    <w:p w14:paraId="1C8CF77B" w14:textId="77777777" w:rsidR="00E67287" w:rsidRDefault="00E67287" w:rsidP="00E67287">
      <w:pPr>
        <w:spacing w:after="240" w:line="360" w:lineRule="auto"/>
        <w:rPr>
          <w:rFonts w:ascii="Times New Roman" w:eastAsia="Times New Roman" w:hAnsi="Times New Roman" w:cs="Times New Roman"/>
          <w:kern w:val="0"/>
          <w:sz w:val="24"/>
          <w:szCs w:val="24"/>
          <w:lang w:eastAsia="en-GB"/>
          <w14:ligatures w14:val="none"/>
        </w:rPr>
      </w:pPr>
      <w:r w:rsidRPr="00E67287">
        <w:rPr>
          <w:rFonts w:ascii="Times New Roman" w:eastAsia="Times New Roman" w:hAnsi="Times New Roman" w:cs="Times New Roman"/>
          <w:kern w:val="0"/>
          <w:sz w:val="24"/>
          <w:szCs w:val="24"/>
          <w:lang w:eastAsia="en-GB"/>
          <w14:ligatures w14:val="none"/>
        </w:rPr>
        <w:t xml:space="preserve">Taylor, R. and Taylor, D. (2015). </w:t>
      </w:r>
      <w:r w:rsidRPr="00E67287">
        <w:rPr>
          <w:rFonts w:ascii="Times New Roman" w:eastAsia="Times New Roman" w:hAnsi="Times New Roman" w:cs="Times New Roman"/>
          <w:i/>
          <w:iCs/>
          <w:kern w:val="0"/>
          <w:sz w:val="24"/>
          <w:szCs w:val="24"/>
          <w:lang w:eastAsia="en-GB"/>
          <w14:ligatures w14:val="none"/>
        </w:rPr>
        <w:t xml:space="preserve">Contract </w:t>
      </w:r>
      <w:proofErr w:type="gramStart"/>
      <w:r w:rsidRPr="00E67287">
        <w:rPr>
          <w:rFonts w:ascii="Times New Roman" w:eastAsia="Times New Roman" w:hAnsi="Times New Roman" w:cs="Times New Roman"/>
          <w:i/>
          <w:iCs/>
          <w:kern w:val="0"/>
          <w:sz w:val="24"/>
          <w:szCs w:val="24"/>
          <w:lang w:eastAsia="en-GB"/>
          <w14:ligatures w14:val="none"/>
        </w:rPr>
        <w:t>law :</w:t>
      </w:r>
      <w:proofErr w:type="gramEnd"/>
      <w:r w:rsidRPr="00E67287">
        <w:rPr>
          <w:rFonts w:ascii="Times New Roman" w:eastAsia="Times New Roman" w:hAnsi="Times New Roman" w:cs="Times New Roman"/>
          <w:i/>
          <w:iCs/>
          <w:kern w:val="0"/>
          <w:sz w:val="24"/>
          <w:szCs w:val="24"/>
          <w:lang w:eastAsia="en-GB"/>
          <w14:ligatures w14:val="none"/>
        </w:rPr>
        <w:t xml:space="preserve"> directions</w:t>
      </w:r>
      <w:r w:rsidRPr="00E67287">
        <w:rPr>
          <w:rFonts w:ascii="Times New Roman" w:eastAsia="Times New Roman" w:hAnsi="Times New Roman" w:cs="Times New Roman"/>
          <w:kern w:val="0"/>
          <w:sz w:val="24"/>
          <w:szCs w:val="24"/>
          <w:lang w:eastAsia="en-GB"/>
          <w14:ligatures w14:val="none"/>
        </w:rPr>
        <w:t>. Oxford: Oxford University Press.</w:t>
      </w:r>
    </w:p>
    <w:p w14:paraId="7CD1C2B0" w14:textId="4A92B548" w:rsidR="00184672" w:rsidRDefault="00184672" w:rsidP="00E67287">
      <w:pPr>
        <w:spacing w:after="240" w:line="360" w:lineRule="auto"/>
        <w:rPr>
          <w:rFonts w:asciiTheme="majorBidi" w:hAnsiTheme="majorBidi" w:cstheme="majorBidi"/>
          <w:color w:val="222222"/>
          <w:sz w:val="24"/>
          <w:szCs w:val="24"/>
          <w:shd w:val="clear" w:color="auto" w:fill="FFFFFF"/>
        </w:rPr>
      </w:pPr>
      <w:r w:rsidRPr="00184672">
        <w:rPr>
          <w:rFonts w:asciiTheme="majorBidi" w:hAnsiTheme="majorBidi" w:cstheme="majorBidi"/>
          <w:color w:val="222222"/>
          <w:sz w:val="24"/>
          <w:szCs w:val="24"/>
          <w:shd w:val="clear" w:color="auto" w:fill="FFFFFF"/>
        </w:rPr>
        <w:t>Eisenberg, M.A., 1981. Principles of Consideration. </w:t>
      </w:r>
      <w:r w:rsidRPr="00184672">
        <w:rPr>
          <w:rFonts w:asciiTheme="majorBidi" w:hAnsiTheme="majorBidi" w:cstheme="majorBidi"/>
          <w:i/>
          <w:iCs/>
          <w:color w:val="222222"/>
          <w:sz w:val="24"/>
          <w:szCs w:val="24"/>
          <w:shd w:val="clear" w:color="auto" w:fill="FFFFFF"/>
        </w:rPr>
        <w:t>Cornell L. Rev.</w:t>
      </w:r>
      <w:r w:rsidRPr="00184672">
        <w:rPr>
          <w:rFonts w:asciiTheme="majorBidi" w:hAnsiTheme="majorBidi" w:cstheme="majorBidi"/>
          <w:color w:val="222222"/>
          <w:sz w:val="24"/>
          <w:szCs w:val="24"/>
          <w:shd w:val="clear" w:color="auto" w:fill="FFFFFF"/>
        </w:rPr>
        <w:t>, </w:t>
      </w:r>
      <w:r w:rsidRPr="00184672">
        <w:rPr>
          <w:rFonts w:asciiTheme="majorBidi" w:hAnsiTheme="majorBidi" w:cstheme="majorBidi"/>
          <w:i/>
          <w:iCs/>
          <w:color w:val="222222"/>
          <w:sz w:val="24"/>
          <w:szCs w:val="24"/>
          <w:shd w:val="clear" w:color="auto" w:fill="FFFFFF"/>
        </w:rPr>
        <w:t>67</w:t>
      </w:r>
      <w:r w:rsidRPr="00184672">
        <w:rPr>
          <w:rFonts w:asciiTheme="majorBidi" w:hAnsiTheme="majorBidi" w:cstheme="majorBidi"/>
          <w:color w:val="222222"/>
          <w:sz w:val="24"/>
          <w:szCs w:val="24"/>
          <w:shd w:val="clear" w:color="auto" w:fill="FFFFFF"/>
        </w:rPr>
        <w:t>, p.640.</w:t>
      </w:r>
    </w:p>
    <w:p w14:paraId="032B0D84" w14:textId="3F3869EE" w:rsidR="0090104E" w:rsidRDefault="0090104E" w:rsidP="00E67287">
      <w:pPr>
        <w:spacing w:after="240" w:line="360" w:lineRule="auto"/>
        <w:rPr>
          <w:rFonts w:asciiTheme="majorBidi" w:hAnsiTheme="majorBidi" w:cstheme="majorBidi"/>
          <w:color w:val="222222"/>
          <w:sz w:val="24"/>
          <w:szCs w:val="24"/>
          <w:shd w:val="clear" w:color="auto" w:fill="FFFFFF"/>
        </w:rPr>
      </w:pPr>
      <w:r>
        <w:rPr>
          <w:color w:val="000000"/>
          <w:shd w:val="clear" w:color="auto" w:fill="FFFFFF"/>
        </w:rPr>
        <w:t xml:space="preserve">Kumar, D.G. and </w:t>
      </w:r>
      <w:proofErr w:type="spellStart"/>
      <w:r>
        <w:rPr>
          <w:color w:val="000000"/>
          <w:shd w:val="clear" w:color="auto" w:fill="FFFFFF"/>
        </w:rPr>
        <w:t>Gudinho</w:t>
      </w:r>
      <w:proofErr w:type="spellEnd"/>
      <w:r>
        <w:rPr>
          <w:color w:val="000000"/>
          <w:shd w:val="clear" w:color="auto" w:fill="FFFFFF"/>
        </w:rPr>
        <w:t>, A.D. (2017). Consensus Ad Idem: A Plea for Objectivity in Telephonic Contracts. </w:t>
      </w:r>
      <w:r w:rsidRPr="0090104E">
        <w:rPr>
          <w:i/>
          <w:iCs/>
          <w:color w:val="000000"/>
          <w:shd w:val="clear" w:color="auto" w:fill="FFFFFF"/>
        </w:rPr>
        <w:t>Christ University Law Journal</w:t>
      </w:r>
      <w:r>
        <w:rPr>
          <w:color w:val="000000"/>
          <w:shd w:val="clear" w:color="auto" w:fill="FFFFFF"/>
        </w:rPr>
        <w:t xml:space="preserve">, 6(1), pp.41–56. </w:t>
      </w:r>
      <w:proofErr w:type="spellStart"/>
      <w:proofErr w:type="gramStart"/>
      <w:r>
        <w:rPr>
          <w:color w:val="000000"/>
          <w:shd w:val="clear" w:color="auto" w:fill="FFFFFF"/>
        </w:rPr>
        <w:t>doi:https</w:t>
      </w:r>
      <w:proofErr w:type="spellEnd"/>
      <w:r>
        <w:rPr>
          <w:color w:val="000000"/>
          <w:shd w:val="clear" w:color="auto" w:fill="FFFFFF"/>
        </w:rPr>
        <w:t>://doi.org/10.12728/culj.10.3</w:t>
      </w:r>
      <w:proofErr w:type="gramEnd"/>
      <w:r>
        <w:rPr>
          <w:color w:val="000000"/>
          <w:shd w:val="clear" w:color="auto" w:fill="FFFFFF"/>
        </w:rPr>
        <w:t>.</w:t>
      </w:r>
    </w:p>
    <w:p w14:paraId="760F8542" w14:textId="5AC6E4DF" w:rsidR="00A76C47" w:rsidRDefault="00A76C47" w:rsidP="00E67287">
      <w:pPr>
        <w:spacing w:after="240" w:line="360" w:lineRule="auto"/>
        <w:rPr>
          <w:rFonts w:asciiTheme="majorBidi" w:hAnsiTheme="majorBidi" w:cstheme="majorBidi"/>
          <w:color w:val="222222"/>
          <w:sz w:val="24"/>
          <w:szCs w:val="24"/>
          <w:shd w:val="clear" w:color="auto" w:fill="FFFFFF"/>
        </w:rPr>
      </w:pPr>
    </w:p>
    <w:p w14:paraId="1548AA10" w14:textId="77777777" w:rsidR="00A76C47" w:rsidRDefault="00A76C47" w:rsidP="00E67287">
      <w:pPr>
        <w:spacing w:after="240" w:line="360" w:lineRule="auto"/>
        <w:rPr>
          <w:rFonts w:asciiTheme="majorBidi" w:hAnsiTheme="majorBidi" w:cstheme="majorBidi"/>
          <w:color w:val="222222"/>
          <w:sz w:val="24"/>
          <w:szCs w:val="24"/>
          <w:shd w:val="clear" w:color="auto" w:fill="FFFFFF"/>
        </w:rPr>
      </w:pPr>
    </w:p>
    <w:p w14:paraId="6154BAF9" w14:textId="549884E6" w:rsidR="00A76C47" w:rsidRDefault="00A76C47" w:rsidP="00E67287">
      <w:pPr>
        <w:spacing w:after="240" w:line="360" w:lineRule="auto"/>
        <w:rPr>
          <w:rFonts w:asciiTheme="majorBidi" w:hAnsiTheme="majorBidi" w:cstheme="majorBidi"/>
          <w:color w:val="222222"/>
          <w:sz w:val="24"/>
          <w:szCs w:val="24"/>
          <w:shd w:val="clear" w:color="auto" w:fill="FFFFFF"/>
        </w:rPr>
      </w:pPr>
      <w:r>
        <w:rPr>
          <w:rFonts w:asciiTheme="majorBidi" w:hAnsiTheme="majorBidi" w:cstheme="majorBidi"/>
          <w:color w:val="222222"/>
          <w:sz w:val="24"/>
          <w:szCs w:val="24"/>
          <w:shd w:val="clear" w:color="auto" w:fill="FFFFFF"/>
        </w:rPr>
        <w:t xml:space="preserve">Cases </w:t>
      </w:r>
    </w:p>
    <w:p w14:paraId="054085F1" w14:textId="7425B193" w:rsidR="00A76C47" w:rsidRDefault="004B798C" w:rsidP="00E67287">
      <w:pPr>
        <w:spacing w:after="240" w:line="360" w:lineRule="auto"/>
        <w:rPr>
          <w:rFonts w:asciiTheme="majorBidi" w:hAnsiTheme="majorBidi" w:cstheme="majorBidi"/>
          <w:color w:val="222222"/>
          <w:sz w:val="24"/>
          <w:szCs w:val="24"/>
          <w:shd w:val="clear" w:color="auto" w:fill="FFFFFF"/>
        </w:rPr>
      </w:pPr>
      <w:r w:rsidRPr="004B798C">
        <w:rPr>
          <w:rFonts w:asciiTheme="majorBidi" w:hAnsiTheme="majorBidi" w:cstheme="majorBidi"/>
          <w:color w:val="222222"/>
          <w:sz w:val="24"/>
          <w:szCs w:val="24"/>
          <w:shd w:val="clear" w:color="auto" w:fill="FFFFFF"/>
        </w:rPr>
        <w:t>Chappell &amp; Co Ltd v Nestle Co Ltd (1960</w:t>
      </w:r>
      <w:r w:rsidRPr="004B798C">
        <w:rPr>
          <w:rFonts w:asciiTheme="majorBidi" w:hAnsiTheme="majorBidi" w:cstheme="majorBidi"/>
          <w:color w:val="222222"/>
          <w:sz w:val="24"/>
          <w:szCs w:val="24"/>
          <w:shd w:val="clear" w:color="auto" w:fill="FFFFFF"/>
        </w:rPr>
        <w:t>).</w:t>
      </w:r>
      <w:r w:rsidRPr="004B798C">
        <w:rPr>
          <w:rFonts w:asciiTheme="majorBidi" w:hAnsiTheme="majorBidi" w:cstheme="majorBidi"/>
          <w:color w:val="222222"/>
          <w:sz w:val="24"/>
          <w:szCs w:val="24"/>
          <w:shd w:val="clear" w:color="auto" w:fill="FFFFFF"/>
        </w:rPr>
        <w:t xml:space="preserve"> In this case, the House of Lords affirmed that even minimal or nominal consideration, such as the value of a peppercorn, can be sufficient to create a binding contract. Therefore, </w:t>
      </w:r>
      <w:r w:rsidRPr="004B798C">
        <w:rPr>
          <w:rFonts w:asciiTheme="majorBidi" w:hAnsiTheme="majorBidi" w:cstheme="majorBidi"/>
          <w:color w:val="222222"/>
          <w:sz w:val="24"/>
          <w:szCs w:val="24"/>
          <w:shd w:val="clear" w:color="auto" w:fill="FFFFFF"/>
        </w:rPr>
        <w:t>the</w:t>
      </w:r>
      <w:r w:rsidRPr="004B798C">
        <w:rPr>
          <w:rFonts w:asciiTheme="majorBidi" w:hAnsiTheme="majorBidi" w:cstheme="majorBidi"/>
          <w:color w:val="222222"/>
          <w:sz w:val="24"/>
          <w:szCs w:val="24"/>
          <w:shd w:val="clear" w:color="auto" w:fill="FFFFFF"/>
        </w:rPr>
        <w:t xml:space="preserve"> statement effectively captures the essence of this legal principle.</w:t>
      </w:r>
    </w:p>
    <w:p w14:paraId="0DAD001B" w14:textId="34D5A815" w:rsidR="004B798C" w:rsidRPr="004B798C" w:rsidRDefault="004B798C" w:rsidP="004B798C">
      <w:pPr>
        <w:rPr>
          <w:rFonts w:asciiTheme="majorBidi" w:hAnsiTheme="majorBidi" w:cstheme="majorBidi"/>
          <w:color w:val="222222"/>
          <w:sz w:val="24"/>
          <w:szCs w:val="24"/>
          <w:shd w:val="clear" w:color="auto" w:fill="FFFFFF"/>
        </w:rPr>
      </w:pPr>
      <w:r w:rsidRPr="004B798C">
        <w:rPr>
          <w:rFonts w:asciiTheme="majorBidi" w:hAnsiTheme="majorBidi" w:cstheme="majorBidi"/>
          <w:color w:val="222222"/>
          <w:sz w:val="24"/>
          <w:szCs w:val="24"/>
          <w:shd w:val="clear" w:color="auto" w:fill="FFFFFF"/>
        </w:rPr>
        <w:t xml:space="preserve">Thomas v Thomas (1842) </w:t>
      </w:r>
      <w:r w:rsidRPr="004B798C">
        <w:rPr>
          <w:rFonts w:asciiTheme="majorBidi" w:hAnsiTheme="majorBidi" w:cstheme="majorBidi"/>
          <w:color w:val="222222"/>
          <w:sz w:val="24"/>
          <w:szCs w:val="24"/>
          <w:shd w:val="clear" w:color="auto" w:fill="FFFFFF"/>
        </w:rPr>
        <w:t>centred</w:t>
      </w:r>
      <w:r w:rsidRPr="004B798C">
        <w:rPr>
          <w:rFonts w:asciiTheme="majorBidi" w:hAnsiTheme="majorBidi" w:cstheme="majorBidi"/>
          <w:color w:val="222222"/>
          <w:sz w:val="24"/>
          <w:szCs w:val="24"/>
          <w:shd w:val="clear" w:color="auto" w:fill="FFFFFF"/>
        </w:rPr>
        <w:t xml:space="preserve"> on the interpretation of a will regarding a widow's rights to occupy a property. Mr. Thomas left the property to his wife for her lifetime in his will. Despite attempts by executors to evict her, arguing her occupancy was tied to her widowhood, the court ruled in </w:t>
      </w:r>
      <w:r w:rsidRPr="004B798C">
        <w:rPr>
          <w:rFonts w:asciiTheme="majorBidi" w:hAnsiTheme="majorBidi" w:cstheme="majorBidi"/>
          <w:color w:val="222222"/>
          <w:sz w:val="24"/>
          <w:szCs w:val="24"/>
          <w:shd w:val="clear" w:color="auto" w:fill="FFFFFF"/>
        </w:rPr>
        <w:t>favour</w:t>
      </w:r>
      <w:r w:rsidRPr="004B798C">
        <w:rPr>
          <w:rFonts w:asciiTheme="majorBidi" w:hAnsiTheme="majorBidi" w:cstheme="majorBidi"/>
          <w:color w:val="222222"/>
          <w:sz w:val="24"/>
          <w:szCs w:val="24"/>
          <w:shd w:val="clear" w:color="auto" w:fill="FFFFFF"/>
        </w:rPr>
        <w:t xml:space="preserve"> of the widow. The judgment emphasized the importance of precise language in legal documents and the need to uphold the intentions of the testator.</w:t>
      </w:r>
    </w:p>
    <w:p w14:paraId="3A443D10" w14:textId="77777777" w:rsidR="004B798C" w:rsidRDefault="004B798C" w:rsidP="00E67287">
      <w:pPr>
        <w:spacing w:after="240" w:line="360" w:lineRule="auto"/>
        <w:rPr>
          <w:rFonts w:asciiTheme="majorBidi" w:hAnsiTheme="majorBidi" w:cstheme="majorBidi"/>
          <w:color w:val="222222"/>
          <w:sz w:val="24"/>
          <w:szCs w:val="24"/>
          <w:shd w:val="clear" w:color="auto" w:fill="FFFFFF"/>
        </w:rPr>
      </w:pPr>
    </w:p>
    <w:p w14:paraId="2F4CDE77" w14:textId="7EC79236" w:rsidR="00813E02" w:rsidRPr="00E67287" w:rsidRDefault="00813E02" w:rsidP="00E67287">
      <w:pPr>
        <w:spacing w:after="240" w:line="360" w:lineRule="auto"/>
        <w:rPr>
          <w:rFonts w:asciiTheme="majorBidi" w:eastAsia="Times New Roman" w:hAnsiTheme="majorBidi" w:cstheme="majorBidi"/>
          <w:kern w:val="0"/>
          <w:sz w:val="24"/>
          <w:szCs w:val="24"/>
          <w:lang w:eastAsia="en-GB"/>
          <w14:ligatures w14:val="none"/>
        </w:rPr>
      </w:pPr>
    </w:p>
    <w:p w14:paraId="3A67DC77" w14:textId="2CEBEFC3" w:rsidR="00A26D1D" w:rsidRPr="00F26976" w:rsidRDefault="00A26D1D" w:rsidP="00F26976"/>
    <w:sectPr w:rsidR="00A26D1D" w:rsidRPr="00F269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7114D"/>
    <w:multiLevelType w:val="hybridMultilevel"/>
    <w:tmpl w:val="CE3423E2"/>
    <w:lvl w:ilvl="0" w:tplc="45BC8F26">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33335A"/>
    <w:multiLevelType w:val="hybridMultilevel"/>
    <w:tmpl w:val="63F8B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555574"/>
    <w:multiLevelType w:val="hybridMultilevel"/>
    <w:tmpl w:val="F4EA4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002216"/>
    <w:multiLevelType w:val="hybridMultilevel"/>
    <w:tmpl w:val="9DD0B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9E0EAB"/>
    <w:multiLevelType w:val="hybridMultilevel"/>
    <w:tmpl w:val="378A25B6"/>
    <w:lvl w:ilvl="0" w:tplc="45BC8F26">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9359375">
    <w:abstractNumId w:val="2"/>
  </w:num>
  <w:num w:numId="2" w16cid:durableId="1888956396">
    <w:abstractNumId w:val="1"/>
  </w:num>
  <w:num w:numId="3" w16cid:durableId="960114552">
    <w:abstractNumId w:val="3"/>
  </w:num>
  <w:num w:numId="4" w16cid:durableId="2083915052">
    <w:abstractNumId w:val="4"/>
  </w:num>
  <w:num w:numId="5" w16cid:durableId="1512841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DCA"/>
    <w:rsid w:val="000004AE"/>
    <w:rsid w:val="00184672"/>
    <w:rsid w:val="001A7317"/>
    <w:rsid w:val="002C5B34"/>
    <w:rsid w:val="004B798C"/>
    <w:rsid w:val="004E5F1A"/>
    <w:rsid w:val="004E632D"/>
    <w:rsid w:val="004F32F3"/>
    <w:rsid w:val="00590B9D"/>
    <w:rsid w:val="00621151"/>
    <w:rsid w:val="006331AB"/>
    <w:rsid w:val="00720E32"/>
    <w:rsid w:val="00737045"/>
    <w:rsid w:val="007E245F"/>
    <w:rsid w:val="00812DCA"/>
    <w:rsid w:val="00813E02"/>
    <w:rsid w:val="0090104E"/>
    <w:rsid w:val="0096337D"/>
    <w:rsid w:val="0099265F"/>
    <w:rsid w:val="009F07EE"/>
    <w:rsid w:val="00A26D1D"/>
    <w:rsid w:val="00A45BD8"/>
    <w:rsid w:val="00A76C47"/>
    <w:rsid w:val="00A76E71"/>
    <w:rsid w:val="00AC2532"/>
    <w:rsid w:val="00AC6DA2"/>
    <w:rsid w:val="00B76ED4"/>
    <w:rsid w:val="00BD3E17"/>
    <w:rsid w:val="00BF58B7"/>
    <w:rsid w:val="00C4202C"/>
    <w:rsid w:val="00D63B83"/>
    <w:rsid w:val="00DF1531"/>
    <w:rsid w:val="00E67287"/>
    <w:rsid w:val="00ED4717"/>
    <w:rsid w:val="00F26976"/>
    <w:rsid w:val="00F45CF8"/>
    <w:rsid w:val="00FB63C6"/>
    <w:rsid w:val="00FF0D8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77AE8"/>
  <w15:chartTrackingRefBased/>
  <w15:docId w15:val="{57F3294A-F54A-4A98-A2BE-86953D0EC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D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2D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2D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2D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2D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2D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D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D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D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D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2D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2D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2D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2D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2D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2D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2D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2DCA"/>
    <w:rPr>
      <w:rFonts w:eastAsiaTheme="majorEastAsia" w:cstheme="majorBidi"/>
      <w:color w:val="272727" w:themeColor="text1" w:themeTint="D8"/>
    </w:rPr>
  </w:style>
  <w:style w:type="paragraph" w:styleId="Title">
    <w:name w:val="Title"/>
    <w:basedOn w:val="Normal"/>
    <w:next w:val="Normal"/>
    <w:link w:val="TitleChar"/>
    <w:uiPriority w:val="10"/>
    <w:qFormat/>
    <w:rsid w:val="00812D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D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2D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2D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2DCA"/>
    <w:pPr>
      <w:spacing w:before="160"/>
      <w:jc w:val="center"/>
    </w:pPr>
    <w:rPr>
      <w:i/>
      <w:iCs/>
      <w:color w:val="404040" w:themeColor="text1" w:themeTint="BF"/>
    </w:rPr>
  </w:style>
  <w:style w:type="character" w:customStyle="1" w:styleId="QuoteChar">
    <w:name w:val="Quote Char"/>
    <w:basedOn w:val="DefaultParagraphFont"/>
    <w:link w:val="Quote"/>
    <w:uiPriority w:val="29"/>
    <w:rsid w:val="00812DCA"/>
    <w:rPr>
      <w:i/>
      <w:iCs/>
      <w:color w:val="404040" w:themeColor="text1" w:themeTint="BF"/>
    </w:rPr>
  </w:style>
  <w:style w:type="paragraph" w:styleId="ListParagraph">
    <w:name w:val="List Paragraph"/>
    <w:basedOn w:val="Normal"/>
    <w:uiPriority w:val="34"/>
    <w:qFormat/>
    <w:rsid w:val="00812DCA"/>
    <w:pPr>
      <w:ind w:left="720"/>
      <w:contextualSpacing/>
    </w:pPr>
  </w:style>
  <w:style w:type="character" w:styleId="IntenseEmphasis">
    <w:name w:val="Intense Emphasis"/>
    <w:basedOn w:val="DefaultParagraphFont"/>
    <w:uiPriority w:val="21"/>
    <w:qFormat/>
    <w:rsid w:val="00812DCA"/>
    <w:rPr>
      <w:i/>
      <w:iCs/>
      <w:color w:val="0F4761" w:themeColor="accent1" w:themeShade="BF"/>
    </w:rPr>
  </w:style>
  <w:style w:type="paragraph" w:styleId="IntenseQuote">
    <w:name w:val="Intense Quote"/>
    <w:basedOn w:val="Normal"/>
    <w:next w:val="Normal"/>
    <w:link w:val="IntenseQuoteChar"/>
    <w:uiPriority w:val="30"/>
    <w:qFormat/>
    <w:rsid w:val="00812D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2DCA"/>
    <w:rPr>
      <w:i/>
      <w:iCs/>
      <w:color w:val="0F4761" w:themeColor="accent1" w:themeShade="BF"/>
    </w:rPr>
  </w:style>
  <w:style w:type="character" w:styleId="IntenseReference">
    <w:name w:val="Intense Reference"/>
    <w:basedOn w:val="DefaultParagraphFont"/>
    <w:uiPriority w:val="32"/>
    <w:qFormat/>
    <w:rsid w:val="00812DCA"/>
    <w:rPr>
      <w:b/>
      <w:bCs/>
      <w:smallCaps/>
      <w:color w:val="0F4761" w:themeColor="accent1" w:themeShade="BF"/>
      <w:spacing w:val="5"/>
    </w:rPr>
  </w:style>
  <w:style w:type="paragraph" w:styleId="NormalWeb">
    <w:name w:val="Normal (Web)"/>
    <w:basedOn w:val="Normal"/>
    <w:uiPriority w:val="99"/>
    <w:semiHidden/>
    <w:unhideWhenUsed/>
    <w:rsid w:val="00F269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26976"/>
    <w:rPr>
      <w:b/>
      <w:bCs/>
    </w:rPr>
  </w:style>
  <w:style w:type="character" w:styleId="Emphasis">
    <w:name w:val="Emphasis"/>
    <w:basedOn w:val="DefaultParagraphFont"/>
    <w:uiPriority w:val="20"/>
    <w:qFormat/>
    <w:rsid w:val="00F269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984718">
      <w:bodyDiv w:val="1"/>
      <w:marLeft w:val="0"/>
      <w:marRight w:val="0"/>
      <w:marTop w:val="0"/>
      <w:marBottom w:val="0"/>
      <w:divBdr>
        <w:top w:val="none" w:sz="0" w:space="0" w:color="auto"/>
        <w:left w:val="none" w:sz="0" w:space="0" w:color="auto"/>
        <w:bottom w:val="none" w:sz="0" w:space="0" w:color="auto"/>
        <w:right w:val="none" w:sz="0" w:space="0" w:color="auto"/>
      </w:divBdr>
    </w:div>
    <w:div w:id="1069886003">
      <w:bodyDiv w:val="1"/>
      <w:marLeft w:val="0"/>
      <w:marRight w:val="0"/>
      <w:marTop w:val="0"/>
      <w:marBottom w:val="0"/>
      <w:divBdr>
        <w:top w:val="none" w:sz="0" w:space="0" w:color="auto"/>
        <w:left w:val="none" w:sz="0" w:space="0" w:color="auto"/>
        <w:bottom w:val="none" w:sz="0" w:space="0" w:color="auto"/>
        <w:right w:val="none" w:sz="0" w:space="0" w:color="auto"/>
      </w:divBdr>
    </w:div>
    <w:div w:id="1659772181">
      <w:bodyDiv w:val="1"/>
      <w:marLeft w:val="0"/>
      <w:marRight w:val="0"/>
      <w:marTop w:val="0"/>
      <w:marBottom w:val="0"/>
      <w:divBdr>
        <w:top w:val="none" w:sz="0" w:space="0" w:color="auto"/>
        <w:left w:val="none" w:sz="0" w:space="0" w:color="auto"/>
        <w:bottom w:val="none" w:sz="0" w:space="0" w:color="auto"/>
        <w:right w:val="none" w:sz="0" w:space="0" w:color="auto"/>
      </w:divBdr>
      <w:divsChild>
        <w:div w:id="1930114108">
          <w:marLeft w:val="0"/>
          <w:marRight w:val="0"/>
          <w:marTop w:val="0"/>
          <w:marBottom w:val="0"/>
          <w:divBdr>
            <w:top w:val="single" w:sz="2" w:space="0" w:color="E3E3E3"/>
            <w:left w:val="single" w:sz="2" w:space="0" w:color="E3E3E3"/>
            <w:bottom w:val="single" w:sz="2" w:space="0" w:color="E3E3E3"/>
            <w:right w:val="single" w:sz="2" w:space="0" w:color="E3E3E3"/>
          </w:divBdr>
          <w:divsChild>
            <w:div w:id="2091270702">
              <w:marLeft w:val="0"/>
              <w:marRight w:val="0"/>
              <w:marTop w:val="0"/>
              <w:marBottom w:val="0"/>
              <w:divBdr>
                <w:top w:val="single" w:sz="2" w:space="0" w:color="E3E3E3"/>
                <w:left w:val="single" w:sz="2" w:space="0" w:color="E3E3E3"/>
                <w:bottom w:val="single" w:sz="2" w:space="0" w:color="E3E3E3"/>
                <w:right w:val="single" w:sz="2" w:space="0" w:color="E3E3E3"/>
              </w:divBdr>
              <w:divsChild>
                <w:div w:id="1039089695">
                  <w:marLeft w:val="0"/>
                  <w:marRight w:val="0"/>
                  <w:marTop w:val="0"/>
                  <w:marBottom w:val="0"/>
                  <w:divBdr>
                    <w:top w:val="single" w:sz="2" w:space="0" w:color="E3E3E3"/>
                    <w:left w:val="single" w:sz="2" w:space="0" w:color="E3E3E3"/>
                    <w:bottom w:val="single" w:sz="2" w:space="0" w:color="E3E3E3"/>
                    <w:right w:val="single" w:sz="2" w:space="0" w:color="E3E3E3"/>
                  </w:divBdr>
                  <w:divsChild>
                    <w:div w:id="769282422">
                      <w:marLeft w:val="0"/>
                      <w:marRight w:val="0"/>
                      <w:marTop w:val="0"/>
                      <w:marBottom w:val="0"/>
                      <w:divBdr>
                        <w:top w:val="single" w:sz="2" w:space="0" w:color="E3E3E3"/>
                        <w:left w:val="single" w:sz="2" w:space="0" w:color="E3E3E3"/>
                        <w:bottom w:val="single" w:sz="2" w:space="0" w:color="E3E3E3"/>
                        <w:right w:val="single" w:sz="2" w:space="0" w:color="E3E3E3"/>
                      </w:divBdr>
                      <w:divsChild>
                        <w:div w:id="745299228">
                          <w:marLeft w:val="0"/>
                          <w:marRight w:val="0"/>
                          <w:marTop w:val="0"/>
                          <w:marBottom w:val="0"/>
                          <w:divBdr>
                            <w:top w:val="single" w:sz="2" w:space="0" w:color="E3E3E3"/>
                            <w:left w:val="single" w:sz="2" w:space="0" w:color="E3E3E3"/>
                            <w:bottom w:val="single" w:sz="2" w:space="0" w:color="E3E3E3"/>
                            <w:right w:val="single" w:sz="2" w:space="0" w:color="E3E3E3"/>
                          </w:divBdr>
                          <w:divsChild>
                            <w:div w:id="725758600">
                              <w:marLeft w:val="0"/>
                              <w:marRight w:val="0"/>
                              <w:marTop w:val="100"/>
                              <w:marBottom w:val="100"/>
                              <w:divBdr>
                                <w:top w:val="single" w:sz="2" w:space="0" w:color="E3E3E3"/>
                                <w:left w:val="single" w:sz="2" w:space="0" w:color="E3E3E3"/>
                                <w:bottom w:val="single" w:sz="2" w:space="0" w:color="E3E3E3"/>
                                <w:right w:val="single" w:sz="2" w:space="0" w:color="E3E3E3"/>
                              </w:divBdr>
                              <w:divsChild>
                                <w:div w:id="929699776">
                                  <w:marLeft w:val="0"/>
                                  <w:marRight w:val="0"/>
                                  <w:marTop w:val="0"/>
                                  <w:marBottom w:val="0"/>
                                  <w:divBdr>
                                    <w:top w:val="single" w:sz="2" w:space="0" w:color="E3E3E3"/>
                                    <w:left w:val="single" w:sz="2" w:space="0" w:color="E3E3E3"/>
                                    <w:bottom w:val="single" w:sz="2" w:space="0" w:color="E3E3E3"/>
                                    <w:right w:val="single" w:sz="2" w:space="0" w:color="E3E3E3"/>
                                  </w:divBdr>
                                  <w:divsChild>
                                    <w:div w:id="756830482">
                                      <w:marLeft w:val="0"/>
                                      <w:marRight w:val="0"/>
                                      <w:marTop w:val="0"/>
                                      <w:marBottom w:val="0"/>
                                      <w:divBdr>
                                        <w:top w:val="single" w:sz="2" w:space="0" w:color="E3E3E3"/>
                                        <w:left w:val="single" w:sz="2" w:space="0" w:color="E3E3E3"/>
                                        <w:bottom w:val="single" w:sz="2" w:space="0" w:color="E3E3E3"/>
                                        <w:right w:val="single" w:sz="2" w:space="0" w:color="E3E3E3"/>
                                      </w:divBdr>
                                      <w:divsChild>
                                        <w:div w:id="903179022">
                                          <w:marLeft w:val="0"/>
                                          <w:marRight w:val="0"/>
                                          <w:marTop w:val="0"/>
                                          <w:marBottom w:val="0"/>
                                          <w:divBdr>
                                            <w:top w:val="single" w:sz="2" w:space="0" w:color="E3E3E3"/>
                                            <w:left w:val="single" w:sz="2" w:space="0" w:color="E3E3E3"/>
                                            <w:bottom w:val="single" w:sz="2" w:space="0" w:color="E3E3E3"/>
                                            <w:right w:val="single" w:sz="2" w:space="0" w:color="E3E3E3"/>
                                          </w:divBdr>
                                          <w:divsChild>
                                            <w:div w:id="379986354">
                                              <w:marLeft w:val="0"/>
                                              <w:marRight w:val="0"/>
                                              <w:marTop w:val="0"/>
                                              <w:marBottom w:val="0"/>
                                              <w:divBdr>
                                                <w:top w:val="single" w:sz="2" w:space="0" w:color="E3E3E3"/>
                                                <w:left w:val="single" w:sz="2" w:space="0" w:color="E3E3E3"/>
                                                <w:bottom w:val="single" w:sz="2" w:space="0" w:color="E3E3E3"/>
                                                <w:right w:val="single" w:sz="2" w:space="0" w:color="E3E3E3"/>
                                              </w:divBdr>
                                              <w:divsChild>
                                                <w:div w:id="1624921978">
                                                  <w:marLeft w:val="0"/>
                                                  <w:marRight w:val="0"/>
                                                  <w:marTop w:val="0"/>
                                                  <w:marBottom w:val="0"/>
                                                  <w:divBdr>
                                                    <w:top w:val="single" w:sz="2" w:space="0" w:color="E3E3E3"/>
                                                    <w:left w:val="single" w:sz="2" w:space="0" w:color="E3E3E3"/>
                                                    <w:bottom w:val="single" w:sz="2" w:space="0" w:color="E3E3E3"/>
                                                    <w:right w:val="single" w:sz="2" w:space="0" w:color="E3E3E3"/>
                                                  </w:divBdr>
                                                  <w:divsChild>
                                                    <w:div w:id="7447687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01666061">
          <w:marLeft w:val="0"/>
          <w:marRight w:val="0"/>
          <w:marTop w:val="0"/>
          <w:marBottom w:val="0"/>
          <w:divBdr>
            <w:top w:val="none" w:sz="0" w:space="0" w:color="auto"/>
            <w:left w:val="none" w:sz="0" w:space="0" w:color="auto"/>
            <w:bottom w:val="none" w:sz="0" w:space="0" w:color="auto"/>
            <w:right w:val="none" w:sz="0" w:space="0" w:color="auto"/>
          </w:divBdr>
        </w:div>
      </w:divsChild>
    </w:div>
    <w:div w:id="1842811655">
      <w:bodyDiv w:val="1"/>
      <w:marLeft w:val="0"/>
      <w:marRight w:val="0"/>
      <w:marTop w:val="0"/>
      <w:marBottom w:val="0"/>
      <w:divBdr>
        <w:top w:val="none" w:sz="0" w:space="0" w:color="auto"/>
        <w:left w:val="none" w:sz="0" w:space="0" w:color="auto"/>
        <w:bottom w:val="none" w:sz="0" w:space="0" w:color="auto"/>
        <w:right w:val="none" w:sz="0" w:space="0" w:color="auto"/>
      </w:divBdr>
      <w:divsChild>
        <w:div w:id="20975571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4056</TotalTime>
  <Pages>6</Pages>
  <Words>2133</Words>
  <Characters>12163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Waleed Sulaiman</dc:creator>
  <cp:keywords/>
  <dc:description/>
  <cp:lastModifiedBy>Waleed Sulaiman</cp:lastModifiedBy>
  <cp:revision>25</cp:revision>
  <dcterms:created xsi:type="dcterms:W3CDTF">2024-03-12T10:32:00Z</dcterms:created>
  <dcterms:modified xsi:type="dcterms:W3CDTF">2024-03-15T14:55:00Z</dcterms:modified>
</cp:coreProperties>
</file>