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5A4" w:rsidRPr="00816997" w:rsidRDefault="00DF05A4" w:rsidP="00816997">
      <w:pPr>
        <w:pStyle w:val="Heading1"/>
        <w:spacing w:line="480" w:lineRule="auto"/>
        <w:contextualSpacing/>
        <w:jc w:val="center"/>
        <w:rPr>
          <w:rFonts w:cs="Times New Roman"/>
          <w:color w:val="auto"/>
          <w:szCs w:val="24"/>
        </w:rPr>
      </w:pPr>
    </w:p>
    <w:p w:rsidR="00B56410" w:rsidRPr="00816997" w:rsidRDefault="00C847DF" w:rsidP="00816997">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By: Marian Florin Filip</w:t>
      </w:r>
    </w:p>
    <w:p w:rsidR="00B56410" w:rsidRPr="00816997" w:rsidRDefault="00B56410" w:rsidP="00816997">
      <w:pPr>
        <w:spacing w:line="480" w:lineRule="auto"/>
        <w:contextualSpacing/>
        <w:jc w:val="center"/>
        <w:rPr>
          <w:rFonts w:ascii="Times New Roman" w:hAnsi="Times New Roman" w:cs="Times New Roman"/>
          <w:sz w:val="24"/>
          <w:szCs w:val="24"/>
        </w:rPr>
      </w:pPr>
    </w:p>
    <w:p w:rsidR="00B56410" w:rsidRPr="00816997" w:rsidRDefault="00B56410" w:rsidP="00816997">
      <w:pPr>
        <w:spacing w:line="480" w:lineRule="auto"/>
        <w:contextualSpacing/>
        <w:jc w:val="center"/>
        <w:rPr>
          <w:rFonts w:ascii="Times New Roman" w:hAnsi="Times New Roman" w:cs="Times New Roman"/>
          <w:sz w:val="24"/>
          <w:szCs w:val="24"/>
        </w:rPr>
      </w:pPr>
    </w:p>
    <w:p w:rsidR="00B56410" w:rsidRPr="00816997" w:rsidRDefault="00B56410" w:rsidP="00816997">
      <w:pPr>
        <w:spacing w:line="480" w:lineRule="auto"/>
        <w:contextualSpacing/>
        <w:jc w:val="center"/>
        <w:rPr>
          <w:rFonts w:ascii="Times New Roman" w:hAnsi="Times New Roman" w:cs="Times New Roman"/>
          <w:sz w:val="24"/>
          <w:szCs w:val="24"/>
        </w:rPr>
      </w:pPr>
    </w:p>
    <w:p w:rsidR="00B56410" w:rsidRPr="00816997" w:rsidRDefault="00B56410" w:rsidP="00816997">
      <w:pPr>
        <w:spacing w:line="480" w:lineRule="auto"/>
        <w:contextualSpacing/>
        <w:jc w:val="center"/>
        <w:rPr>
          <w:rFonts w:ascii="Times New Roman" w:hAnsi="Times New Roman" w:cs="Times New Roman"/>
          <w:sz w:val="24"/>
          <w:szCs w:val="24"/>
        </w:rPr>
      </w:pPr>
    </w:p>
    <w:p w:rsidR="00B56410" w:rsidRPr="00816997" w:rsidRDefault="00B56410" w:rsidP="00816997">
      <w:pPr>
        <w:spacing w:line="480" w:lineRule="auto"/>
        <w:contextualSpacing/>
        <w:jc w:val="center"/>
        <w:rPr>
          <w:rFonts w:ascii="Times New Roman" w:hAnsi="Times New Roman" w:cs="Times New Roman"/>
          <w:sz w:val="24"/>
          <w:szCs w:val="24"/>
        </w:rPr>
      </w:pPr>
      <w:r w:rsidRPr="00816997">
        <w:rPr>
          <w:rFonts w:ascii="Times New Roman" w:hAnsi="Times New Roman" w:cs="Times New Roman"/>
          <w:sz w:val="24"/>
          <w:szCs w:val="24"/>
        </w:rPr>
        <w:t>Course</w:t>
      </w:r>
      <w:r w:rsidR="00C847DF">
        <w:rPr>
          <w:rFonts w:ascii="Times New Roman" w:hAnsi="Times New Roman" w:cs="Times New Roman"/>
          <w:sz w:val="24"/>
          <w:szCs w:val="24"/>
        </w:rPr>
        <w:t>: Accounting Fundamentals</w:t>
      </w:r>
    </w:p>
    <w:p w:rsidR="00B56410" w:rsidRPr="00816997" w:rsidRDefault="00B56410" w:rsidP="00816997">
      <w:pPr>
        <w:spacing w:line="480" w:lineRule="auto"/>
        <w:contextualSpacing/>
        <w:jc w:val="center"/>
        <w:rPr>
          <w:rFonts w:ascii="Times New Roman" w:hAnsi="Times New Roman" w:cs="Times New Roman"/>
          <w:sz w:val="24"/>
          <w:szCs w:val="24"/>
        </w:rPr>
      </w:pPr>
      <w:r w:rsidRPr="00816997">
        <w:rPr>
          <w:rFonts w:ascii="Times New Roman" w:hAnsi="Times New Roman" w:cs="Times New Roman"/>
          <w:sz w:val="24"/>
          <w:szCs w:val="24"/>
        </w:rPr>
        <w:t>Professor</w:t>
      </w:r>
      <w:r w:rsidR="00C847DF">
        <w:rPr>
          <w:rFonts w:ascii="Times New Roman" w:hAnsi="Times New Roman" w:cs="Times New Roman"/>
          <w:sz w:val="24"/>
          <w:szCs w:val="24"/>
        </w:rPr>
        <w:t>: EMAD ELKHASHEN</w:t>
      </w:r>
    </w:p>
    <w:p w:rsidR="00B56410" w:rsidRDefault="00B56410" w:rsidP="00816997">
      <w:pPr>
        <w:spacing w:line="480" w:lineRule="auto"/>
        <w:contextualSpacing/>
        <w:jc w:val="center"/>
        <w:rPr>
          <w:rFonts w:ascii="Times New Roman" w:hAnsi="Times New Roman" w:cs="Times New Roman"/>
          <w:sz w:val="24"/>
          <w:szCs w:val="24"/>
        </w:rPr>
      </w:pPr>
      <w:r w:rsidRPr="00816997">
        <w:rPr>
          <w:rFonts w:ascii="Times New Roman" w:hAnsi="Times New Roman" w:cs="Times New Roman"/>
          <w:sz w:val="24"/>
          <w:szCs w:val="24"/>
        </w:rPr>
        <w:t>University’s Name</w:t>
      </w:r>
      <w:r w:rsidR="00C847DF">
        <w:rPr>
          <w:rFonts w:ascii="Times New Roman" w:hAnsi="Times New Roman" w:cs="Times New Roman"/>
          <w:sz w:val="24"/>
          <w:szCs w:val="24"/>
        </w:rPr>
        <w:t xml:space="preserve">: University of Wales </w:t>
      </w:r>
    </w:p>
    <w:p w:rsidR="00C847DF" w:rsidRPr="00816997" w:rsidRDefault="00C847DF" w:rsidP="00816997">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                                 Trinity Saint David</w:t>
      </w:r>
    </w:p>
    <w:p w:rsidR="00B56410" w:rsidRPr="00816997" w:rsidRDefault="00B56410" w:rsidP="00816997">
      <w:pPr>
        <w:spacing w:line="480" w:lineRule="auto"/>
        <w:contextualSpacing/>
        <w:jc w:val="center"/>
        <w:rPr>
          <w:rFonts w:ascii="Times New Roman" w:hAnsi="Times New Roman" w:cs="Times New Roman"/>
          <w:sz w:val="24"/>
          <w:szCs w:val="24"/>
        </w:rPr>
      </w:pPr>
      <w:r w:rsidRPr="00816997">
        <w:rPr>
          <w:rFonts w:ascii="Times New Roman" w:hAnsi="Times New Roman" w:cs="Times New Roman"/>
          <w:sz w:val="24"/>
          <w:szCs w:val="24"/>
        </w:rPr>
        <w:t>City</w:t>
      </w:r>
      <w:r w:rsidR="00C847DF">
        <w:rPr>
          <w:rFonts w:ascii="Times New Roman" w:hAnsi="Times New Roman" w:cs="Times New Roman"/>
          <w:sz w:val="24"/>
          <w:szCs w:val="24"/>
        </w:rPr>
        <w:t>: LONDON</w:t>
      </w:r>
      <w:bookmarkStart w:id="0" w:name="_GoBack"/>
      <w:bookmarkEnd w:id="0"/>
    </w:p>
    <w:p w:rsidR="00816997" w:rsidRDefault="00B56410" w:rsidP="00816997">
      <w:pPr>
        <w:contextualSpacing/>
        <w:jc w:val="center"/>
        <w:rPr>
          <w:rFonts w:ascii="Times New Roman" w:hAnsi="Times New Roman" w:cs="Times New Roman"/>
          <w:sz w:val="24"/>
          <w:szCs w:val="24"/>
        </w:rPr>
      </w:pPr>
      <w:r w:rsidRPr="00816997">
        <w:rPr>
          <w:rFonts w:ascii="Times New Roman" w:hAnsi="Times New Roman" w:cs="Times New Roman"/>
          <w:sz w:val="24"/>
          <w:szCs w:val="24"/>
        </w:rPr>
        <w:t>Date of Submission</w:t>
      </w:r>
      <w:r w:rsidR="00C847DF">
        <w:rPr>
          <w:rFonts w:ascii="Times New Roman" w:hAnsi="Times New Roman" w:cs="Times New Roman"/>
          <w:sz w:val="24"/>
          <w:szCs w:val="24"/>
        </w:rPr>
        <w:t>: 03/09/2021</w:t>
      </w:r>
    </w:p>
    <w:p w:rsidR="00816997" w:rsidRDefault="00816997" w:rsidP="00816997">
      <w:r>
        <w:br w:type="page"/>
      </w:r>
    </w:p>
    <w:p w:rsidR="00B56410" w:rsidRPr="00816997" w:rsidRDefault="00B56410" w:rsidP="00816997">
      <w:pPr>
        <w:contextualSpacing/>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eastAsia="en-US"/>
        </w:rPr>
        <w:id w:val="-1154450219"/>
        <w:docPartObj>
          <w:docPartGallery w:val="Table of Contents"/>
          <w:docPartUnique/>
        </w:docPartObj>
      </w:sdtPr>
      <w:sdtEndPr>
        <w:rPr>
          <w:rFonts w:asciiTheme="minorHAnsi" w:hAnsiTheme="minorHAnsi" w:cstheme="minorBidi"/>
          <w:noProof/>
          <w:sz w:val="22"/>
          <w:szCs w:val="22"/>
        </w:rPr>
      </w:sdtEndPr>
      <w:sdtContent>
        <w:p w:rsidR="00816997" w:rsidRPr="00816997" w:rsidRDefault="00816997" w:rsidP="00816997">
          <w:pPr>
            <w:pStyle w:val="TOCHeading"/>
            <w:spacing w:line="360" w:lineRule="auto"/>
            <w:rPr>
              <w:rFonts w:ascii="Times New Roman" w:hAnsi="Times New Roman" w:cs="Times New Roman"/>
              <w:sz w:val="24"/>
              <w:szCs w:val="24"/>
            </w:rPr>
          </w:pPr>
          <w:r w:rsidRPr="00816997">
            <w:rPr>
              <w:rFonts w:ascii="Times New Roman" w:hAnsi="Times New Roman" w:cs="Times New Roman"/>
              <w:sz w:val="24"/>
              <w:szCs w:val="24"/>
            </w:rPr>
            <w:t>Table of Contents</w:t>
          </w:r>
        </w:p>
        <w:p w:rsidR="00816997" w:rsidRPr="00816997" w:rsidRDefault="00816997" w:rsidP="00816997">
          <w:pPr>
            <w:pStyle w:val="TOC1"/>
            <w:tabs>
              <w:tab w:val="right" w:leader="dot" w:pos="9016"/>
            </w:tabs>
            <w:spacing w:line="360" w:lineRule="auto"/>
            <w:rPr>
              <w:rFonts w:ascii="Times New Roman" w:hAnsi="Times New Roman" w:cs="Times New Roman"/>
              <w:noProof/>
              <w:sz w:val="24"/>
              <w:szCs w:val="24"/>
            </w:rPr>
          </w:pPr>
          <w:r w:rsidRPr="00816997">
            <w:rPr>
              <w:rFonts w:ascii="Times New Roman" w:hAnsi="Times New Roman" w:cs="Times New Roman"/>
              <w:sz w:val="24"/>
              <w:szCs w:val="24"/>
            </w:rPr>
            <w:fldChar w:fldCharType="begin"/>
          </w:r>
          <w:r w:rsidRPr="00816997">
            <w:rPr>
              <w:rFonts w:ascii="Times New Roman" w:hAnsi="Times New Roman" w:cs="Times New Roman"/>
              <w:sz w:val="24"/>
              <w:szCs w:val="24"/>
            </w:rPr>
            <w:instrText xml:space="preserve"> TOC \o "1-3" \h \z \u </w:instrText>
          </w:r>
          <w:r w:rsidRPr="00816997">
            <w:rPr>
              <w:rFonts w:ascii="Times New Roman" w:hAnsi="Times New Roman" w:cs="Times New Roman"/>
              <w:sz w:val="24"/>
              <w:szCs w:val="24"/>
            </w:rPr>
            <w:fldChar w:fldCharType="separate"/>
          </w:r>
          <w:hyperlink w:anchor="_Toc81387180" w:history="1">
            <w:r w:rsidRPr="00816997">
              <w:rPr>
                <w:rStyle w:val="Hyperlink"/>
                <w:rFonts w:ascii="Times New Roman" w:hAnsi="Times New Roman" w:cs="Times New Roman"/>
                <w:noProof/>
                <w:sz w:val="24"/>
                <w:szCs w:val="24"/>
              </w:rPr>
              <w:t>ASSIGNMENT A1: FUNDAMENTALS OF ACCOUNTING</w:t>
            </w:r>
            <w:r w:rsidRPr="00816997">
              <w:rPr>
                <w:rFonts w:ascii="Times New Roman" w:hAnsi="Times New Roman" w:cs="Times New Roman"/>
                <w:noProof/>
                <w:webHidden/>
                <w:sz w:val="24"/>
                <w:szCs w:val="24"/>
              </w:rPr>
              <w:tab/>
            </w:r>
            <w:r w:rsidRPr="00816997">
              <w:rPr>
                <w:rFonts w:ascii="Times New Roman" w:hAnsi="Times New Roman" w:cs="Times New Roman"/>
                <w:noProof/>
                <w:webHidden/>
                <w:sz w:val="24"/>
                <w:szCs w:val="24"/>
              </w:rPr>
              <w:fldChar w:fldCharType="begin"/>
            </w:r>
            <w:r w:rsidRPr="00816997">
              <w:rPr>
                <w:rFonts w:ascii="Times New Roman" w:hAnsi="Times New Roman" w:cs="Times New Roman"/>
                <w:noProof/>
                <w:webHidden/>
                <w:sz w:val="24"/>
                <w:szCs w:val="24"/>
              </w:rPr>
              <w:instrText xml:space="preserve"> PAGEREF _Toc81387180 \h </w:instrText>
            </w:r>
            <w:r w:rsidRPr="00816997">
              <w:rPr>
                <w:rFonts w:ascii="Times New Roman" w:hAnsi="Times New Roman" w:cs="Times New Roman"/>
                <w:noProof/>
                <w:webHidden/>
                <w:sz w:val="24"/>
                <w:szCs w:val="24"/>
              </w:rPr>
            </w:r>
            <w:r w:rsidRPr="00816997">
              <w:rPr>
                <w:rFonts w:ascii="Times New Roman" w:hAnsi="Times New Roman" w:cs="Times New Roman"/>
                <w:noProof/>
                <w:webHidden/>
                <w:sz w:val="24"/>
                <w:szCs w:val="24"/>
              </w:rPr>
              <w:fldChar w:fldCharType="separate"/>
            </w:r>
            <w:r w:rsidRPr="00816997">
              <w:rPr>
                <w:rFonts w:ascii="Times New Roman" w:hAnsi="Times New Roman" w:cs="Times New Roman"/>
                <w:noProof/>
                <w:webHidden/>
                <w:sz w:val="24"/>
                <w:szCs w:val="24"/>
              </w:rPr>
              <w:t>1</w:t>
            </w:r>
            <w:r w:rsidRPr="00816997">
              <w:rPr>
                <w:rFonts w:ascii="Times New Roman" w:hAnsi="Times New Roman" w:cs="Times New Roman"/>
                <w:noProof/>
                <w:webHidden/>
                <w:sz w:val="24"/>
                <w:szCs w:val="24"/>
              </w:rPr>
              <w:fldChar w:fldCharType="end"/>
            </w:r>
          </w:hyperlink>
        </w:p>
        <w:p w:rsidR="00816997" w:rsidRPr="00816997" w:rsidRDefault="00C847DF" w:rsidP="00816997">
          <w:pPr>
            <w:pStyle w:val="TOC1"/>
            <w:tabs>
              <w:tab w:val="right" w:leader="dot" w:pos="9016"/>
            </w:tabs>
            <w:spacing w:line="360" w:lineRule="auto"/>
            <w:rPr>
              <w:rFonts w:ascii="Times New Roman" w:hAnsi="Times New Roman" w:cs="Times New Roman"/>
              <w:noProof/>
              <w:sz w:val="24"/>
              <w:szCs w:val="24"/>
            </w:rPr>
          </w:pPr>
          <w:hyperlink w:anchor="_Toc81387181" w:history="1">
            <w:r w:rsidR="00816997" w:rsidRPr="00816997">
              <w:rPr>
                <w:rStyle w:val="Hyperlink"/>
                <w:rFonts w:ascii="Times New Roman" w:hAnsi="Times New Roman" w:cs="Times New Roman"/>
                <w:noProof/>
                <w:sz w:val="24"/>
                <w:szCs w:val="24"/>
              </w:rPr>
              <w:t>Assignment A1: Fundamentals of Accounting</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_Toc81387181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3</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1"/>
            <w:tabs>
              <w:tab w:val="right" w:leader="dot" w:pos="9016"/>
            </w:tabs>
            <w:spacing w:line="360" w:lineRule="auto"/>
            <w:rPr>
              <w:rFonts w:ascii="Times New Roman" w:hAnsi="Times New Roman" w:cs="Times New Roman"/>
              <w:noProof/>
              <w:sz w:val="24"/>
              <w:szCs w:val="24"/>
            </w:rPr>
          </w:pPr>
          <w:hyperlink w:anchor="_Toc81387182" w:history="1">
            <w:r w:rsidR="00816997" w:rsidRPr="00816997">
              <w:rPr>
                <w:rStyle w:val="Hyperlink"/>
                <w:rFonts w:ascii="Times New Roman" w:hAnsi="Times New Roman" w:cs="Times New Roman"/>
                <w:noProof/>
                <w:sz w:val="24"/>
                <w:szCs w:val="24"/>
              </w:rPr>
              <w:t>Question 1 (a): Prepare a Profit and Loss statement for the year ended 31st December 2020 for Kedison PLC and a statement of financial position as at that date</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_Toc81387182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3</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83" w:history="1">
            <w:r w:rsidR="00816997" w:rsidRPr="00816997">
              <w:rPr>
                <w:rStyle w:val="Hyperlink"/>
                <w:rFonts w:ascii="Times New Roman" w:hAnsi="Times New Roman" w:cs="Times New Roman"/>
                <w:noProof/>
                <w:sz w:val="24"/>
                <w:szCs w:val="24"/>
              </w:rPr>
              <w:t>Statement of Profit And Loss</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_Toc81387183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3</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84" w:history="1">
            <w:r w:rsidR="00816997" w:rsidRPr="00816997">
              <w:rPr>
                <w:rStyle w:val="Hyperlink"/>
                <w:rFonts w:ascii="Times New Roman" w:hAnsi="Times New Roman" w:cs="Times New Roman"/>
                <w:noProof/>
                <w:sz w:val="24"/>
                <w:szCs w:val="24"/>
              </w:rPr>
              <w:t>Statement of Financial Position</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_Toc81387184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4</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3"/>
            <w:tabs>
              <w:tab w:val="right" w:leader="dot" w:pos="9016"/>
            </w:tabs>
            <w:spacing w:line="360" w:lineRule="auto"/>
            <w:rPr>
              <w:rFonts w:ascii="Times New Roman" w:hAnsi="Times New Roman" w:cs="Times New Roman"/>
              <w:noProof/>
              <w:sz w:val="24"/>
              <w:szCs w:val="24"/>
            </w:rPr>
          </w:pPr>
          <w:hyperlink w:anchor="_Toc81387185" w:history="1">
            <w:r w:rsidR="00816997" w:rsidRPr="00816997">
              <w:rPr>
                <w:rStyle w:val="Hyperlink"/>
                <w:rFonts w:ascii="Times New Roman" w:hAnsi="Times New Roman" w:cs="Times New Roman"/>
                <w:noProof/>
                <w:sz w:val="24"/>
                <w:szCs w:val="24"/>
              </w:rPr>
              <w:t>Notes on the preparation of the statement of financial position</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_Toc81387185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4</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1"/>
            <w:tabs>
              <w:tab w:val="right" w:leader="dot" w:pos="9016"/>
            </w:tabs>
            <w:spacing w:line="360" w:lineRule="auto"/>
            <w:rPr>
              <w:rFonts w:ascii="Times New Roman" w:hAnsi="Times New Roman" w:cs="Times New Roman"/>
              <w:noProof/>
              <w:sz w:val="24"/>
              <w:szCs w:val="24"/>
            </w:rPr>
          </w:pPr>
          <w:hyperlink w:anchor="_Toc81387186" w:history="1">
            <w:r w:rsidR="00816997" w:rsidRPr="00816997">
              <w:rPr>
                <w:rStyle w:val="Hyperlink"/>
                <w:rFonts w:ascii="Times New Roman" w:hAnsi="Times New Roman" w:cs="Times New Roman"/>
                <w:noProof/>
                <w:sz w:val="24"/>
                <w:szCs w:val="24"/>
              </w:rPr>
              <w:t>Question 1(b). Why does the statement of financial position balance?</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_Toc81387186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5</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1"/>
            <w:tabs>
              <w:tab w:val="right" w:leader="dot" w:pos="9016"/>
            </w:tabs>
            <w:spacing w:line="360" w:lineRule="auto"/>
            <w:rPr>
              <w:rFonts w:ascii="Times New Roman" w:hAnsi="Times New Roman" w:cs="Times New Roman"/>
              <w:noProof/>
              <w:sz w:val="24"/>
              <w:szCs w:val="24"/>
            </w:rPr>
          </w:pPr>
          <w:hyperlink w:anchor="_Toc81387187" w:history="1">
            <w:r w:rsidR="00816997" w:rsidRPr="00816997">
              <w:rPr>
                <w:rStyle w:val="Hyperlink"/>
                <w:rFonts w:ascii="Times New Roman" w:hAnsi="Times New Roman" w:cs="Times New Roman"/>
                <w:noProof/>
                <w:sz w:val="24"/>
                <w:szCs w:val="24"/>
              </w:rPr>
              <w:t>Question 2(a). Calculate the following ratios for Chocco Plc. for 2020 and 2019, showing the formulas and workings:</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_Toc81387187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6</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88" w:history="1">
            <w:r w:rsidR="00816997" w:rsidRPr="00816997">
              <w:rPr>
                <w:rStyle w:val="Hyperlink"/>
                <w:rFonts w:ascii="Times New Roman" w:hAnsi="Times New Roman" w:cs="Times New Roman"/>
                <w:noProof/>
                <w:sz w:val="24"/>
                <w:szCs w:val="24"/>
              </w:rPr>
              <w:t>1- ROCE</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_Toc81387188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6</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89" w:history="1">
            <w:r w:rsidR="00816997" w:rsidRPr="00816997">
              <w:rPr>
                <w:rStyle w:val="Hyperlink"/>
                <w:rFonts w:ascii="Times New Roman" w:hAnsi="Times New Roman" w:cs="Times New Roman"/>
                <w:noProof/>
                <w:sz w:val="24"/>
                <w:szCs w:val="24"/>
              </w:rPr>
              <w:t>2- ROE</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_Toc81387189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6</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0" w:history="1">
            <w:r w:rsidR="00816997" w:rsidRPr="00816997">
              <w:rPr>
                <w:rStyle w:val="Hyperlink"/>
                <w:rFonts w:ascii="Times New Roman" w:hAnsi="Times New Roman" w:cs="Times New Roman"/>
                <w:noProof/>
                <w:sz w:val="24"/>
                <w:szCs w:val="24"/>
              </w:rPr>
              <w:t>3- Earnings per share</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_Toc81387190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7</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1" w:history="1">
            <w:r w:rsidR="00816997" w:rsidRPr="00816997">
              <w:rPr>
                <w:rStyle w:val="Hyperlink"/>
                <w:rFonts w:ascii="Times New Roman" w:hAnsi="Times New Roman" w:cs="Times New Roman"/>
                <w:noProof/>
                <w:sz w:val="24"/>
                <w:szCs w:val="24"/>
              </w:rPr>
              <w:t>4- Net profit margin</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_Toc81387191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7</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2" w:history="1">
            <w:r w:rsidR="00816997" w:rsidRPr="00816997">
              <w:rPr>
                <w:rStyle w:val="Hyperlink"/>
                <w:rFonts w:ascii="Times New Roman" w:hAnsi="Times New Roman" w:cs="Times New Roman"/>
                <w:noProof/>
                <w:sz w:val="24"/>
                <w:szCs w:val="24"/>
              </w:rPr>
              <w:t>5- Asset turnover</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_Toc81387192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8</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3" w:history="1">
            <w:r w:rsidR="00816997" w:rsidRPr="00816997">
              <w:rPr>
                <w:rStyle w:val="Hyperlink"/>
                <w:rFonts w:ascii="Times New Roman" w:hAnsi="Times New Roman" w:cs="Times New Roman"/>
                <w:noProof/>
                <w:sz w:val="24"/>
                <w:szCs w:val="24"/>
              </w:rPr>
              <w:t>6- Stock holding days</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_Toc81387193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9</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4" w:history="1">
            <w:r w:rsidR="00816997" w:rsidRPr="00816997">
              <w:rPr>
                <w:rStyle w:val="Hyperlink"/>
                <w:rFonts w:ascii="Times New Roman" w:hAnsi="Times New Roman" w:cs="Times New Roman"/>
                <w:noProof/>
                <w:sz w:val="24"/>
                <w:szCs w:val="24"/>
              </w:rPr>
              <w:t>7- Debtors collection period</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_Toc81387194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9</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5" w:history="1">
            <w:r w:rsidR="00816997" w:rsidRPr="00816997">
              <w:rPr>
                <w:rStyle w:val="Hyperlink"/>
                <w:rFonts w:ascii="Times New Roman" w:hAnsi="Times New Roman" w:cs="Times New Roman"/>
                <w:noProof/>
                <w:sz w:val="24"/>
                <w:szCs w:val="24"/>
              </w:rPr>
              <w:t>8- Current ratio</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_Toc81387195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10</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6" w:history="1">
            <w:r w:rsidR="00816997" w:rsidRPr="00816997">
              <w:rPr>
                <w:rStyle w:val="Hyperlink"/>
                <w:rFonts w:ascii="Times New Roman" w:hAnsi="Times New Roman" w:cs="Times New Roman"/>
                <w:noProof/>
                <w:sz w:val="24"/>
                <w:szCs w:val="24"/>
              </w:rPr>
              <w:t>9- Gearing ratio</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_Toc81387196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10</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7" w:history="1">
            <w:r w:rsidR="00816997" w:rsidRPr="00816997">
              <w:rPr>
                <w:rStyle w:val="Hyperlink"/>
                <w:rFonts w:ascii="Times New Roman" w:hAnsi="Times New Roman" w:cs="Times New Roman"/>
                <w:noProof/>
                <w:sz w:val="24"/>
                <w:szCs w:val="24"/>
              </w:rPr>
              <w:t>10- Invertor cover</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_Toc81387197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11</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1"/>
            <w:tabs>
              <w:tab w:val="right" w:leader="dot" w:pos="9016"/>
            </w:tabs>
            <w:spacing w:line="360" w:lineRule="auto"/>
            <w:rPr>
              <w:rFonts w:ascii="Times New Roman" w:hAnsi="Times New Roman" w:cs="Times New Roman"/>
              <w:noProof/>
              <w:sz w:val="24"/>
              <w:szCs w:val="24"/>
            </w:rPr>
          </w:pPr>
          <w:hyperlink w:anchor="_Toc81387198" w:history="1">
            <w:r w:rsidR="00816997" w:rsidRPr="00816997">
              <w:rPr>
                <w:rStyle w:val="Hyperlink"/>
                <w:rFonts w:ascii="Times New Roman" w:hAnsi="Times New Roman" w:cs="Times New Roman"/>
                <w:noProof/>
                <w:sz w:val="24"/>
                <w:szCs w:val="24"/>
              </w:rPr>
              <w:t>Question 2(b). Using the information in the financial statements and the ratios you have calculated, comment on the financial performance and position of Chocco plc.</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_Toc81387198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11</w:t>
            </w:r>
            <w:r w:rsidR="00816997" w:rsidRPr="00816997">
              <w:rPr>
                <w:rFonts w:ascii="Times New Roman" w:hAnsi="Times New Roman" w:cs="Times New Roman"/>
                <w:noProof/>
                <w:webHidden/>
                <w:sz w:val="24"/>
                <w:szCs w:val="24"/>
              </w:rPr>
              <w:fldChar w:fldCharType="end"/>
            </w:r>
          </w:hyperlink>
        </w:p>
        <w:p w:rsidR="00816997" w:rsidRPr="00816997" w:rsidRDefault="00C847DF" w:rsidP="00816997">
          <w:pPr>
            <w:pStyle w:val="TOC2"/>
            <w:tabs>
              <w:tab w:val="right" w:leader="dot" w:pos="9016"/>
            </w:tabs>
            <w:spacing w:line="360" w:lineRule="auto"/>
            <w:rPr>
              <w:rFonts w:ascii="Times New Roman" w:hAnsi="Times New Roman" w:cs="Times New Roman"/>
              <w:noProof/>
              <w:sz w:val="24"/>
              <w:szCs w:val="24"/>
            </w:rPr>
          </w:pPr>
          <w:hyperlink w:anchor="_Toc81387199" w:history="1">
            <w:r w:rsidR="00816997" w:rsidRPr="00816997">
              <w:rPr>
                <w:rStyle w:val="Hyperlink"/>
                <w:rFonts w:ascii="Times New Roman" w:hAnsi="Times New Roman" w:cs="Times New Roman"/>
                <w:noProof/>
                <w:sz w:val="24"/>
                <w:szCs w:val="24"/>
              </w:rPr>
              <w:t>References</w:t>
            </w:r>
            <w:r w:rsidR="00816997" w:rsidRPr="00816997">
              <w:rPr>
                <w:rFonts w:ascii="Times New Roman" w:hAnsi="Times New Roman" w:cs="Times New Roman"/>
                <w:noProof/>
                <w:webHidden/>
                <w:sz w:val="24"/>
                <w:szCs w:val="24"/>
              </w:rPr>
              <w:tab/>
            </w:r>
            <w:r w:rsidR="00816997" w:rsidRPr="00816997">
              <w:rPr>
                <w:rFonts w:ascii="Times New Roman" w:hAnsi="Times New Roman" w:cs="Times New Roman"/>
                <w:noProof/>
                <w:webHidden/>
                <w:sz w:val="24"/>
                <w:szCs w:val="24"/>
              </w:rPr>
              <w:fldChar w:fldCharType="begin"/>
            </w:r>
            <w:r w:rsidR="00816997" w:rsidRPr="00816997">
              <w:rPr>
                <w:rFonts w:ascii="Times New Roman" w:hAnsi="Times New Roman" w:cs="Times New Roman"/>
                <w:noProof/>
                <w:webHidden/>
                <w:sz w:val="24"/>
                <w:szCs w:val="24"/>
              </w:rPr>
              <w:instrText xml:space="preserve"> PAGEREF _Toc81387199 \h </w:instrText>
            </w:r>
            <w:r w:rsidR="00816997" w:rsidRPr="00816997">
              <w:rPr>
                <w:rFonts w:ascii="Times New Roman" w:hAnsi="Times New Roman" w:cs="Times New Roman"/>
                <w:noProof/>
                <w:webHidden/>
                <w:sz w:val="24"/>
                <w:szCs w:val="24"/>
              </w:rPr>
            </w:r>
            <w:r w:rsidR="00816997" w:rsidRPr="00816997">
              <w:rPr>
                <w:rFonts w:ascii="Times New Roman" w:hAnsi="Times New Roman" w:cs="Times New Roman"/>
                <w:noProof/>
                <w:webHidden/>
                <w:sz w:val="24"/>
                <w:szCs w:val="24"/>
              </w:rPr>
              <w:fldChar w:fldCharType="separate"/>
            </w:r>
            <w:r w:rsidR="00816997" w:rsidRPr="00816997">
              <w:rPr>
                <w:rFonts w:ascii="Times New Roman" w:hAnsi="Times New Roman" w:cs="Times New Roman"/>
                <w:noProof/>
                <w:webHidden/>
                <w:sz w:val="24"/>
                <w:szCs w:val="24"/>
              </w:rPr>
              <w:t>13</w:t>
            </w:r>
            <w:r w:rsidR="00816997" w:rsidRPr="00816997">
              <w:rPr>
                <w:rFonts w:ascii="Times New Roman" w:hAnsi="Times New Roman" w:cs="Times New Roman"/>
                <w:noProof/>
                <w:webHidden/>
                <w:sz w:val="24"/>
                <w:szCs w:val="24"/>
              </w:rPr>
              <w:fldChar w:fldCharType="end"/>
            </w:r>
          </w:hyperlink>
        </w:p>
        <w:p w:rsidR="00816997" w:rsidRDefault="00816997" w:rsidP="00816997">
          <w:pPr>
            <w:spacing w:line="360" w:lineRule="auto"/>
          </w:pPr>
          <w:r w:rsidRPr="00816997">
            <w:rPr>
              <w:rFonts w:ascii="Times New Roman" w:hAnsi="Times New Roman" w:cs="Times New Roman"/>
              <w:b/>
              <w:bCs/>
              <w:noProof/>
              <w:sz w:val="24"/>
              <w:szCs w:val="24"/>
            </w:rPr>
            <w:fldChar w:fldCharType="end"/>
          </w:r>
        </w:p>
      </w:sdtContent>
    </w:sdt>
    <w:p w:rsidR="00B56410" w:rsidRPr="00816997" w:rsidRDefault="00B56410" w:rsidP="00816997">
      <w:pPr>
        <w:contextualSpacing/>
        <w:rPr>
          <w:rFonts w:ascii="Times New Roman" w:eastAsiaTheme="majorEastAsia" w:hAnsi="Times New Roman" w:cs="Times New Roman"/>
          <w:b/>
          <w:bCs/>
          <w:sz w:val="24"/>
          <w:szCs w:val="24"/>
        </w:rPr>
      </w:pPr>
      <w:r w:rsidRPr="00816997">
        <w:rPr>
          <w:rFonts w:ascii="Times New Roman" w:hAnsi="Times New Roman" w:cs="Times New Roman"/>
          <w:sz w:val="24"/>
          <w:szCs w:val="24"/>
        </w:rPr>
        <w:br w:type="page"/>
      </w:r>
    </w:p>
    <w:p w:rsidR="00351CC5" w:rsidRPr="00816997" w:rsidRDefault="00737396" w:rsidP="00816997">
      <w:pPr>
        <w:pStyle w:val="Heading1"/>
        <w:spacing w:line="480" w:lineRule="auto"/>
        <w:contextualSpacing/>
        <w:jc w:val="center"/>
        <w:rPr>
          <w:rFonts w:cs="Times New Roman"/>
          <w:color w:val="auto"/>
          <w:szCs w:val="24"/>
        </w:rPr>
      </w:pPr>
      <w:bookmarkStart w:id="1" w:name="_Toc81387181"/>
      <w:r w:rsidRPr="00816997">
        <w:rPr>
          <w:rFonts w:cs="Times New Roman"/>
          <w:color w:val="auto"/>
          <w:szCs w:val="24"/>
        </w:rPr>
        <w:lastRenderedPageBreak/>
        <w:t xml:space="preserve">Assignment A1: Fundamentals </w:t>
      </w:r>
      <w:r w:rsidR="00D34539" w:rsidRPr="00816997">
        <w:rPr>
          <w:rFonts w:cs="Times New Roman"/>
          <w:color w:val="auto"/>
          <w:szCs w:val="24"/>
        </w:rPr>
        <w:t>of Accounting</w:t>
      </w:r>
      <w:bookmarkEnd w:id="1"/>
    </w:p>
    <w:p w:rsidR="00D34539" w:rsidRPr="00816997" w:rsidRDefault="00EF6785" w:rsidP="00816997">
      <w:pPr>
        <w:pStyle w:val="Heading1"/>
        <w:spacing w:line="480" w:lineRule="auto"/>
        <w:contextualSpacing/>
        <w:rPr>
          <w:rStyle w:val="markedcontent"/>
          <w:rFonts w:cs="Times New Roman"/>
          <w:color w:val="auto"/>
          <w:szCs w:val="24"/>
        </w:rPr>
      </w:pPr>
      <w:bookmarkStart w:id="2" w:name="_Toc81387182"/>
      <w:r w:rsidRPr="00816997">
        <w:rPr>
          <w:rFonts w:cs="Times New Roman"/>
          <w:color w:val="auto"/>
          <w:szCs w:val="24"/>
        </w:rPr>
        <w:t xml:space="preserve">Question 1 (a): </w:t>
      </w:r>
      <w:r w:rsidRPr="00816997">
        <w:rPr>
          <w:rStyle w:val="markedcontent"/>
          <w:rFonts w:cs="Times New Roman"/>
          <w:color w:val="auto"/>
          <w:szCs w:val="24"/>
        </w:rPr>
        <w:t>Prepare a Profit and Loss statement for the year ended 31st December 2020 for Kedison PLC and a statement of financial position as at that date</w:t>
      </w:r>
      <w:bookmarkEnd w:id="2"/>
    </w:p>
    <w:p w:rsidR="00EF6785" w:rsidRPr="00816997" w:rsidRDefault="000D20B4"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The balances presented are extracts of the trial balance for Kedison Plc. </w:t>
      </w:r>
      <w:r w:rsidR="007C36EF" w:rsidRPr="00816997">
        <w:rPr>
          <w:rFonts w:ascii="Times New Roman" w:hAnsi="Times New Roman" w:cs="Times New Roman"/>
          <w:sz w:val="24"/>
          <w:szCs w:val="24"/>
        </w:rPr>
        <w:t xml:space="preserve">From the onset, it is critical to note that </w:t>
      </w:r>
      <w:r w:rsidR="009454AC" w:rsidRPr="00816997">
        <w:rPr>
          <w:rFonts w:ascii="Times New Roman" w:hAnsi="Times New Roman" w:cs="Times New Roman"/>
          <w:sz w:val="24"/>
          <w:szCs w:val="24"/>
        </w:rPr>
        <w:t>there are several types of balance in the trial balance. Assets have debit balances, expenses have debit balances, revenue has credit balances, expenses have debit balances, and equity and liabilities have credit balances</w:t>
      </w:r>
      <w:r w:rsidR="00F12818" w:rsidRPr="00816997">
        <w:rPr>
          <w:rFonts w:ascii="Times New Roman" w:hAnsi="Times New Roman" w:cs="Times New Roman"/>
          <w:sz w:val="24"/>
          <w:szCs w:val="24"/>
        </w:rPr>
        <w:t xml:space="preserve"> </w:t>
      </w:r>
      <w:r w:rsidR="00F12818" w:rsidRPr="00816997">
        <w:rPr>
          <w:rStyle w:val="selectable"/>
          <w:rFonts w:ascii="Times New Roman" w:hAnsi="Times New Roman" w:cs="Times New Roman"/>
          <w:color w:val="000000"/>
          <w:sz w:val="24"/>
          <w:szCs w:val="24"/>
        </w:rPr>
        <w:t>(Brealey, Myers and Allen, 2020)</w:t>
      </w:r>
      <w:r w:rsidR="009454AC" w:rsidRPr="00816997">
        <w:rPr>
          <w:rFonts w:ascii="Times New Roman" w:hAnsi="Times New Roman" w:cs="Times New Roman"/>
          <w:sz w:val="24"/>
          <w:szCs w:val="24"/>
        </w:rPr>
        <w:t xml:space="preserve">. This understanding is essential in identifying the </w:t>
      </w:r>
      <w:r w:rsidR="00A9571B" w:rsidRPr="00816997">
        <w:rPr>
          <w:rFonts w:ascii="Times New Roman" w:hAnsi="Times New Roman" w:cs="Times New Roman"/>
          <w:sz w:val="24"/>
          <w:szCs w:val="24"/>
        </w:rPr>
        <w:t xml:space="preserve">items that need to be posted to the statement of profit and loss as well as the items that need to be posted to the balance sheet. </w:t>
      </w:r>
    </w:p>
    <w:p w:rsidR="00D409E2" w:rsidRPr="00816997" w:rsidRDefault="00D409E2" w:rsidP="00816997">
      <w:pPr>
        <w:pStyle w:val="Heading2"/>
        <w:contextualSpacing/>
        <w:rPr>
          <w:rFonts w:cs="Times New Roman"/>
          <w:color w:val="auto"/>
          <w:szCs w:val="24"/>
        </w:rPr>
      </w:pPr>
      <w:bookmarkStart w:id="3" w:name="_Toc81387183"/>
      <w:r w:rsidRPr="00816997">
        <w:rPr>
          <w:rFonts w:cs="Times New Roman"/>
          <w:color w:val="auto"/>
          <w:szCs w:val="24"/>
        </w:rPr>
        <w:t>Statement of Profit And Loss</w:t>
      </w:r>
      <w:bookmarkEnd w:id="3"/>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9"/>
        <w:gridCol w:w="1704"/>
        <w:gridCol w:w="1160"/>
      </w:tblGrid>
      <w:tr w:rsidR="00665742" w:rsidRPr="00816997" w:rsidTr="005A1268">
        <w:trPr>
          <w:trHeight w:val="945"/>
          <w:jc w:val="center"/>
        </w:trPr>
        <w:tc>
          <w:tcPr>
            <w:tcW w:w="7863" w:type="dxa"/>
            <w:gridSpan w:val="3"/>
            <w:shd w:val="clear" w:color="auto" w:fill="auto"/>
            <w:noWrap/>
            <w:vAlign w:val="bottom"/>
            <w:hideMark/>
          </w:tcPr>
          <w:p w:rsidR="005A1268" w:rsidRPr="00816997" w:rsidRDefault="005A1268" w:rsidP="00816997">
            <w:pPr>
              <w:spacing w:after="0" w:line="240" w:lineRule="auto"/>
              <w:contextualSpacing/>
              <w:jc w:val="center"/>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Kedison Plc.</w:t>
            </w:r>
          </w:p>
          <w:p w:rsidR="005A1268" w:rsidRPr="00816997" w:rsidRDefault="005A1268" w:rsidP="00816997">
            <w:pPr>
              <w:spacing w:after="0" w:line="240" w:lineRule="auto"/>
              <w:contextualSpacing/>
              <w:jc w:val="center"/>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Profit and Loss Statement</w:t>
            </w:r>
          </w:p>
          <w:p w:rsidR="005A1268" w:rsidRPr="00816997" w:rsidRDefault="005A1268" w:rsidP="00816997">
            <w:pPr>
              <w:spacing w:after="0" w:line="240" w:lineRule="auto"/>
              <w:contextualSpacing/>
              <w:jc w:val="center"/>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For the Year Ended 31st December, 2020</w:t>
            </w: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Amount (£)</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Amount (£)</w:t>
            </w: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Cash Sales</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 xml:space="preserve">       826,650 </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Credit Sales</w:t>
            </w:r>
          </w:p>
        </w:tc>
        <w:tc>
          <w:tcPr>
            <w:tcW w:w="1704" w:type="dxa"/>
            <w:shd w:val="clear" w:color="auto" w:fill="auto"/>
            <w:noWrap/>
            <w:vAlign w:val="bottom"/>
            <w:hideMark/>
          </w:tcPr>
          <w:p w:rsidR="005A1268" w:rsidRPr="00816997" w:rsidRDefault="005A1268" w:rsidP="00816997">
            <w:pPr>
              <w:spacing w:after="0" w:line="240" w:lineRule="auto"/>
              <w:contextualSpacing/>
              <w:jc w:val="center"/>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980</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Gross Sales</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 xml:space="preserve">       </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827,630</w:t>
            </w: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Cost of sales</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 xml:space="preserve">       578,650 </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Gross Profit</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 xml:space="preserve">    248,980 </w:t>
            </w: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Operating Expenses</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Administrative Expenses</w:t>
            </w:r>
          </w:p>
        </w:tc>
        <w:tc>
          <w:tcPr>
            <w:tcW w:w="1704" w:type="dxa"/>
            <w:shd w:val="clear" w:color="auto" w:fill="auto"/>
            <w:noWrap/>
            <w:vAlign w:val="bottom"/>
            <w:hideMark/>
          </w:tcPr>
          <w:p w:rsidR="005A1268" w:rsidRPr="00816997" w:rsidRDefault="005A1268"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30,000</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Directors Remuneration</w:t>
            </w:r>
          </w:p>
        </w:tc>
        <w:tc>
          <w:tcPr>
            <w:tcW w:w="1704" w:type="dxa"/>
            <w:shd w:val="clear" w:color="auto" w:fill="auto"/>
            <w:noWrap/>
            <w:vAlign w:val="bottom"/>
            <w:hideMark/>
          </w:tcPr>
          <w:p w:rsidR="005A1268" w:rsidRPr="00816997" w:rsidRDefault="005A1268"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5,000</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Distribution cost</w:t>
            </w:r>
          </w:p>
        </w:tc>
        <w:tc>
          <w:tcPr>
            <w:tcW w:w="1704" w:type="dxa"/>
            <w:shd w:val="clear" w:color="auto" w:fill="auto"/>
            <w:noWrap/>
            <w:vAlign w:val="bottom"/>
            <w:hideMark/>
          </w:tcPr>
          <w:p w:rsidR="005A1268" w:rsidRPr="00816997" w:rsidRDefault="005A1268"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28,000</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B1D74"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 xml:space="preserve">Commissions </w:t>
            </w:r>
          </w:p>
        </w:tc>
        <w:tc>
          <w:tcPr>
            <w:tcW w:w="1704" w:type="dxa"/>
            <w:shd w:val="clear" w:color="auto" w:fill="auto"/>
            <w:noWrap/>
            <w:vAlign w:val="bottom"/>
            <w:hideMark/>
          </w:tcPr>
          <w:p w:rsidR="005A1268" w:rsidRPr="00816997" w:rsidRDefault="005A1268"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3,000</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Total Operating Expense</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66,000</w:t>
            </w:r>
          </w:p>
        </w:tc>
      </w:tr>
      <w:tr w:rsidR="00665742" w:rsidRPr="00816997" w:rsidTr="005A1268">
        <w:trPr>
          <w:trHeight w:val="315"/>
          <w:jc w:val="center"/>
        </w:trPr>
        <w:tc>
          <w:tcPr>
            <w:tcW w:w="4999" w:type="dxa"/>
            <w:shd w:val="clear" w:color="auto" w:fill="auto"/>
            <w:noWrap/>
            <w:vAlign w:val="bottom"/>
            <w:hideMark/>
          </w:tcPr>
          <w:p w:rsidR="005A1268" w:rsidRPr="00816997" w:rsidRDefault="0071150C"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 xml:space="preserve">Operating Profit </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 xml:space="preserve">       182,980 </w:t>
            </w: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Interest Expense</w:t>
            </w:r>
          </w:p>
        </w:tc>
        <w:tc>
          <w:tcPr>
            <w:tcW w:w="1704" w:type="dxa"/>
            <w:shd w:val="clear" w:color="auto" w:fill="auto"/>
            <w:noWrap/>
            <w:vAlign w:val="bottom"/>
            <w:hideMark/>
          </w:tcPr>
          <w:p w:rsidR="005A1268" w:rsidRPr="00816997" w:rsidRDefault="005A1268"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2,000</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043BFD"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Pre-tax income</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 xml:space="preserve">    180,980 </w:t>
            </w:r>
          </w:p>
        </w:tc>
      </w:tr>
      <w:tr w:rsidR="00665742" w:rsidRPr="00816997" w:rsidTr="005A1268">
        <w:trPr>
          <w:trHeight w:val="315"/>
          <w:jc w:val="center"/>
        </w:trPr>
        <w:tc>
          <w:tcPr>
            <w:tcW w:w="4999" w:type="dxa"/>
            <w:shd w:val="clear" w:color="auto" w:fill="auto"/>
            <w:noWrap/>
            <w:vAlign w:val="bottom"/>
            <w:hideMark/>
          </w:tcPr>
          <w:p w:rsidR="005A1268" w:rsidRPr="00816997" w:rsidRDefault="00AD4257"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Income tax</w:t>
            </w:r>
          </w:p>
        </w:tc>
        <w:tc>
          <w:tcPr>
            <w:tcW w:w="1704" w:type="dxa"/>
            <w:shd w:val="clear" w:color="auto" w:fill="auto"/>
            <w:noWrap/>
            <w:vAlign w:val="bottom"/>
            <w:hideMark/>
          </w:tcPr>
          <w:p w:rsidR="005A1268" w:rsidRPr="00816997" w:rsidRDefault="005A1268"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68,000</w:t>
            </w: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5A1268">
        <w:trPr>
          <w:trHeight w:val="315"/>
          <w:jc w:val="center"/>
        </w:trPr>
        <w:tc>
          <w:tcPr>
            <w:tcW w:w="4999"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Net Income</w:t>
            </w:r>
          </w:p>
        </w:tc>
        <w:tc>
          <w:tcPr>
            <w:tcW w:w="1704"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sz w:val="24"/>
                <w:szCs w:val="24"/>
                <w:lang w:eastAsia="en-GB"/>
              </w:rPr>
            </w:pPr>
          </w:p>
        </w:tc>
        <w:tc>
          <w:tcPr>
            <w:tcW w:w="1160" w:type="dxa"/>
            <w:shd w:val="clear" w:color="auto" w:fill="auto"/>
            <w:noWrap/>
            <w:vAlign w:val="bottom"/>
            <w:hideMark/>
          </w:tcPr>
          <w:p w:rsidR="005A1268" w:rsidRPr="00816997" w:rsidRDefault="005A1268"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 xml:space="preserve">    112,980 </w:t>
            </w:r>
          </w:p>
        </w:tc>
      </w:tr>
    </w:tbl>
    <w:p w:rsidR="00D409E2" w:rsidRPr="00816997" w:rsidRDefault="00E64147" w:rsidP="00816997">
      <w:pPr>
        <w:pStyle w:val="Heading2"/>
        <w:contextualSpacing/>
        <w:rPr>
          <w:rFonts w:cs="Times New Roman"/>
          <w:color w:val="auto"/>
          <w:szCs w:val="24"/>
        </w:rPr>
      </w:pPr>
      <w:bookmarkStart w:id="4" w:name="_Toc81387184"/>
      <w:r w:rsidRPr="00816997">
        <w:rPr>
          <w:rFonts w:cs="Times New Roman"/>
          <w:color w:val="auto"/>
          <w:szCs w:val="24"/>
        </w:rPr>
        <w:lastRenderedPageBreak/>
        <w:t>Statement of Financial Position</w:t>
      </w:r>
      <w:bookmarkEnd w:id="4"/>
    </w:p>
    <w:tbl>
      <w:tblPr>
        <w:tblW w:w="5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0"/>
        <w:gridCol w:w="1160"/>
        <w:gridCol w:w="1176"/>
      </w:tblGrid>
      <w:tr w:rsidR="00665742" w:rsidRPr="00816997" w:rsidTr="00FB0C44">
        <w:trPr>
          <w:trHeight w:val="945"/>
          <w:jc w:val="center"/>
        </w:trPr>
        <w:tc>
          <w:tcPr>
            <w:tcW w:w="5236" w:type="dxa"/>
            <w:gridSpan w:val="3"/>
            <w:shd w:val="clear" w:color="auto" w:fill="auto"/>
            <w:noWrap/>
            <w:vAlign w:val="bottom"/>
            <w:hideMark/>
          </w:tcPr>
          <w:p w:rsidR="00867012" w:rsidRPr="00816997" w:rsidRDefault="00867012" w:rsidP="00816997">
            <w:pPr>
              <w:spacing w:after="0" w:line="240" w:lineRule="auto"/>
              <w:contextualSpacing/>
              <w:jc w:val="center"/>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 xml:space="preserve">Kedison </w:t>
            </w:r>
            <w:r w:rsidR="0000595F" w:rsidRPr="00816997">
              <w:rPr>
                <w:rFonts w:ascii="Times New Roman" w:eastAsia="Times New Roman" w:hAnsi="Times New Roman" w:cs="Times New Roman"/>
                <w:b/>
                <w:sz w:val="24"/>
                <w:szCs w:val="24"/>
                <w:lang w:eastAsia="en-GB"/>
              </w:rPr>
              <w:t>Plc.</w:t>
            </w:r>
          </w:p>
          <w:p w:rsidR="00867012" w:rsidRPr="00816997" w:rsidRDefault="00867012" w:rsidP="00816997">
            <w:pPr>
              <w:spacing w:after="0" w:line="240" w:lineRule="auto"/>
              <w:contextualSpacing/>
              <w:jc w:val="center"/>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Balance Sheet</w:t>
            </w:r>
          </w:p>
          <w:p w:rsidR="00867012" w:rsidRPr="00816997" w:rsidRDefault="00867012" w:rsidP="00816997">
            <w:pPr>
              <w:spacing w:after="0" w:line="240" w:lineRule="auto"/>
              <w:contextualSpacing/>
              <w:jc w:val="center"/>
              <w:rPr>
                <w:rFonts w:ascii="Times New Roman" w:eastAsia="Times New Roman" w:hAnsi="Times New Roman" w:cs="Times New Roman"/>
                <w:sz w:val="24"/>
                <w:szCs w:val="24"/>
                <w:lang w:eastAsia="en-GB"/>
              </w:rPr>
            </w:pPr>
            <w:r w:rsidRPr="00816997">
              <w:rPr>
                <w:rFonts w:ascii="Times New Roman" w:eastAsia="Times New Roman" w:hAnsi="Times New Roman" w:cs="Times New Roman"/>
                <w:b/>
                <w:sz w:val="24"/>
                <w:szCs w:val="24"/>
                <w:lang w:eastAsia="en-GB"/>
              </w:rPr>
              <w:t>As at 31st December, 2020</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Amount (£)</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Amount (£)</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ASSETS</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Non-Current (Fixed Assets)</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Plant and Equipment</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632,730</w:t>
            </w:r>
          </w:p>
        </w:tc>
        <w:tc>
          <w:tcPr>
            <w:tcW w:w="1176"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632,730</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Current Assets</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Inventory</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330,600</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Debtors</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170,125</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Cash and Bank</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12,900</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Accrued Revenue</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980</w:t>
            </w:r>
          </w:p>
        </w:tc>
        <w:tc>
          <w:tcPr>
            <w:tcW w:w="1176"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514,605</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Total Assets</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1,147,335</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LIABILITIES</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Current Liabilities</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Trade Creditors</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171,355</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Accrued Expenses</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3,000</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Tax Payable</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68,000</w:t>
            </w:r>
          </w:p>
        </w:tc>
        <w:tc>
          <w:tcPr>
            <w:tcW w:w="1176"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242,355</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Non-Current Liabilities</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Debentures</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100,000</w:t>
            </w:r>
          </w:p>
        </w:tc>
        <w:tc>
          <w:tcPr>
            <w:tcW w:w="1176"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100,000</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Total Liabilities</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342,355</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Equity</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Share capital</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310,000</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30"/>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Preference Equity</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300,000</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Retained Earnings</w:t>
            </w:r>
          </w:p>
        </w:tc>
        <w:tc>
          <w:tcPr>
            <w:tcW w:w="1160"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194,980</w:t>
            </w:r>
          </w:p>
        </w:tc>
        <w:tc>
          <w:tcPr>
            <w:tcW w:w="1176"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Total Equity</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804,980</w:t>
            </w:r>
          </w:p>
        </w:tc>
      </w:tr>
      <w:tr w:rsidR="00665742" w:rsidRPr="00816997" w:rsidTr="00FB0C44">
        <w:trPr>
          <w:trHeight w:val="315"/>
          <w:jc w:val="center"/>
        </w:trPr>
        <w:tc>
          <w:tcPr>
            <w:tcW w:w="290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Total Liabilities and Equity</w:t>
            </w:r>
          </w:p>
        </w:tc>
        <w:tc>
          <w:tcPr>
            <w:tcW w:w="1160" w:type="dxa"/>
            <w:shd w:val="clear" w:color="auto" w:fill="auto"/>
            <w:noWrap/>
            <w:vAlign w:val="bottom"/>
            <w:hideMark/>
          </w:tcPr>
          <w:p w:rsidR="00867012" w:rsidRPr="00816997" w:rsidRDefault="00867012" w:rsidP="00816997">
            <w:pPr>
              <w:spacing w:after="0" w:line="240" w:lineRule="auto"/>
              <w:contextualSpacing/>
              <w:rPr>
                <w:rFonts w:ascii="Times New Roman" w:eastAsia="Times New Roman" w:hAnsi="Times New Roman" w:cs="Times New Roman"/>
                <w:sz w:val="24"/>
                <w:szCs w:val="24"/>
                <w:lang w:eastAsia="en-GB"/>
              </w:rPr>
            </w:pPr>
          </w:p>
        </w:tc>
        <w:tc>
          <w:tcPr>
            <w:tcW w:w="1176" w:type="dxa"/>
            <w:shd w:val="clear" w:color="auto" w:fill="auto"/>
            <w:noWrap/>
            <w:vAlign w:val="bottom"/>
            <w:hideMark/>
          </w:tcPr>
          <w:p w:rsidR="00867012" w:rsidRPr="00816997" w:rsidRDefault="00867012" w:rsidP="00816997">
            <w:pPr>
              <w:spacing w:after="0" w:line="240" w:lineRule="auto"/>
              <w:contextualSpacing/>
              <w:jc w:val="right"/>
              <w:rPr>
                <w:rFonts w:ascii="Times New Roman" w:eastAsia="Times New Roman" w:hAnsi="Times New Roman" w:cs="Times New Roman"/>
                <w:b/>
                <w:bCs/>
                <w:sz w:val="24"/>
                <w:szCs w:val="24"/>
                <w:lang w:eastAsia="en-GB"/>
              </w:rPr>
            </w:pPr>
            <w:r w:rsidRPr="00816997">
              <w:rPr>
                <w:rFonts w:ascii="Times New Roman" w:eastAsia="Times New Roman" w:hAnsi="Times New Roman" w:cs="Times New Roman"/>
                <w:b/>
                <w:bCs/>
                <w:sz w:val="24"/>
                <w:szCs w:val="24"/>
                <w:lang w:eastAsia="en-GB"/>
              </w:rPr>
              <w:t>1,147,335</w:t>
            </w:r>
          </w:p>
        </w:tc>
      </w:tr>
    </w:tbl>
    <w:p w:rsidR="00E64147" w:rsidRPr="00816997" w:rsidRDefault="00543663" w:rsidP="00816997">
      <w:pPr>
        <w:pStyle w:val="Heading3"/>
        <w:contextualSpacing/>
        <w:rPr>
          <w:rFonts w:cs="Times New Roman"/>
          <w:color w:val="auto"/>
          <w:szCs w:val="24"/>
        </w:rPr>
      </w:pPr>
      <w:bookmarkStart w:id="5" w:name="_Toc81387185"/>
      <w:r w:rsidRPr="00816997">
        <w:rPr>
          <w:rFonts w:cs="Times New Roman"/>
          <w:color w:val="auto"/>
          <w:szCs w:val="24"/>
        </w:rPr>
        <w:t>Notes on the preparation of the statement of financial position</w:t>
      </w:r>
      <w:bookmarkEnd w:id="5"/>
    </w:p>
    <w:p w:rsidR="00543663" w:rsidRPr="00816997" w:rsidRDefault="0071172E"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There is a critical preliminary calculation performed before the preparation of the balance sheet to find the accurate retained earnings to be posted to the balance sheet. This computation is done as follows. </w:t>
      </w:r>
    </w:p>
    <w:p w:rsidR="0071172E" w:rsidRPr="00816997" w:rsidRDefault="00F80D13"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Opening retained earnings: </w:t>
      </w:r>
      <w:r w:rsidRPr="00816997">
        <w:rPr>
          <w:rFonts w:ascii="Times New Roman" w:eastAsia="Times New Roman" w:hAnsi="Times New Roman" w:cs="Times New Roman"/>
          <w:sz w:val="24"/>
          <w:szCs w:val="24"/>
          <w:lang w:eastAsia="en-GB"/>
        </w:rPr>
        <w:t>£132,000</w:t>
      </w:r>
    </w:p>
    <w:p w:rsidR="00F80D13" w:rsidRPr="00816997" w:rsidRDefault="00F80D13"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Add net income for financial year 2020: £112,980</w:t>
      </w:r>
    </w:p>
    <w:p w:rsidR="00F80D13" w:rsidRPr="00816997" w:rsidRDefault="00F80D13"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Less ordinary and preference dividend pay-outs: (£20,000 + £30,000)</w:t>
      </w:r>
    </w:p>
    <w:p w:rsidR="00F80D13" w:rsidRPr="00816997" w:rsidRDefault="00F80D13"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Closing retained earnings:  £194,980</w:t>
      </w:r>
    </w:p>
    <w:p w:rsidR="00F80D13" w:rsidRPr="00816997" w:rsidRDefault="00F80D13"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lastRenderedPageBreak/>
        <w:t xml:space="preserve">A review of the balance sheet confirms that, indeed, the closing retained earnings of £194,980 have been posted to the </w:t>
      </w:r>
      <w:r w:rsidR="00F7137A" w:rsidRPr="00816997">
        <w:rPr>
          <w:rFonts w:ascii="Times New Roman" w:eastAsia="Times New Roman" w:hAnsi="Times New Roman" w:cs="Times New Roman"/>
          <w:sz w:val="24"/>
          <w:szCs w:val="24"/>
          <w:lang w:eastAsia="en-GB"/>
        </w:rPr>
        <w:t xml:space="preserve">equity’s section of the balance sheet. </w:t>
      </w:r>
    </w:p>
    <w:p w:rsidR="00F7137A" w:rsidRPr="00816997" w:rsidRDefault="00C51C0B" w:rsidP="00816997">
      <w:pPr>
        <w:pStyle w:val="Heading1"/>
        <w:spacing w:line="480" w:lineRule="auto"/>
        <w:contextualSpacing/>
        <w:rPr>
          <w:rFonts w:cs="Times New Roman"/>
          <w:color w:val="auto"/>
          <w:szCs w:val="24"/>
        </w:rPr>
      </w:pPr>
      <w:bookmarkStart w:id="6" w:name="_Toc81387186"/>
      <w:r w:rsidRPr="00816997">
        <w:rPr>
          <w:rFonts w:cs="Times New Roman"/>
          <w:color w:val="auto"/>
          <w:szCs w:val="24"/>
        </w:rPr>
        <w:t xml:space="preserve">Question 1(b). </w:t>
      </w:r>
      <w:r w:rsidRPr="00816997">
        <w:rPr>
          <w:rStyle w:val="markedcontent"/>
          <w:rFonts w:cs="Times New Roman"/>
          <w:color w:val="auto"/>
          <w:szCs w:val="24"/>
        </w:rPr>
        <w:t>Why does the statement of financial position balance?</w:t>
      </w:r>
      <w:bookmarkEnd w:id="6"/>
    </w:p>
    <w:p w:rsidR="00D409E2" w:rsidRPr="00816997" w:rsidRDefault="005C5D96"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A balance of the </w:t>
      </w:r>
      <w:r w:rsidR="00BE786F" w:rsidRPr="00816997">
        <w:rPr>
          <w:rFonts w:ascii="Times New Roman" w:hAnsi="Times New Roman" w:cs="Times New Roman"/>
          <w:sz w:val="24"/>
          <w:szCs w:val="24"/>
        </w:rPr>
        <w:t xml:space="preserve">statement of financial statement is evidenced when the total assets are equal to the sum of liabilities and equity. With reference to Kedison Plc., it can be noted that the balance sheet balances. There are several reasons to justify why there is this balance. The first reason </w:t>
      </w:r>
      <w:r w:rsidR="00611FCD" w:rsidRPr="00816997">
        <w:rPr>
          <w:rFonts w:ascii="Times New Roman" w:hAnsi="Times New Roman" w:cs="Times New Roman"/>
          <w:sz w:val="24"/>
          <w:szCs w:val="24"/>
        </w:rPr>
        <w:t xml:space="preserve">is that </w:t>
      </w:r>
      <w:r w:rsidR="00CE6F82" w:rsidRPr="00816997">
        <w:rPr>
          <w:rFonts w:ascii="Times New Roman" w:hAnsi="Times New Roman" w:cs="Times New Roman"/>
          <w:sz w:val="24"/>
          <w:szCs w:val="24"/>
        </w:rPr>
        <w:t xml:space="preserve">the figures posted in the balance sheet are extracted from individual ledger accounts. These ledger accounts have debit and credit balance. Additionally, for each debit transaction in a specific account, there is an equal credit transaction in another </w:t>
      </w:r>
      <w:r w:rsidR="00B56410" w:rsidRPr="00816997">
        <w:rPr>
          <w:rFonts w:ascii="Times New Roman" w:hAnsi="Times New Roman" w:cs="Times New Roman"/>
          <w:sz w:val="24"/>
          <w:szCs w:val="24"/>
        </w:rPr>
        <w:t>account</w:t>
      </w:r>
      <w:r w:rsidR="00B56410" w:rsidRPr="00816997">
        <w:rPr>
          <w:rStyle w:val="selectable"/>
          <w:rFonts w:ascii="Times New Roman" w:hAnsi="Times New Roman" w:cs="Times New Roman"/>
          <w:color w:val="000000"/>
          <w:sz w:val="24"/>
          <w:szCs w:val="24"/>
        </w:rPr>
        <w:t xml:space="preserve"> (Philips, Libby and Libby, 2012)</w:t>
      </w:r>
      <w:r w:rsidR="00CE6F82" w:rsidRPr="00816997">
        <w:rPr>
          <w:rFonts w:ascii="Times New Roman" w:hAnsi="Times New Roman" w:cs="Times New Roman"/>
          <w:sz w:val="24"/>
          <w:szCs w:val="24"/>
        </w:rPr>
        <w:t>.  For example, for Kedison Plc., an increase in inventory is likely to be associated with an increase in payables because the additional stock is ideally acquired on credit. Similarly, an increase in the debit balance of fixed assets should correspond with an increase in credit balance for equity (shareholders’ contribution) or liabilities</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(Philips, Libby and Libby, 2012)</w:t>
      </w:r>
      <w:r w:rsidR="00CE6F82" w:rsidRPr="00816997">
        <w:rPr>
          <w:rFonts w:ascii="Times New Roman" w:hAnsi="Times New Roman" w:cs="Times New Roman"/>
          <w:sz w:val="24"/>
          <w:szCs w:val="24"/>
        </w:rPr>
        <w:t xml:space="preserve">. This principle of double entry in book keeping ensures that once the balances as at a particular date are posted to the </w:t>
      </w:r>
      <w:r w:rsidR="006006F1" w:rsidRPr="00816997">
        <w:rPr>
          <w:rFonts w:ascii="Times New Roman" w:hAnsi="Times New Roman" w:cs="Times New Roman"/>
          <w:sz w:val="24"/>
          <w:szCs w:val="24"/>
        </w:rPr>
        <w:t xml:space="preserve">balance sheet, there is a balance between the assets side on one end, and liabilities and equity side, on the other end. </w:t>
      </w:r>
    </w:p>
    <w:p w:rsidR="006006F1" w:rsidRPr="00816997" w:rsidRDefault="00667DE5"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Another justification for the balance of the statement of financial position is that the liabilities and equity section shows the amount raised to support business operations, whereas the assets side shows the instruments acquired to support operations</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(Philips, Libby and Libby, 2012)</w:t>
      </w:r>
      <w:r w:rsidRPr="00816997">
        <w:rPr>
          <w:rFonts w:ascii="Times New Roman" w:hAnsi="Times New Roman" w:cs="Times New Roman"/>
          <w:sz w:val="24"/>
          <w:szCs w:val="24"/>
        </w:rPr>
        <w:t>. In this case, the deduction is that the assets are acquired using the proceeds of debt or equity such that for every liability transaction, there is an asset’s transaction of an equivalent value. Similarly, for every equity transaction, there is a corresponding transaction in the assets’ section of an equivalent value</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(Philips, Libby and Libby, 2012)</w:t>
      </w:r>
      <w:r w:rsidRPr="00816997">
        <w:rPr>
          <w:rFonts w:ascii="Times New Roman" w:hAnsi="Times New Roman" w:cs="Times New Roman"/>
          <w:sz w:val="24"/>
          <w:szCs w:val="24"/>
        </w:rPr>
        <w:t xml:space="preserve">. </w:t>
      </w:r>
    </w:p>
    <w:p w:rsidR="00667DE5" w:rsidRPr="00816997" w:rsidRDefault="008D003B" w:rsidP="00816997">
      <w:pPr>
        <w:pStyle w:val="Heading1"/>
        <w:contextualSpacing/>
        <w:rPr>
          <w:rStyle w:val="markedcontent"/>
          <w:rFonts w:cs="Times New Roman"/>
          <w:color w:val="auto"/>
          <w:szCs w:val="24"/>
        </w:rPr>
      </w:pPr>
      <w:bookmarkStart w:id="7" w:name="_Toc81387187"/>
      <w:r w:rsidRPr="00816997">
        <w:rPr>
          <w:rFonts w:cs="Times New Roman"/>
          <w:color w:val="auto"/>
          <w:szCs w:val="24"/>
        </w:rPr>
        <w:lastRenderedPageBreak/>
        <w:t xml:space="preserve">Question 2(a). </w:t>
      </w:r>
      <w:r w:rsidRPr="00816997">
        <w:rPr>
          <w:rStyle w:val="markedcontent"/>
          <w:rFonts w:cs="Times New Roman"/>
          <w:color w:val="auto"/>
          <w:szCs w:val="24"/>
        </w:rPr>
        <w:t xml:space="preserve">Calculate the following ratios for Chocco </w:t>
      </w:r>
      <w:r w:rsidR="00EC00DB" w:rsidRPr="00816997">
        <w:rPr>
          <w:rStyle w:val="markedcontent"/>
          <w:rFonts w:cs="Times New Roman"/>
          <w:color w:val="auto"/>
          <w:szCs w:val="24"/>
        </w:rPr>
        <w:t>Plc.</w:t>
      </w:r>
      <w:r w:rsidRPr="00816997">
        <w:rPr>
          <w:rStyle w:val="markedcontent"/>
          <w:rFonts w:cs="Times New Roman"/>
          <w:color w:val="auto"/>
          <w:szCs w:val="24"/>
        </w:rPr>
        <w:t xml:space="preserve"> for 2020 and 2019, showing the formulas and workings:</w:t>
      </w:r>
      <w:bookmarkEnd w:id="7"/>
    </w:p>
    <w:p w:rsidR="008D003B" w:rsidRPr="00816997" w:rsidRDefault="0020506B" w:rsidP="00816997">
      <w:pPr>
        <w:pStyle w:val="Heading2"/>
        <w:contextualSpacing/>
        <w:rPr>
          <w:rFonts w:cs="Times New Roman"/>
          <w:color w:val="auto"/>
          <w:szCs w:val="24"/>
        </w:rPr>
      </w:pPr>
      <w:bookmarkStart w:id="8" w:name="_Toc81387188"/>
      <w:r w:rsidRPr="00816997">
        <w:rPr>
          <w:rStyle w:val="markedcontent"/>
          <w:rFonts w:cs="Times New Roman"/>
          <w:color w:val="auto"/>
          <w:szCs w:val="24"/>
        </w:rPr>
        <w:t>1- ROCE</w:t>
      </w:r>
      <w:bookmarkEnd w:id="8"/>
    </w:p>
    <w:p w:rsidR="00D409E2" w:rsidRPr="00816997" w:rsidRDefault="00FF2DF2"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Return on capital employed shows the profitability of a company measured against the capital employed</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w:t>
      </w:r>
      <w:proofErr w:type="spellStart"/>
      <w:r w:rsidR="00B56410" w:rsidRPr="00816997">
        <w:rPr>
          <w:rStyle w:val="selectable"/>
          <w:rFonts w:ascii="Times New Roman" w:hAnsi="Times New Roman" w:cs="Times New Roman"/>
          <w:color w:val="000000"/>
          <w:sz w:val="24"/>
          <w:szCs w:val="24"/>
        </w:rPr>
        <w:t>Kieso</w:t>
      </w:r>
      <w:proofErr w:type="spellEnd"/>
      <w:r w:rsidR="00B56410" w:rsidRPr="00816997">
        <w:rPr>
          <w:rStyle w:val="selectable"/>
          <w:rFonts w:ascii="Times New Roman" w:hAnsi="Times New Roman" w:cs="Times New Roman"/>
          <w:color w:val="000000"/>
          <w:sz w:val="24"/>
          <w:szCs w:val="24"/>
        </w:rPr>
        <w:t xml:space="preserve">, </w:t>
      </w:r>
      <w:proofErr w:type="spellStart"/>
      <w:r w:rsidR="00B56410" w:rsidRPr="00816997">
        <w:rPr>
          <w:rStyle w:val="selectable"/>
          <w:rFonts w:ascii="Times New Roman" w:hAnsi="Times New Roman" w:cs="Times New Roman"/>
          <w:color w:val="000000"/>
          <w:sz w:val="24"/>
          <w:szCs w:val="24"/>
        </w:rPr>
        <w:t>Weygandt</w:t>
      </w:r>
      <w:proofErr w:type="spellEnd"/>
      <w:r w:rsidR="00B56410" w:rsidRPr="00816997">
        <w:rPr>
          <w:rStyle w:val="selectable"/>
          <w:rFonts w:ascii="Times New Roman" w:hAnsi="Times New Roman" w:cs="Times New Roman"/>
          <w:color w:val="000000"/>
          <w:sz w:val="24"/>
          <w:szCs w:val="24"/>
        </w:rPr>
        <w:t xml:space="preserve"> and Warfield, 2012)</w:t>
      </w:r>
      <w:r w:rsidRPr="00816997">
        <w:rPr>
          <w:rFonts w:ascii="Times New Roman" w:hAnsi="Times New Roman" w:cs="Times New Roman"/>
          <w:sz w:val="24"/>
          <w:szCs w:val="24"/>
        </w:rPr>
        <w:t xml:space="preserve">. The calculation of this ratio is preceded by a calculation on capital employed. </w:t>
      </w:r>
    </w:p>
    <w:p w:rsidR="00FF2DF2" w:rsidRPr="00816997" w:rsidRDefault="00FF2DF2"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The formula for ROCE is: ROCE = (Earnings before Interest and Tax (EBIT)/Capital employed) </w:t>
      </w:r>
      <w:r w:rsidRPr="00816997">
        <w:rPr>
          <w:rFonts w:ascii="Times New Roman" w:eastAsia="Times New Roman" w:hAnsi="Times New Roman" w:cs="Times New Roman"/>
          <w:sz w:val="24"/>
          <w:szCs w:val="24"/>
          <w:lang w:eastAsia="en-GB"/>
        </w:rPr>
        <w:t>× 100</w:t>
      </w:r>
    </w:p>
    <w:p w:rsidR="00FF2DF2" w:rsidRPr="00816997" w:rsidRDefault="00FF2DF2"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 xml:space="preserve">The formula for capital employed is: Capital Employed = Total Assets – Current liabilities </w:t>
      </w:r>
    </w:p>
    <w:p w:rsidR="00FF2DF2" w:rsidRPr="00816997" w:rsidRDefault="00FF2DF2"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 xml:space="preserve">The following is a calculation of the ratio for the two financial years. </w:t>
      </w:r>
    </w:p>
    <w:p w:rsidR="007E1F05" w:rsidRPr="00816997" w:rsidRDefault="007E1F05"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2019</w:t>
      </w:r>
    </w:p>
    <w:p w:rsidR="007E1F05" w:rsidRPr="00816997" w:rsidRDefault="007E1F0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 EBIT = </w:t>
      </w:r>
      <w:r w:rsidRPr="00816997">
        <w:rPr>
          <w:rFonts w:ascii="Times New Roman" w:eastAsia="Times New Roman" w:hAnsi="Times New Roman" w:cs="Times New Roman"/>
          <w:sz w:val="24"/>
          <w:szCs w:val="24"/>
          <w:lang w:eastAsia="en-GB"/>
        </w:rPr>
        <w:t>£699</w:t>
      </w:r>
    </w:p>
    <w:p w:rsidR="007E1F05" w:rsidRPr="00816997" w:rsidRDefault="007E1F0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 xml:space="preserve">Capital Employed = Total Assets – Current liabilities </w:t>
      </w:r>
    </w:p>
    <w:p w:rsidR="007E1F05" w:rsidRPr="00816997" w:rsidRDefault="007E1F0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Capital Employed = £10,087 - £3,046 = £7,041</w:t>
      </w:r>
    </w:p>
    <w:p w:rsidR="007E1F05" w:rsidRPr="00816997" w:rsidRDefault="007E1F05" w:rsidP="00816997">
      <w:pPr>
        <w:spacing w:line="480" w:lineRule="auto"/>
        <w:ind w:firstLine="720"/>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sz w:val="24"/>
          <w:szCs w:val="24"/>
          <w:lang w:eastAsia="en-GB"/>
        </w:rPr>
        <w:t>ROCE = (699/7,041) ×100 = 9.93%</w:t>
      </w:r>
    </w:p>
    <w:p w:rsidR="007E1F05" w:rsidRPr="00816997" w:rsidRDefault="007E1F05" w:rsidP="00816997">
      <w:pPr>
        <w:spacing w:line="480" w:lineRule="auto"/>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2020</w:t>
      </w:r>
    </w:p>
    <w:p w:rsidR="007E1F05" w:rsidRPr="00816997" w:rsidRDefault="007E1F0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EBIT = </w:t>
      </w:r>
      <w:r w:rsidRPr="00816997">
        <w:rPr>
          <w:rFonts w:ascii="Times New Roman" w:eastAsia="Times New Roman" w:hAnsi="Times New Roman" w:cs="Times New Roman"/>
          <w:sz w:val="24"/>
          <w:szCs w:val="24"/>
          <w:lang w:eastAsia="en-GB"/>
        </w:rPr>
        <w:t>£805</w:t>
      </w:r>
    </w:p>
    <w:p w:rsidR="007E1F05" w:rsidRPr="00816997" w:rsidRDefault="007E1F0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 xml:space="preserve">Capital Employed = Total Assets – Current liabilities </w:t>
      </w:r>
    </w:p>
    <w:p w:rsidR="007E1F05" w:rsidRPr="00816997" w:rsidRDefault="007E1F0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Capital Employed = £9,736 - £2,511 = £7,225</w:t>
      </w:r>
    </w:p>
    <w:p w:rsidR="007E1F05" w:rsidRPr="00816997" w:rsidRDefault="007E1F05" w:rsidP="00816997">
      <w:pPr>
        <w:spacing w:line="480" w:lineRule="auto"/>
        <w:ind w:firstLine="720"/>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sz w:val="24"/>
          <w:szCs w:val="24"/>
          <w:lang w:eastAsia="en-GB"/>
        </w:rPr>
        <w:t>ROCE = (805/7,225) ×100 = 11.14%</w:t>
      </w:r>
    </w:p>
    <w:p w:rsidR="00FF2DF2" w:rsidRPr="00816997" w:rsidRDefault="001F3BA8" w:rsidP="00816997">
      <w:pPr>
        <w:pStyle w:val="Heading2"/>
        <w:contextualSpacing/>
        <w:rPr>
          <w:rFonts w:cs="Times New Roman"/>
          <w:color w:val="auto"/>
          <w:szCs w:val="24"/>
        </w:rPr>
      </w:pPr>
      <w:bookmarkStart w:id="9" w:name="_Toc81387189"/>
      <w:r w:rsidRPr="00816997">
        <w:rPr>
          <w:rStyle w:val="markedcontent"/>
          <w:rFonts w:cs="Times New Roman"/>
          <w:color w:val="auto"/>
          <w:szCs w:val="24"/>
        </w:rPr>
        <w:t>2- ROE</w:t>
      </w:r>
      <w:bookmarkEnd w:id="9"/>
    </w:p>
    <w:p w:rsidR="00FF2DF2" w:rsidRPr="00816997" w:rsidRDefault="000D6EB4"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Return on equity is an important ratio to the internal and external stakeholders of a company because it measures a company’s </w:t>
      </w:r>
      <w:r w:rsidR="00A23C5B" w:rsidRPr="00816997">
        <w:rPr>
          <w:rFonts w:ascii="Times New Roman" w:hAnsi="Times New Roman" w:cs="Times New Roman"/>
          <w:sz w:val="24"/>
          <w:szCs w:val="24"/>
        </w:rPr>
        <w:t xml:space="preserve">profitability </w:t>
      </w:r>
      <w:r w:rsidR="00F411C7" w:rsidRPr="00816997">
        <w:rPr>
          <w:rFonts w:ascii="Times New Roman" w:hAnsi="Times New Roman" w:cs="Times New Roman"/>
          <w:sz w:val="24"/>
          <w:szCs w:val="24"/>
        </w:rPr>
        <w:t>against the equity provided by the shareholders</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w:t>
      </w:r>
      <w:proofErr w:type="spellStart"/>
      <w:r w:rsidR="00B56410" w:rsidRPr="00816997">
        <w:rPr>
          <w:rStyle w:val="selectable"/>
          <w:rFonts w:ascii="Times New Roman" w:hAnsi="Times New Roman" w:cs="Times New Roman"/>
          <w:color w:val="000000"/>
          <w:sz w:val="24"/>
          <w:szCs w:val="24"/>
        </w:rPr>
        <w:t>Kieso</w:t>
      </w:r>
      <w:proofErr w:type="spellEnd"/>
      <w:r w:rsidR="00B56410" w:rsidRPr="00816997">
        <w:rPr>
          <w:rStyle w:val="selectable"/>
          <w:rFonts w:ascii="Times New Roman" w:hAnsi="Times New Roman" w:cs="Times New Roman"/>
          <w:color w:val="000000"/>
          <w:sz w:val="24"/>
          <w:szCs w:val="24"/>
        </w:rPr>
        <w:t xml:space="preserve">, </w:t>
      </w:r>
      <w:proofErr w:type="spellStart"/>
      <w:r w:rsidR="00B56410" w:rsidRPr="00816997">
        <w:rPr>
          <w:rStyle w:val="selectable"/>
          <w:rFonts w:ascii="Times New Roman" w:hAnsi="Times New Roman" w:cs="Times New Roman"/>
          <w:color w:val="000000"/>
          <w:sz w:val="24"/>
          <w:szCs w:val="24"/>
        </w:rPr>
        <w:t>Weygandt</w:t>
      </w:r>
      <w:proofErr w:type="spellEnd"/>
      <w:r w:rsidR="00B56410" w:rsidRPr="00816997">
        <w:rPr>
          <w:rStyle w:val="selectable"/>
          <w:rFonts w:ascii="Times New Roman" w:hAnsi="Times New Roman" w:cs="Times New Roman"/>
          <w:color w:val="000000"/>
          <w:sz w:val="24"/>
          <w:szCs w:val="24"/>
        </w:rPr>
        <w:t xml:space="preserve"> and Warfield, 2012)</w:t>
      </w:r>
      <w:r w:rsidR="00F411C7" w:rsidRPr="00816997">
        <w:rPr>
          <w:rFonts w:ascii="Times New Roman" w:hAnsi="Times New Roman" w:cs="Times New Roman"/>
          <w:sz w:val="24"/>
          <w:szCs w:val="24"/>
        </w:rPr>
        <w:t xml:space="preserve">. </w:t>
      </w:r>
    </w:p>
    <w:p w:rsidR="00696966" w:rsidRPr="00816997" w:rsidRDefault="00696966"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The formula for ROE: ROE = (Net income/Shareholders’ equity)</w:t>
      </w:r>
      <w:r w:rsidRPr="00816997">
        <w:rPr>
          <w:rFonts w:ascii="Times New Roman" w:eastAsia="Times New Roman" w:hAnsi="Times New Roman" w:cs="Times New Roman"/>
          <w:sz w:val="24"/>
          <w:szCs w:val="24"/>
          <w:lang w:eastAsia="en-GB"/>
        </w:rPr>
        <w:t xml:space="preserve"> × 100</w:t>
      </w:r>
    </w:p>
    <w:p w:rsidR="00696966" w:rsidRPr="00816997" w:rsidRDefault="00696966" w:rsidP="00816997">
      <w:pPr>
        <w:spacing w:line="480" w:lineRule="auto"/>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lastRenderedPageBreak/>
        <w:t>2019</w:t>
      </w:r>
    </w:p>
    <w:p w:rsidR="00696966" w:rsidRPr="00816997" w:rsidRDefault="00696966"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Net income = £366</w:t>
      </w:r>
    </w:p>
    <w:p w:rsidR="00696966" w:rsidRPr="00816997" w:rsidRDefault="00696966"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Equity = £2,912</w:t>
      </w:r>
    </w:p>
    <w:p w:rsidR="00696966" w:rsidRPr="00816997" w:rsidRDefault="00696966"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ROE = (366/2,912) × 100 = 12.57%</w:t>
      </w:r>
    </w:p>
    <w:p w:rsidR="00696966" w:rsidRPr="00816997" w:rsidRDefault="00696966"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2020</w:t>
      </w:r>
    </w:p>
    <w:p w:rsidR="00696966" w:rsidRPr="00816997" w:rsidRDefault="00696966"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Net income = </w:t>
      </w:r>
      <w:r w:rsidRPr="00816997">
        <w:rPr>
          <w:rFonts w:ascii="Times New Roman" w:eastAsia="Times New Roman" w:hAnsi="Times New Roman" w:cs="Times New Roman"/>
          <w:sz w:val="24"/>
          <w:szCs w:val="24"/>
          <w:lang w:eastAsia="en-GB"/>
        </w:rPr>
        <w:t>£431</w:t>
      </w:r>
    </w:p>
    <w:p w:rsidR="00696966" w:rsidRPr="00816997" w:rsidRDefault="00696966"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Equity = £3,088</w:t>
      </w:r>
    </w:p>
    <w:p w:rsidR="00696966" w:rsidRPr="00816997" w:rsidRDefault="00696966"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ROE = (431/3,088) ×100 = 13.96%</w:t>
      </w:r>
    </w:p>
    <w:p w:rsidR="00696966" w:rsidRPr="00816997" w:rsidRDefault="00C45E22" w:rsidP="00816997">
      <w:pPr>
        <w:pStyle w:val="Heading2"/>
        <w:contextualSpacing/>
        <w:rPr>
          <w:rStyle w:val="markedcontent"/>
          <w:rFonts w:cs="Times New Roman"/>
          <w:color w:val="auto"/>
          <w:szCs w:val="24"/>
        </w:rPr>
      </w:pPr>
      <w:bookmarkStart w:id="10" w:name="_Toc81387190"/>
      <w:r w:rsidRPr="00816997">
        <w:rPr>
          <w:rStyle w:val="markedcontent"/>
          <w:rFonts w:cs="Times New Roman"/>
          <w:color w:val="auto"/>
          <w:szCs w:val="24"/>
        </w:rPr>
        <w:t>3- Earnings per share</w:t>
      </w:r>
      <w:bookmarkEnd w:id="10"/>
    </w:p>
    <w:p w:rsidR="00C45E22" w:rsidRPr="00816997" w:rsidRDefault="00993FF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Earnings per share ratio</w:t>
      </w:r>
      <w:r w:rsidR="0025254C" w:rsidRPr="00816997">
        <w:rPr>
          <w:rFonts w:ascii="Times New Roman" w:hAnsi="Times New Roman" w:cs="Times New Roman"/>
          <w:sz w:val="24"/>
          <w:szCs w:val="24"/>
        </w:rPr>
        <w:t xml:space="preserve"> (EPS) is</w:t>
      </w:r>
      <w:r w:rsidRPr="00816997">
        <w:rPr>
          <w:rFonts w:ascii="Times New Roman" w:hAnsi="Times New Roman" w:cs="Times New Roman"/>
          <w:sz w:val="24"/>
          <w:szCs w:val="24"/>
        </w:rPr>
        <w:t xml:space="preserve"> a critical financial ratio is that commonly used in the capital markets to compare the profitability of a company against market parameters such as market price per share of a stock</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w:t>
      </w:r>
      <w:proofErr w:type="spellStart"/>
      <w:r w:rsidR="00B56410" w:rsidRPr="00816997">
        <w:rPr>
          <w:rStyle w:val="selectable"/>
          <w:rFonts w:ascii="Times New Roman" w:hAnsi="Times New Roman" w:cs="Times New Roman"/>
          <w:color w:val="000000"/>
          <w:sz w:val="24"/>
          <w:szCs w:val="24"/>
        </w:rPr>
        <w:t>Suthan</w:t>
      </w:r>
      <w:proofErr w:type="spellEnd"/>
      <w:r w:rsidR="00B56410" w:rsidRPr="00816997">
        <w:rPr>
          <w:rStyle w:val="selectable"/>
          <w:rFonts w:ascii="Times New Roman" w:hAnsi="Times New Roman" w:cs="Times New Roman"/>
          <w:color w:val="000000"/>
          <w:sz w:val="24"/>
          <w:szCs w:val="24"/>
        </w:rPr>
        <w:t>, 2007)</w:t>
      </w:r>
      <w:r w:rsidRPr="00816997">
        <w:rPr>
          <w:rFonts w:ascii="Times New Roman" w:hAnsi="Times New Roman" w:cs="Times New Roman"/>
          <w:sz w:val="24"/>
          <w:szCs w:val="24"/>
        </w:rPr>
        <w:t xml:space="preserve">. </w:t>
      </w:r>
    </w:p>
    <w:p w:rsidR="0025254C" w:rsidRPr="00816997" w:rsidRDefault="0025254C"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The formula for EPS is: Net profit/Number of shares outstanding</w:t>
      </w:r>
    </w:p>
    <w:p w:rsidR="0025254C" w:rsidRPr="00816997" w:rsidRDefault="0025254C"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2019</w:t>
      </w:r>
    </w:p>
    <w:p w:rsidR="0025254C" w:rsidRPr="00816997" w:rsidRDefault="0025254C"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Net profit = </w:t>
      </w:r>
      <w:r w:rsidRPr="00816997">
        <w:rPr>
          <w:rFonts w:ascii="Times New Roman" w:eastAsia="Times New Roman" w:hAnsi="Times New Roman" w:cs="Times New Roman"/>
          <w:sz w:val="24"/>
          <w:szCs w:val="24"/>
          <w:lang w:eastAsia="en-GB"/>
        </w:rPr>
        <w:t>£</w:t>
      </w:r>
      <w:r w:rsidRPr="00816997">
        <w:rPr>
          <w:rFonts w:ascii="Times New Roman" w:hAnsi="Times New Roman" w:cs="Times New Roman"/>
          <w:sz w:val="24"/>
          <w:szCs w:val="24"/>
        </w:rPr>
        <w:t>366,000,000</w:t>
      </w:r>
    </w:p>
    <w:p w:rsidR="0025254C" w:rsidRPr="00816997" w:rsidRDefault="0025254C"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Shares outstanding = </w:t>
      </w:r>
      <w:r w:rsidRPr="00816997">
        <w:rPr>
          <w:rFonts w:ascii="Times New Roman" w:eastAsia="Times New Roman" w:hAnsi="Times New Roman" w:cs="Times New Roman"/>
          <w:sz w:val="24"/>
          <w:szCs w:val="24"/>
          <w:lang w:eastAsia="en-GB"/>
        </w:rPr>
        <w:t>6,000,000</w:t>
      </w:r>
    </w:p>
    <w:p w:rsidR="0025254C" w:rsidRPr="00816997" w:rsidRDefault="0025254C"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EPS = 366/6 = </w:t>
      </w:r>
      <w:r w:rsidRPr="00816997">
        <w:rPr>
          <w:rFonts w:ascii="Times New Roman" w:eastAsia="Times New Roman" w:hAnsi="Times New Roman" w:cs="Times New Roman"/>
          <w:sz w:val="24"/>
          <w:szCs w:val="24"/>
          <w:lang w:eastAsia="en-GB"/>
        </w:rPr>
        <w:t>£61</w:t>
      </w:r>
    </w:p>
    <w:p w:rsidR="0025254C" w:rsidRPr="00816997" w:rsidRDefault="0025254C" w:rsidP="00816997">
      <w:pPr>
        <w:spacing w:line="480" w:lineRule="auto"/>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2020</w:t>
      </w:r>
    </w:p>
    <w:p w:rsidR="0025254C" w:rsidRPr="00816997" w:rsidRDefault="0025254C"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Net profit = £431,000,000</w:t>
      </w:r>
    </w:p>
    <w:p w:rsidR="0025254C" w:rsidRPr="00816997" w:rsidRDefault="0025254C"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Shares outstanding = 6,000,000</w:t>
      </w:r>
    </w:p>
    <w:p w:rsidR="0025254C" w:rsidRPr="00816997" w:rsidRDefault="0025254C" w:rsidP="00816997">
      <w:pPr>
        <w:spacing w:line="480" w:lineRule="auto"/>
        <w:ind w:firstLine="720"/>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sz w:val="24"/>
          <w:szCs w:val="24"/>
          <w:lang w:eastAsia="en-GB"/>
        </w:rPr>
        <w:t>EPS = 431/6 = £71.83</w:t>
      </w:r>
    </w:p>
    <w:p w:rsidR="0025254C" w:rsidRPr="00816997" w:rsidRDefault="00DA5C0E" w:rsidP="00816997">
      <w:pPr>
        <w:pStyle w:val="Heading2"/>
        <w:contextualSpacing/>
        <w:rPr>
          <w:rFonts w:cs="Times New Roman"/>
          <w:color w:val="auto"/>
          <w:szCs w:val="24"/>
        </w:rPr>
      </w:pPr>
      <w:bookmarkStart w:id="11" w:name="_Toc81387191"/>
      <w:r w:rsidRPr="00816997">
        <w:rPr>
          <w:rStyle w:val="markedcontent"/>
          <w:rFonts w:cs="Times New Roman"/>
          <w:color w:val="auto"/>
          <w:szCs w:val="24"/>
        </w:rPr>
        <w:t>4- Net profit margin</w:t>
      </w:r>
      <w:bookmarkEnd w:id="11"/>
    </w:p>
    <w:p w:rsidR="00696966" w:rsidRPr="00816997" w:rsidRDefault="00AB3218"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Net profit margin </w:t>
      </w:r>
      <w:r w:rsidR="006C741D" w:rsidRPr="00816997">
        <w:rPr>
          <w:rFonts w:ascii="Times New Roman" w:hAnsi="Times New Roman" w:cs="Times New Roman"/>
          <w:sz w:val="24"/>
          <w:szCs w:val="24"/>
        </w:rPr>
        <w:t xml:space="preserve">is a profitability ratio </w:t>
      </w:r>
      <w:r w:rsidR="00CD2E57" w:rsidRPr="00816997">
        <w:rPr>
          <w:rFonts w:ascii="Times New Roman" w:hAnsi="Times New Roman" w:cs="Times New Roman"/>
          <w:sz w:val="24"/>
          <w:szCs w:val="24"/>
        </w:rPr>
        <w:t>designed that seeks to compare a company’s net income against revenue</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w:t>
      </w:r>
      <w:proofErr w:type="spellStart"/>
      <w:r w:rsidR="00B56410" w:rsidRPr="00816997">
        <w:rPr>
          <w:rStyle w:val="selectable"/>
          <w:rFonts w:ascii="Times New Roman" w:hAnsi="Times New Roman" w:cs="Times New Roman"/>
          <w:color w:val="000000"/>
          <w:sz w:val="24"/>
          <w:szCs w:val="24"/>
        </w:rPr>
        <w:t>Suthan</w:t>
      </w:r>
      <w:proofErr w:type="spellEnd"/>
      <w:r w:rsidR="00B56410" w:rsidRPr="00816997">
        <w:rPr>
          <w:rStyle w:val="selectable"/>
          <w:rFonts w:ascii="Times New Roman" w:hAnsi="Times New Roman" w:cs="Times New Roman"/>
          <w:color w:val="000000"/>
          <w:sz w:val="24"/>
          <w:szCs w:val="24"/>
        </w:rPr>
        <w:t>, 2007)</w:t>
      </w:r>
      <w:r w:rsidR="00CD2E57" w:rsidRPr="00816997">
        <w:rPr>
          <w:rFonts w:ascii="Times New Roman" w:hAnsi="Times New Roman" w:cs="Times New Roman"/>
          <w:sz w:val="24"/>
          <w:szCs w:val="24"/>
        </w:rPr>
        <w:t xml:space="preserve">. The goal is to evaluate the extent to which a company is converting sales into net income. </w:t>
      </w:r>
    </w:p>
    <w:p w:rsidR="00CD2388" w:rsidRPr="00816997" w:rsidRDefault="00CD2388"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lastRenderedPageBreak/>
        <w:t xml:space="preserve">The formula for net profit margin is: (Net profit/Revenue) </w:t>
      </w:r>
      <w:r w:rsidRPr="00816997">
        <w:rPr>
          <w:rFonts w:ascii="Times New Roman" w:eastAsia="Times New Roman" w:hAnsi="Times New Roman" w:cs="Times New Roman"/>
          <w:sz w:val="24"/>
          <w:szCs w:val="24"/>
          <w:lang w:eastAsia="en-GB"/>
        </w:rPr>
        <w:t>× 100</w:t>
      </w:r>
    </w:p>
    <w:p w:rsidR="00CD2388" w:rsidRPr="00816997" w:rsidRDefault="00CD2388" w:rsidP="00816997">
      <w:pPr>
        <w:spacing w:line="480" w:lineRule="auto"/>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2019</w:t>
      </w:r>
    </w:p>
    <w:p w:rsidR="00CD2388" w:rsidRPr="00816997" w:rsidRDefault="00CD2388"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Net profit = </w:t>
      </w:r>
      <w:r w:rsidRPr="00816997">
        <w:rPr>
          <w:rFonts w:ascii="Times New Roman" w:eastAsia="Times New Roman" w:hAnsi="Times New Roman" w:cs="Times New Roman"/>
          <w:sz w:val="24"/>
          <w:szCs w:val="24"/>
          <w:lang w:eastAsia="en-GB"/>
        </w:rPr>
        <w:t>£366</w:t>
      </w:r>
    </w:p>
    <w:p w:rsidR="00CD2388" w:rsidRPr="00816997" w:rsidRDefault="00CD2388"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Revenue = </w:t>
      </w:r>
      <w:r w:rsidRPr="00816997">
        <w:rPr>
          <w:rFonts w:ascii="Times New Roman" w:eastAsia="Times New Roman" w:hAnsi="Times New Roman" w:cs="Times New Roman"/>
          <w:sz w:val="24"/>
          <w:szCs w:val="24"/>
          <w:lang w:eastAsia="en-GB"/>
        </w:rPr>
        <w:t>£6,441</w:t>
      </w:r>
    </w:p>
    <w:p w:rsidR="00CD2388" w:rsidRPr="00816997" w:rsidRDefault="00CD2388"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Net profit margin = (366/6,441) × 100 = 5.68%</w:t>
      </w:r>
    </w:p>
    <w:p w:rsidR="00CD2388" w:rsidRPr="00816997" w:rsidRDefault="00CD2388"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2020</w:t>
      </w:r>
    </w:p>
    <w:p w:rsidR="00CD2388" w:rsidRPr="00816997" w:rsidRDefault="00CD2388"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Net profit = </w:t>
      </w:r>
      <w:r w:rsidRPr="00816997">
        <w:rPr>
          <w:rFonts w:ascii="Times New Roman" w:eastAsia="Times New Roman" w:hAnsi="Times New Roman" w:cs="Times New Roman"/>
          <w:sz w:val="24"/>
          <w:szCs w:val="24"/>
          <w:lang w:eastAsia="en-GB"/>
        </w:rPr>
        <w:t>£431</w:t>
      </w:r>
    </w:p>
    <w:p w:rsidR="00CD2388" w:rsidRPr="00816997" w:rsidRDefault="00CD2388"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Revenue = £6,738</w:t>
      </w:r>
    </w:p>
    <w:p w:rsidR="00CD2388" w:rsidRPr="00816997" w:rsidRDefault="00CD2388"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Net profit margin = (431/6,738) = 6.4%</w:t>
      </w:r>
    </w:p>
    <w:p w:rsidR="00CD2E57" w:rsidRPr="00816997" w:rsidRDefault="00355470" w:rsidP="00816997">
      <w:pPr>
        <w:pStyle w:val="Heading2"/>
        <w:contextualSpacing/>
        <w:rPr>
          <w:rFonts w:cs="Times New Roman"/>
          <w:color w:val="auto"/>
          <w:szCs w:val="24"/>
        </w:rPr>
      </w:pPr>
      <w:bookmarkStart w:id="12" w:name="_Toc81387192"/>
      <w:r w:rsidRPr="00816997">
        <w:rPr>
          <w:rStyle w:val="markedcontent"/>
          <w:rFonts w:cs="Times New Roman"/>
          <w:color w:val="auto"/>
          <w:szCs w:val="24"/>
        </w:rPr>
        <w:t>5- Asset turnover</w:t>
      </w:r>
      <w:bookmarkEnd w:id="12"/>
    </w:p>
    <w:p w:rsidR="00FF2DF2" w:rsidRPr="00816997" w:rsidRDefault="00C94145"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Asset turnover is an efficiency ratio </w:t>
      </w:r>
      <w:r w:rsidR="00A30680" w:rsidRPr="00816997">
        <w:rPr>
          <w:rFonts w:ascii="Times New Roman" w:hAnsi="Times New Roman" w:cs="Times New Roman"/>
          <w:sz w:val="24"/>
          <w:szCs w:val="24"/>
        </w:rPr>
        <w:t>that compares the degree of a company’s efficiency in generating revenue</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w:t>
      </w:r>
      <w:proofErr w:type="spellStart"/>
      <w:r w:rsidR="00B56410" w:rsidRPr="00816997">
        <w:rPr>
          <w:rStyle w:val="selectable"/>
          <w:rFonts w:ascii="Times New Roman" w:hAnsi="Times New Roman" w:cs="Times New Roman"/>
          <w:color w:val="000000"/>
          <w:sz w:val="24"/>
          <w:szCs w:val="24"/>
        </w:rPr>
        <w:t>Suthan</w:t>
      </w:r>
      <w:proofErr w:type="spellEnd"/>
      <w:r w:rsidR="00B56410" w:rsidRPr="00816997">
        <w:rPr>
          <w:rStyle w:val="selectable"/>
          <w:rFonts w:ascii="Times New Roman" w:hAnsi="Times New Roman" w:cs="Times New Roman"/>
          <w:color w:val="000000"/>
          <w:sz w:val="24"/>
          <w:szCs w:val="24"/>
        </w:rPr>
        <w:t>, 2007)</w:t>
      </w:r>
      <w:r w:rsidR="00A30680" w:rsidRPr="00816997">
        <w:rPr>
          <w:rFonts w:ascii="Times New Roman" w:hAnsi="Times New Roman" w:cs="Times New Roman"/>
          <w:sz w:val="24"/>
          <w:szCs w:val="24"/>
        </w:rPr>
        <w:t xml:space="preserve">. </w:t>
      </w:r>
      <w:r w:rsidR="00B56410" w:rsidRPr="00816997">
        <w:rPr>
          <w:rFonts w:ascii="Times New Roman" w:hAnsi="Times New Roman" w:cs="Times New Roman"/>
          <w:sz w:val="24"/>
          <w:szCs w:val="24"/>
        </w:rPr>
        <w:t>A higher degree of efficiency</w:t>
      </w:r>
      <w:r w:rsidR="000D75B6" w:rsidRPr="00816997">
        <w:rPr>
          <w:rFonts w:ascii="Times New Roman" w:hAnsi="Times New Roman" w:cs="Times New Roman"/>
          <w:sz w:val="24"/>
          <w:szCs w:val="24"/>
        </w:rPr>
        <w:t xml:space="preserve"> implies good prospects for a company’s profitability. </w:t>
      </w:r>
    </w:p>
    <w:p w:rsidR="001B22EF" w:rsidRPr="00816997" w:rsidRDefault="001B22EF"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The formula for asset turnover is: Net sales/Total Assets</w:t>
      </w:r>
    </w:p>
    <w:p w:rsidR="001B22EF" w:rsidRPr="00816997" w:rsidRDefault="001B22EF"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2019</w:t>
      </w:r>
    </w:p>
    <w:p w:rsidR="001B22EF" w:rsidRPr="00816997" w:rsidRDefault="001B22EF"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Net sales = </w:t>
      </w:r>
      <w:r w:rsidRPr="00816997">
        <w:rPr>
          <w:rFonts w:ascii="Times New Roman" w:eastAsia="Times New Roman" w:hAnsi="Times New Roman" w:cs="Times New Roman"/>
          <w:sz w:val="24"/>
          <w:szCs w:val="24"/>
          <w:lang w:eastAsia="en-GB"/>
        </w:rPr>
        <w:t>£6,441</w:t>
      </w:r>
    </w:p>
    <w:p w:rsidR="001B22EF" w:rsidRPr="00816997" w:rsidRDefault="001B22EF"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Total assets = £10,087</w:t>
      </w:r>
    </w:p>
    <w:p w:rsidR="001B22EF" w:rsidRPr="00816997" w:rsidRDefault="001B22EF" w:rsidP="00816997">
      <w:pPr>
        <w:spacing w:line="480" w:lineRule="auto"/>
        <w:ind w:firstLine="720"/>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sz w:val="24"/>
          <w:szCs w:val="24"/>
          <w:lang w:eastAsia="en-GB"/>
        </w:rPr>
        <w:t>Asset turnover = 6,441/10,087 = 0.64</w:t>
      </w:r>
    </w:p>
    <w:p w:rsidR="001B22EF" w:rsidRPr="00816997" w:rsidRDefault="001B22EF"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2020</w:t>
      </w:r>
    </w:p>
    <w:p w:rsidR="001B22EF" w:rsidRPr="00816997" w:rsidRDefault="001B22EF"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Net sales = </w:t>
      </w:r>
      <w:r w:rsidRPr="00816997">
        <w:rPr>
          <w:rFonts w:ascii="Times New Roman" w:eastAsia="Times New Roman" w:hAnsi="Times New Roman" w:cs="Times New Roman"/>
          <w:sz w:val="24"/>
          <w:szCs w:val="24"/>
          <w:lang w:eastAsia="en-GB"/>
        </w:rPr>
        <w:t>£6,738</w:t>
      </w:r>
    </w:p>
    <w:p w:rsidR="001B22EF" w:rsidRPr="00816997" w:rsidRDefault="001B22EF"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Total assets = £9,736</w:t>
      </w:r>
    </w:p>
    <w:p w:rsidR="001B22EF" w:rsidRPr="00816997" w:rsidRDefault="001B22EF"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Asset Turnover = 6,738/9,736 = 0.69</w:t>
      </w:r>
    </w:p>
    <w:p w:rsidR="001B22EF" w:rsidRPr="00816997" w:rsidRDefault="00C95A94" w:rsidP="00816997">
      <w:pPr>
        <w:pStyle w:val="Heading2"/>
        <w:contextualSpacing/>
        <w:rPr>
          <w:rFonts w:cs="Times New Roman"/>
          <w:color w:val="auto"/>
          <w:szCs w:val="24"/>
        </w:rPr>
      </w:pPr>
      <w:bookmarkStart w:id="13" w:name="_Toc81387193"/>
      <w:r w:rsidRPr="00816997">
        <w:rPr>
          <w:rStyle w:val="markedcontent"/>
          <w:rFonts w:cs="Times New Roman"/>
          <w:color w:val="auto"/>
          <w:szCs w:val="24"/>
        </w:rPr>
        <w:lastRenderedPageBreak/>
        <w:t>6- Stock holding days</w:t>
      </w:r>
      <w:bookmarkEnd w:id="13"/>
    </w:p>
    <w:p w:rsidR="00D34539" w:rsidRPr="00816997" w:rsidRDefault="00ED53EF"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Stock holding days is an efficiency ratio that seeks to determine the operating efficiency of a company by evaluating </w:t>
      </w:r>
      <w:r w:rsidR="003C0795" w:rsidRPr="00816997">
        <w:rPr>
          <w:rFonts w:ascii="Times New Roman" w:hAnsi="Times New Roman" w:cs="Times New Roman"/>
          <w:sz w:val="24"/>
          <w:szCs w:val="24"/>
        </w:rPr>
        <w:t>the speed of converting inventory into sales</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w:t>
      </w:r>
      <w:proofErr w:type="spellStart"/>
      <w:r w:rsidR="00B56410" w:rsidRPr="00816997">
        <w:rPr>
          <w:rStyle w:val="selectable"/>
          <w:rFonts w:ascii="Times New Roman" w:hAnsi="Times New Roman" w:cs="Times New Roman"/>
          <w:color w:val="000000"/>
          <w:sz w:val="24"/>
          <w:szCs w:val="24"/>
        </w:rPr>
        <w:t>Suthan</w:t>
      </w:r>
      <w:proofErr w:type="spellEnd"/>
      <w:r w:rsidR="00B56410" w:rsidRPr="00816997">
        <w:rPr>
          <w:rStyle w:val="selectable"/>
          <w:rFonts w:ascii="Times New Roman" w:hAnsi="Times New Roman" w:cs="Times New Roman"/>
          <w:color w:val="000000"/>
          <w:sz w:val="24"/>
          <w:szCs w:val="24"/>
        </w:rPr>
        <w:t>, 2007)</w:t>
      </w:r>
      <w:r w:rsidR="003C0795" w:rsidRPr="00816997">
        <w:rPr>
          <w:rFonts w:ascii="Times New Roman" w:hAnsi="Times New Roman" w:cs="Times New Roman"/>
          <w:sz w:val="24"/>
          <w:szCs w:val="24"/>
        </w:rPr>
        <w:t xml:space="preserve">. </w:t>
      </w:r>
    </w:p>
    <w:p w:rsidR="003C0795" w:rsidRPr="00816997" w:rsidRDefault="003C0795"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The formula for stock holding days: (Inventory/ Cost of sales) × 365</w:t>
      </w:r>
    </w:p>
    <w:p w:rsidR="003C0795" w:rsidRPr="00816997" w:rsidRDefault="003C0795"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2019</w:t>
      </w:r>
    </w:p>
    <w:p w:rsidR="003C0795" w:rsidRPr="00816997" w:rsidRDefault="003C0795"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Inventory = </w:t>
      </w:r>
      <w:r w:rsidRPr="00816997">
        <w:rPr>
          <w:rFonts w:ascii="Times New Roman" w:eastAsia="Times New Roman" w:hAnsi="Times New Roman" w:cs="Times New Roman"/>
          <w:sz w:val="24"/>
          <w:szCs w:val="24"/>
          <w:lang w:eastAsia="en-GB"/>
        </w:rPr>
        <w:t>£659</w:t>
      </w:r>
    </w:p>
    <w:p w:rsidR="003C0795" w:rsidRPr="00816997" w:rsidRDefault="003C079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Cost of sales = </w:t>
      </w:r>
      <w:r w:rsidRPr="00816997">
        <w:rPr>
          <w:rFonts w:ascii="Times New Roman" w:eastAsia="Times New Roman" w:hAnsi="Times New Roman" w:cs="Times New Roman"/>
          <w:sz w:val="24"/>
          <w:szCs w:val="24"/>
          <w:lang w:eastAsia="en-GB"/>
        </w:rPr>
        <w:t>£3,096</w:t>
      </w:r>
    </w:p>
    <w:p w:rsidR="003C0795" w:rsidRPr="00816997" w:rsidRDefault="003C0795" w:rsidP="00816997">
      <w:pPr>
        <w:spacing w:line="480" w:lineRule="auto"/>
        <w:ind w:firstLine="720"/>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sz w:val="24"/>
          <w:szCs w:val="24"/>
          <w:lang w:eastAsia="en-GB"/>
        </w:rPr>
        <w:t>Stock holding days = (659/3,096) × 365 = 77.69 days</w:t>
      </w:r>
    </w:p>
    <w:p w:rsidR="003C0795" w:rsidRPr="00816997" w:rsidRDefault="003C0795" w:rsidP="00816997">
      <w:pPr>
        <w:spacing w:line="480" w:lineRule="auto"/>
        <w:contextualSpacing/>
        <w:rPr>
          <w:rFonts w:ascii="Times New Roman" w:eastAsia="Times New Roman" w:hAnsi="Times New Roman" w:cs="Times New Roman"/>
          <w:b/>
          <w:sz w:val="24"/>
          <w:szCs w:val="24"/>
          <w:lang w:eastAsia="en-GB"/>
        </w:rPr>
      </w:pPr>
      <w:r w:rsidRPr="00816997">
        <w:rPr>
          <w:rFonts w:ascii="Times New Roman" w:eastAsia="Times New Roman" w:hAnsi="Times New Roman" w:cs="Times New Roman"/>
          <w:b/>
          <w:sz w:val="24"/>
          <w:szCs w:val="24"/>
          <w:lang w:eastAsia="en-GB"/>
        </w:rPr>
        <w:t>2020</w:t>
      </w:r>
    </w:p>
    <w:p w:rsidR="003C0795" w:rsidRPr="00816997" w:rsidRDefault="003C079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hAnsi="Times New Roman" w:cs="Times New Roman"/>
          <w:sz w:val="24"/>
          <w:szCs w:val="24"/>
        </w:rPr>
        <w:t xml:space="preserve">Inventory = </w:t>
      </w:r>
      <w:r w:rsidRPr="00816997">
        <w:rPr>
          <w:rFonts w:ascii="Times New Roman" w:eastAsia="Times New Roman" w:hAnsi="Times New Roman" w:cs="Times New Roman"/>
          <w:sz w:val="24"/>
          <w:szCs w:val="24"/>
          <w:lang w:eastAsia="en-GB"/>
        </w:rPr>
        <w:t>£708</w:t>
      </w:r>
    </w:p>
    <w:p w:rsidR="003C0795" w:rsidRPr="00816997" w:rsidRDefault="003C079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Cost of sales = £3,235</w:t>
      </w:r>
    </w:p>
    <w:p w:rsidR="003C0795" w:rsidRPr="00816997" w:rsidRDefault="003C0795" w:rsidP="00816997">
      <w:pPr>
        <w:spacing w:line="480" w:lineRule="auto"/>
        <w:ind w:firstLine="720"/>
        <w:contextualSpacing/>
        <w:rPr>
          <w:rFonts w:ascii="Times New Roman" w:eastAsia="Times New Roman" w:hAnsi="Times New Roman" w:cs="Times New Roman"/>
          <w:sz w:val="24"/>
          <w:szCs w:val="24"/>
          <w:lang w:eastAsia="en-GB"/>
        </w:rPr>
      </w:pPr>
      <w:r w:rsidRPr="00816997">
        <w:rPr>
          <w:rFonts w:ascii="Times New Roman" w:eastAsia="Times New Roman" w:hAnsi="Times New Roman" w:cs="Times New Roman"/>
          <w:sz w:val="24"/>
          <w:szCs w:val="24"/>
          <w:lang w:eastAsia="en-GB"/>
        </w:rPr>
        <w:t>Stock holding days = (708/3,235) ×365 = 79.88 days</w:t>
      </w:r>
    </w:p>
    <w:p w:rsidR="003C0795" w:rsidRPr="00816997" w:rsidRDefault="00113262" w:rsidP="00816997">
      <w:pPr>
        <w:pStyle w:val="Heading2"/>
        <w:contextualSpacing/>
        <w:rPr>
          <w:rFonts w:cs="Times New Roman"/>
          <w:szCs w:val="24"/>
        </w:rPr>
      </w:pPr>
      <w:bookmarkStart w:id="14" w:name="_Toc81387194"/>
      <w:r w:rsidRPr="00816997">
        <w:rPr>
          <w:rStyle w:val="markedcontent"/>
          <w:rFonts w:cs="Times New Roman"/>
          <w:szCs w:val="24"/>
        </w:rPr>
        <w:t>7- Debtors collection period</w:t>
      </w:r>
      <w:bookmarkEnd w:id="14"/>
    </w:p>
    <w:p w:rsidR="003C0795" w:rsidRPr="00816997" w:rsidRDefault="00E61A4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Debtors’</w:t>
      </w:r>
      <w:r w:rsidR="006E2A97" w:rsidRPr="00816997">
        <w:rPr>
          <w:rFonts w:ascii="Times New Roman" w:hAnsi="Times New Roman" w:cs="Times New Roman"/>
          <w:sz w:val="24"/>
          <w:szCs w:val="24"/>
        </w:rPr>
        <w:t xml:space="preserve"> collection period </w:t>
      </w:r>
      <w:r w:rsidRPr="00816997">
        <w:rPr>
          <w:rFonts w:ascii="Times New Roman" w:hAnsi="Times New Roman" w:cs="Times New Roman"/>
          <w:sz w:val="24"/>
          <w:szCs w:val="24"/>
        </w:rPr>
        <w:t xml:space="preserve">is an efficiency ratio that measures the speed at which a company collects money from the debtors. It is an important ratio because it reflects a company’s efficiency in collecting cash. </w:t>
      </w:r>
    </w:p>
    <w:p w:rsidR="00E61A4B" w:rsidRPr="00816997" w:rsidRDefault="00E61A4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The formula for debtors’ collection period: (Trade receivables/Total net sales) ×365 </w:t>
      </w:r>
    </w:p>
    <w:p w:rsidR="00E61A4B" w:rsidRPr="00816997" w:rsidRDefault="00E61A4B"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2019</w:t>
      </w:r>
    </w:p>
    <w:p w:rsidR="00E61A4B" w:rsidRPr="00816997" w:rsidRDefault="00E61A4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hAnsi="Times New Roman" w:cs="Times New Roman"/>
          <w:sz w:val="24"/>
          <w:szCs w:val="24"/>
        </w:rPr>
        <w:t xml:space="preserve">Trade receivables = </w:t>
      </w:r>
      <w:r w:rsidRPr="00816997">
        <w:rPr>
          <w:rFonts w:ascii="Times New Roman" w:eastAsia="Times New Roman" w:hAnsi="Times New Roman" w:cs="Times New Roman"/>
          <w:color w:val="000000"/>
          <w:sz w:val="24"/>
          <w:szCs w:val="24"/>
          <w:lang w:eastAsia="en-GB"/>
        </w:rPr>
        <w:t>£1,287</w:t>
      </w:r>
    </w:p>
    <w:p w:rsidR="00E61A4B" w:rsidRPr="00816997" w:rsidRDefault="00E61A4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Net sales = £6,441</w:t>
      </w:r>
    </w:p>
    <w:p w:rsidR="00E61A4B" w:rsidRPr="00816997" w:rsidRDefault="00E61A4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Debtors’ collection period = (1,287/6,441) × 365 = 72.93 days</w:t>
      </w:r>
    </w:p>
    <w:p w:rsidR="00E61A4B" w:rsidRPr="00816997" w:rsidRDefault="00E61A4B"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2020</w:t>
      </w:r>
    </w:p>
    <w:p w:rsidR="00E61A4B" w:rsidRPr="00816997" w:rsidRDefault="00E61A4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Trade receivables = </w:t>
      </w:r>
      <w:r w:rsidRPr="00816997">
        <w:rPr>
          <w:rFonts w:ascii="Times New Roman" w:eastAsia="Times New Roman" w:hAnsi="Times New Roman" w:cs="Times New Roman"/>
          <w:color w:val="000000"/>
          <w:sz w:val="24"/>
          <w:szCs w:val="24"/>
          <w:lang w:eastAsia="en-GB"/>
        </w:rPr>
        <w:t>£1,249</w:t>
      </w:r>
    </w:p>
    <w:p w:rsidR="00E61A4B" w:rsidRPr="00816997" w:rsidRDefault="00E61A4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Net sales =</w:t>
      </w:r>
      <w:r w:rsidRPr="00816997">
        <w:rPr>
          <w:rFonts w:ascii="Times New Roman" w:eastAsia="Times New Roman" w:hAnsi="Times New Roman" w:cs="Times New Roman"/>
          <w:color w:val="000000"/>
          <w:sz w:val="24"/>
          <w:szCs w:val="24"/>
          <w:lang w:eastAsia="en-GB"/>
        </w:rPr>
        <w:t>£6,738</w:t>
      </w:r>
    </w:p>
    <w:p w:rsidR="00E61A4B" w:rsidRPr="00816997" w:rsidRDefault="00E61A4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Debtors’ collection period = (1,249/6,738) ×365 = 67.66 days</w:t>
      </w:r>
    </w:p>
    <w:p w:rsidR="00E61A4B" w:rsidRPr="00816997" w:rsidRDefault="00153A7C" w:rsidP="00816997">
      <w:pPr>
        <w:pStyle w:val="Heading2"/>
        <w:spacing w:line="480" w:lineRule="auto"/>
        <w:contextualSpacing/>
        <w:rPr>
          <w:rStyle w:val="markedcontent"/>
          <w:rFonts w:cs="Times New Roman"/>
          <w:szCs w:val="24"/>
        </w:rPr>
      </w:pPr>
      <w:bookmarkStart w:id="15" w:name="_Toc81387195"/>
      <w:r w:rsidRPr="00816997">
        <w:rPr>
          <w:rStyle w:val="markedcontent"/>
          <w:rFonts w:cs="Times New Roman"/>
          <w:szCs w:val="24"/>
        </w:rPr>
        <w:lastRenderedPageBreak/>
        <w:t>8- Current ratio</w:t>
      </w:r>
      <w:bookmarkEnd w:id="15"/>
    </w:p>
    <w:p w:rsidR="00153A7C" w:rsidRPr="00816997" w:rsidRDefault="00941CA1"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The current ratio is a liquidity metric that shows a company’s ability to honour its short term obligation using its current assets if they were to be liquidated. </w:t>
      </w:r>
    </w:p>
    <w:p w:rsidR="00941CA1" w:rsidRPr="00816997" w:rsidRDefault="00941CA1"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The formula for current ratio is: Current assets/Current liabilities</w:t>
      </w:r>
    </w:p>
    <w:p w:rsidR="00941CA1" w:rsidRPr="00816997" w:rsidRDefault="00941CA1"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2019</w:t>
      </w:r>
    </w:p>
    <w:p w:rsidR="00941CA1" w:rsidRPr="00816997" w:rsidRDefault="00941CA1"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Current assets = </w:t>
      </w:r>
      <w:r w:rsidRPr="00816997">
        <w:rPr>
          <w:rFonts w:ascii="Times New Roman" w:eastAsia="Times New Roman" w:hAnsi="Times New Roman" w:cs="Times New Roman"/>
          <w:color w:val="000000"/>
          <w:sz w:val="24"/>
          <w:szCs w:val="24"/>
          <w:lang w:eastAsia="en-GB"/>
        </w:rPr>
        <w:t>£</w:t>
      </w:r>
      <w:r w:rsidRPr="00816997">
        <w:rPr>
          <w:rFonts w:ascii="Times New Roman" w:hAnsi="Times New Roman" w:cs="Times New Roman"/>
          <w:sz w:val="24"/>
          <w:szCs w:val="24"/>
        </w:rPr>
        <w:t>2,355</w:t>
      </w:r>
    </w:p>
    <w:p w:rsidR="00941CA1" w:rsidRPr="00816997" w:rsidRDefault="00941CA1"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hAnsi="Times New Roman" w:cs="Times New Roman"/>
          <w:sz w:val="24"/>
          <w:szCs w:val="24"/>
        </w:rPr>
        <w:t xml:space="preserve">Current liabilities = </w:t>
      </w:r>
      <w:r w:rsidRPr="00816997">
        <w:rPr>
          <w:rFonts w:ascii="Times New Roman" w:eastAsia="Times New Roman" w:hAnsi="Times New Roman" w:cs="Times New Roman"/>
          <w:color w:val="000000"/>
          <w:sz w:val="24"/>
          <w:szCs w:val="24"/>
          <w:lang w:eastAsia="en-GB"/>
        </w:rPr>
        <w:t>£3,046</w:t>
      </w:r>
    </w:p>
    <w:p w:rsidR="00941CA1" w:rsidRPr="00816997" w:rsidRDefault="00941CA1"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Current ratio = 2,355/3,046 = 0.77</w:t>
      </w:r>
    </w:p>
    <w:p w:rsidR="00941CA1" w:rsidRPr="00816997" w:rsidRDefault="00941CA1" w:rsidP="00816997">
      <w:pPr>
        <w:spacing w:line="480" w:lineRule="auto"/>
        <w:contextualSpacing/>
        <w:rPr>
          <w:rFonts w:ascii="Times New Roman" w:eastAsia="Times New Roman" w:hAnsi="Times New Roman" w:cs="Times New Roman"/>
          <w:b/>
          <w:color w:val="000000"/>
          <w:sz w:val="24"/>
          <w:szCs w:val="24"/>
          <w:lang w:eastAsia="en-GB"/>
        </w:rPr>
      </w:pPr>
      <w:r w:rsidRPr="00816997">
        <w:rPr>
          <w:rFonts w:ascii="Times New Roman" w:eastAsia="Times New Roman" w:hAnsi="Times New Roman" w:cs="Times New Roman"/>
          <w:b/>
          <w:color w:val="000000"/>
          <w:sz w:val="24"/>
          <w:szCs w:val="24"/>
          <w:lang w:eastAsia="en-GB"/>
        </w:rPr>
        <w:t>2020</w:t>
      </w:r>
    </w:p>
    <w:p w:rsidR="00941CA1" w:rsidRPr="00816997" w:rsidRDefault="00941CA1"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hAnsi="Times New Roman" w:cs="Times New Roman"/>
          <w:sz w:val="24"/>
          <w:szCs w:val="24"/>
        </w:rPr>
        <w:t xml:space="preserve">Current assets = </w:t>
      </w:r>
      <w:r w:rsidRPr="00816997">
        <w:rPr>
          <w:rFonts w:ascii="Times New Roman" w:eastAsia="Times New Roman" w:hAnsi="Times New Roman" w:cs="Times New Roman"/>
          <w:color w:val="000000"/>
          <w:sz w:val="24"/>
          <w:szCs w:val="24"/>
          <w:lang w:eastAsia="en-GB"/>
        </w:rPr>
        <w:t>£2,303</w:t>
      </w:r>
    </w:p>
    <w:p w:rsidR="00941CA1" w:rsidRPr="00816997" w:rsidRDefault="00941CA1"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Current liabilities = £2,511</w:t>
      </w:r>
    </w:p>
    <w:p w:rsidR="00941CA1" w:rsidRPr="00816997" w:rsidRDefault="00941CA1"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Current ratio = 2,303/2,511 = 0.92</w:t>
      </w:r>
    </w:p>
    <w:p w:rsidR="00941CA1" w:rsidRPr="00816997" w:rsidRDefault="00941CA1" w:rsidP="00816997">
      <w:pPr>
        <w:pStyle w:val="Heading2"/>
        <w:contextualSpacing/>
        <w:rPr>
          <w:rFonts w:cs="Times New Roman"/>
          <w:szCs w:val="24"/>
        </w:rPr>
      </w:pPr>
      <w:bookmarkStart w:id="16" w:name="_Toc81387196"/>
      <w:r w:rsidRPr="00816997">
        <w:rPr>
          <w:rStyle w:val="markedcontent"/>
          <w:rFonts w:cs="Times New Roman"/>
          <w:szCs w:val="24"/>
        </w:rPr>
        <w:t>9- Gearing ratio</w:t>
      </w:r>
      <w:bookmarkEnd w:id="16"/>
    </w:p>
    <w:p w:rsidR="00941CA1"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Gearing ratio is aimed at showing the use of debt and equity in a company’s balance sheet or capital structure. </w:t>
      </w:r>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The formula for gearing ratio is: (Debt/Equity) ×100</w:t>
      </w:r>
    </w:p>
    <w:p w:rsidR="00481A7B" w:rsidRPr="00816997" w:rsidRDefault="00481A7B"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2019</w:t>
      </w:r>
    </w:p>
    <w:p w:rsidR="00481A7B" w:rsidRPr="00816997" w:rsidRDefault="00481A7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hAnsi="Times New Roman" w:cs="Times New Roman"/>
          <w:sz w:val="24"/>
          <w:szCs w:val="24"/>
        </w:rPr>
        <w:t xml:space="preserve">Debt = </w:t>
      </w:r>
      <w:r w:rsidRPr="00816997">
        <w:rPr>
          <w:rFonts w:ascii="Times New Roman" w:eastAsia="Times New Roman" w:hAnsi="Times New Roman" w:cs="Times New Roman"/>
          <w:color w:val="000000"/>
          <w:sz w:val="24"/>
          <w:szCs w:val="24"/>
          <w:lang w:eastAsia="en-GB"/>
        </w:rPr>
        <w:t>£4,129</w:t>
      </w:r>
    </w:p>
    <w:p w:rsidR="00481A7B" w:rsidRPr="00816997" w:rsidRDefault="00481A7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Equity = £2,912</w:t>
      </w:r>
    </w:p>
    <w:p w:rsidR="00481A7B" w:rsidRPr="00816997" w:rsidRDefault="00481A7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Gearing ratio = (4,129/2,912) ×100 = 141.79%</w:t>
      </w:r>
    </w:p>
    <w:p w:rsidR="00481A7B" w:rsidRPr="00816997" w:rsidRDefault="00481A7B"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2020</w:t>
      </w:r>
    </w:p>
    <w:p w:rsidR="00481A7B" w:rsidRPr="00816997" w:rsidRDefault="00481A7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hAnsi="Times New Roman" w:cs="Times New Roman"/>
          <w:sz w:val="24"/>
          <w:szCs w:val="24"/>
        </w:rPr>
        <w:t xml:space="preserve">Debt = </w:t>
      </w:r>
      <w:r w:rsidRPr="00816997">
        <w:rPr>
          <w:rFonts w:ascii="Times New Roman" w:eastAsia="Times New Roman" w:hAnsi="Times New Roman" w:cs="Times New Roman"/>
          <w:color w:val="000000"/>
          <w:sz w:val="24"/>
          <w:szCs w:val="24"/>
          <w:lang w:eastAsia="en-GB"/>
        </w:rPr>
        <w:t>£4,137</w:t>
      </w:r>
    </w:p>
    <w:p w:rsidR="00481A7B" w:rsidRPr="00816997" w:rsidRDefault="00481A7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Equity = £3,088</w:t>
      </w:r>
    </w:p>
    <w:p w:rsidR="00481A7B" w:rsidRPr="00816997" w:rsidRDefault="00481A7B" w:rsidP="00816997">
      <w:pPr>
        <w:spacing w:line="480" w:lineRule="auto"/>
        <w:ind w:firstLine="720"/>
        <w:contextualSpacing/>
        <w:rPr>
          <w:rFonts w:ascii="Times New Roman" w:eastAsia="Times New Roman" w:hAnsi="Times New Roman" w:cs="Times New Roman"/>
          <w:color w:val="000000"/>
          <w:sz w:val="24"/>
          <w:szCs w:val="24"/>
          <w:lang w:eastAsia="en-GB"/>
        </w:rPr>
      </w:pPr>
      <w:r w:rsidRPr="00816997">
        <w:rPr>
          <w:rFonts w:ascii="Times New Roman" w:eastAsia="Times New Roman" w:hAnsi="Times New Roman" w:cs="Times New Roman"/>
          <w:color w:val="000000"/>
          <w:sz w:val="24"/>
          <w:szCs w:val="24"/>
          <w:lang w:eastAsia="en-GB"/>
        </w:rPr>
        <w:t>Gearing ratio = (4,137/3,088) ×100 = 133.97%</w:t>
      </w:r>
    </w:p>
    <w:p w:rsidR="00481A7B" w:rsidRPr="00816997" w:rsidRDefault="00481A7B" w:rsidP="00816997">
      <w:pPr>
        <w:pStyle w:val="Heading2"/>
        <w:contextualSpacing/>
        <w:rPr>
          <w:rStyle w:val="markedcontent"/>
          <w:rFonts w:cs="Times New Roman"/>
          <w:szCs w:val="24"/>
        </w:rPr>
      </w:pPr>
      <w:bookmarkStart w:id="17" w:name="_Toc81387197"/>
      <w:r w:rsidRPr="00816997">
        <w:rPr>
          <w:rStyle w:val="markedcontent"/>
          <w:rFonts w:cs="Times New Roman"/>
          <w:szCs w:val="24"/>
        </w:rPr>
        <w:lastRenderedPageBreak/>
        <w:t>10- Invertor cover</w:t>
      </w:r>
      <w:bookmarkEnd w:id="17"/>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Invertor cover is a solvency ratio that seeks to show the headroom that a company has in the repayment of its debt payments. </w:t>
      </w:r>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The formula for invertor cover is: EBIT /Interest expense</w:t>
      </w:r>
    </w:p>
    <w:p w:rsidR="00481A7B" w:rsidRPr="00816997" w:rsidRDefault="00481A7B"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2019</w:t>
      </w:r>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EBIT =</w:t>
      </w:r>
      <w:r w:rsidRPr="00816997">
        <w:rPr>
          <w:rFonts w:ascii="Times New Roman" w:eastAsia="Times New Roman" w:hAnsi="Times New Roman" w:cs="Times New Roman"/>
          <w:color w:val="000000"/>
          <w:sz w:val="24"/>
          <w:szCs w:val="24"/>
          <w:lang w:eastAsia="en-GB"/>
        </w:rPr>
        <w:t>£699</w:t>
      </w:r>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Interest expense = </w:t>
      </w:r>
      <w:r w:rsidRPr="00816997">
        <w:rPr>
          <w:rFonts w:ascii="Times New Roman" w:eastAsia="Times New Roman" w:hAnsi="Times New Roman" w:cs="Times New Roman"/>
          <w:color w:val="000000"/>
          <w:sz w:val="24"/>
          <w:szCs w:val="24"/>
          <w:lang w:eastAsia="en-GB"/>
        </w:rPr>
        <w:t>£181</w:t>
      </w:r>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Coverage ratio = 699/181 = 3.86</w:t>
      </w:r>
    </w:p>
    <w:p w:rsidR="00481A7B" w:rsidRPr="00816997" w:rsidRDefault="00481A7B" w:rsidP="00816997">
      <w:pPr>
        <w:spacing w:line="480" w:lineRule="auto"/>
        <w:contextualSpacing/>
        <w:rPr>
          <w:rFonts w:ascii="Times New Roman" w:hAnsi="Times New Roman" w:cs="Times New Roman"/>
          <w:b/>
          <w:sz w:val="24"/>
          <w:szCs w:val="24"/>
        </w:rPr>
      </w:pPr>
      <w:r w:rsidRPr="00816997">
        <w:rPr>
          <w:rFonts w:ascii="Times New Roman" w:hAnsi="Times New Roman" w:cs="Times New Roman"/>
          <w:b/>
          <w:sz w:val="24"/>
          <w:szCs w:val="24"/>
        </w:rPr>
        <w:t>2020</w:t>
      </w:r>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 xml:space="preserve">EBIT = </w:t>
      </w:r>
      <w:r w:rsidRPr="00816997">
        <w:rPr>
          <w:rFonts w:ascii="Times New Roman" w:eastAsia="Times New Roman" w:hAnsi="Times New Roman" w:cs="Times New Roman"/>
          <w:color w:val="000000"/>
          <w:sz w:val="24"/>
          <w:szCs w:val="24"/>
          <w:lang w:eastAsia="en-GB"/>
        </w:rPr>
        <w:t>£805</w:t>
      </w:r>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Interest expense =</w:t>
      </w:r>
      <w:r w:rsidRPr="00816997">
        <w:rPr>
          <w:rFonts w:ascii="Times New Roman" w:eastAsia="Times New Roman" w:hAnsi="Times New Roman" w:cs="Times New Roman"/>
          <w:color w:val="000000"/>
          <w:sz w:val="24"/>
          <w:szCs w:val="24"/>
          <w:lang w:eastAsia="en-GB"/>
        </w:rPr>
        <w:t>£226</w:t>
      </w:r>
    </w:p>
    <w:p w:rsidR="00481A7B" w:rsidRPr="00816997" w:rsidRDefault="00481A7B"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Coverage ratio = 805/226 = 3.56</w:t>
      </w:r>
    </w:p>
    <w:p w:rsidR="00481A7B" w:rsidRPr="00816997" w:rsidRDefault="00755A37" w:rsidP="00816997">
      <w:pPr>
        <w:pStyle w:val="Heading1"/>
        <w:spacing w:line="480" w:lineRule="auto"/>
        <w:contextualSpacing/>
        <w:rPr>
          <w:rStyle w:val="markedcontent"/>
          <w:rFonts w:cs="Times New Roman"/>
          <w:szCs w:val="24"/>
        </w:rPr>
      </w:pPr>
      <w:bookmarkStart w:id="18" w:name="_Toc81387198"/>
      <w:r w:rsidRPr="00816997">
        <w:rPr>
          <w:rFonts w:cs="Times New Roman"/>
          <w:szCs w:val="24"/>
        </w:rPr>
        <w:t xml:space="preserve">Question 2(b). </w:t>
      </w:r>
      <w:r w:rsidRPr="00816997">
        <w:rPr>
          <w:rStyle w:val="markedcontent"/>
          <w:rFonts w:cs="Times New Roman"/>
          <w:szCs w:val="24"/>
        </w:rPr>
        <w:t>Using the information in the financial statements and the ratios you have calculated, comment on the financial performance and position of Chocco plc.</w:t>
      </w:r>
      <w:bookmarkEnd w:id="18"/>
    </w:p>
    <w:p w:rsidR="00755A37" w:rsidRPr="00816997" w:rsidRDefault="00327A03"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t>Financial statement analysis is important to the stakeholders of a company because it summarise the financial performance and financial position of a company. Deductions based on the financial statement and the ratio analysis can be made based on several categories namely profitability, efficiency, liquidity and solvency</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(Brealey, Myers and Allen, 2020)</w:t>
      </w:r>
      <w:r w:rsidRPr="00816997">
        <w:rPr>
          <w:rFonts w:ascii="Times New Roman" w:hAnsi="Times New Roman" w:cs="Times New Roman"/>
          <w:sz w:val="24"/>
          <w:szCs w:val="24"/>
        </w:rPr>
        <w:t xml:space="preserve">. In terms of profitability, there are some positive and negative attributed. For example, </w:t>
      </w:r>
      <w:r w:rsidR="00960E6B" w:rsidRPr="00816997">
        <w:rPr>
          <w:rFonts w:ascii="Times New Roman" w:hAnsi="Times New Roman" w:cs="Times New Roman"/>
          <w:sz w:val="24"/>
          <w:szCs w:val="24"/>
        </w:rPr>
        <w:t xml:space="preserve">the return on capital employed of 11.14% reported in 2020 show that the company is generating value for the shareholders. It is also notable that the ration improved from 9.93% in 2019. </w:t>
      </w:r>
      <w:r w:rsidR="000F4BA8" w:rsidRPr="00816997">
        <w:rPr>
          <w:rFonts w:ascii="Times New Roman" w:hAnsi="Times New Roman" w:cs="Times New Roman"/>
          <w:sz w:val="24"/>
          <w:szCs w:val="24"/>
        </w:rPr>
        <w:t>A positive trend on profitability is evidence by the ROE of 12.57% and 13.96% in 2019 and 2020 respectively. This shows that the company is adhering to argument of the agency theory of management by maximising profitability</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 xml:space="preserve">(Srivastava and </w:t>
      </w:r>
      <w:proofErr w:type="spellStart"/>
      <w:r w:rsidR="00B56410" w:rsidRPr="00816997">
        <w:rPr>
          <w:rStyle w:val="selectable"/>
          <w:rFonts w:ascii="Times New Roman" w:hAnsi="Times New Roman" w:cs="Times New Roman"/>
          <w:color w:val="000000"/>
          <w:sz w:val="24"/>
          <w:szCs w:val="24"/>
        </w:rPr>
        <w:t>Baag</w:t>
      </w:r>
      <w:proofErr w:type="spellEnd"/>
      <w:r w:rsidR="00B56410" w:rsidRPr="00816997">
        <w:rPr>
          <w:rStyle w:val="selectable"/>
          <w:rFonts w:ascii="Times New Roman" w:hAnsi="Times New Roman" w:cs="Times New Roman"/>
          <w:color w:val="000000"/>
          <w:sz w:val="24"/>
          <w:szCs w:val="24"/>
        </w:rPr>
        <w:t>, 2020)</w:t>
      </w:r>
      <w:r w:rsidR="000F4BA8" w:rsidRPr="00816997">
        <w:rPr>
          <w:rFonts w:ascii="Times New Roman" w:hAnsi="Times New Roman" w:cs="Times New Roman"/>
          <w:sz w:val="24"/>
          <w:szCs w:val="24"/>
        </w:rPr>
        <w:t xml:space="preserve">. </w:t>
      </w:r>
    </w:p>
    <w:p w:rsidR="00B56410" w:rsidRPr="00816997" w:rsidRDefault="00072E02" w:rsidP="00816997">
      <w:pPr>
        <w:spacing w:line="480" w:lineRule="auto"/>
        <w:ind w:firstLine="720"/>
        <w:contextualSpacing/>
        <w:rPr>
          <w:rFonts w:ascii="Times New Roman" w:hAnsi="Times New Roman" w:cs="Times New Roman"/>
          <w:sz w:val="24"/>
          <w:szCs w:val="24"/>
        </w:rPr>
      </w:pPr>
      <w:r w:rsidRPr="00816997">
        <w:rPr>
          <w:rFonts w:ascii="Times New Roman" w:hAnsi="Times New Roman" w:cs="Times New Roman"/>
          <w:sz w:val="24"/>
          <w:szCs w:val="24"/>
        </w:rPr>
        <w:lastRenderedPageBreak/>
        <w:t xml:space="preserve">From an efficiency perspective, the asset turnover ratio of 0.64 and 0.69 for 2019 and 2020 are below optimal level. Although there is no universal </w:t>
      </w:r>
      <w:r w:rsidR="00F61F88" w:rsidRPr="00816997">
        <w:rPr>
          <w:rFonts w:ascii="Times New Roman" w:hAnsi="Times New Roman" w:cs="Times New Roman"/>
          <w:sz w:val="24"/>
          <w:szCs w:val="24"/>
        </w:rPr>
        <w:t>assets turnover ratio, a ratio of more than 1.5 times is considered to be optimal</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(Philips, Libby and Libby, 2012)</w:t>
      </w:r>
      <w:r w:rsidR="00F61F88" w:rsidRPr="00816997">
        <w:rPr>
          <w:rFonts w:ascii="Times New Roman" w:hAnsi="Times New Roman" w:cs="Times New Roman"/>
          <w:sz w:val="24"/>
          <w:szCs w:val="24"/>
        </w:rPr>
        <w:t>. The relatively low ratio means that the company is not efficient in using the available assets. Another important element is liquidity, represented by the current ratio. The ratios of 0.77 and 0.92 for 2019 and 2020 respectively are below the optimal level of 1 and it means that the company’s liquid assets are not adequate to offset the current liabilities</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(Philips, Libby and Libby, 2012)</w:t>
      </w:r>
      <w:r w:rsidR="00F61F88" w:rsidRPr="00816997">
        <w:rPr>
          <w:rFonts w:ascii="Times New Roman" w:hAnsi="Times New Roman" w:cs="Times New Roman"/>
          <w:sz w:val="24"/>
          <w:szCs w:val="24"/>
        </w:rPr>
        <w:t>. Finally, in terms of solvency, the leverage ratio of 141.79% and 133.97% for 2019 and 2020 means that the company has excess debt in the capital structure. The risk of this leverage is that it erodes the welfare of the shareholders because a significant fraction of the cash flows are committed towards repayment of debt</w:t>
      </w:r>
      <w:r w:rsidR="00B56410" w:rsidRPr="00816997">
        <w:rPr>
          <w:rFonts w:ascii="Times New Roman" w:hAnsi="Times New Roman" w:cs="Times New Roman"/>
          <w:sz w:val="24"/>
          <w:szCs w:val="24"/>
        </w:rPr>
        <w:t xml:space="preserve"> </w:t>
      </w:r>
      <w:r w:rsidR="00B56410" w:rsidRPr="00816997">
        <w:rPr>
          <w:rStyle w:val="selectable"/>
          <w:rFonts w:ascii="Times New Roman" w:hAnsi="Times New Roman" w:cs="Times New Roman"/>
          <w:color w:val="000000"/>
          <w:sz w:val="24"/>
          <w:szCs w:val="24"/>
        </w:rPr>
        <w:t>(Barth, 2015)</w:t>
      </w:r>
      <w:r w:rsidR="00F61F88" w:rsidRPr="00816997">
        <w:rPr>
          <w:rFonts w:ascii="Times New Roman" w:hAnsi="Times New Roman" w:cs="Times New Roman"/>
          <w:sz w:val="24"/>
          <w:szCs w:val="24"/>
        </w:rPr>
        <w:t xml:space="preserve">. The company would be in an optimal position by lowering the level of debt. </w:t>
      </w:r>
    </w:p>
    <w:p w:rsidR="00B56410" w:rsidRPr="00816997" w:rsidRDefault="00B56410" w:rsidP="00816997">
      <w:pPr>
        <w:contextualSpacing/>
        <w:rPr>
          <w:rFonts w:ascii="Times New Roman" w:hAnsi="Times New Roman" w:cs="Times New Roman"/>
          <w:sz w:val="24"/>
          <w:szCs w:val="24"/>
        </w:rPr>
      </w:pPr>
      <w:r w:rsidRPr="00816997">
        <w:rPr>
          <w:rFonts w:ascii="Times New Roman" w:hAnsi="Times New Roman" w:cs="Times New Roman"/>
          <w:sz w:val="24"/>
          <w:szCs w:val="24"/>
        </w:rPr>
        <w:br w:type="page"/>
      </w:r>
    </w:p>
    <w:p w:rsidR="00B56410" w:rsidRPr="00816997" w:rsidRDefault="00B56410" w:rsidP="003A5097">
      <w:pPr>
        <w:pStyle w:val="Heading2"/>
        <w:spacing w:line="480" w:lineRule="auto"/>
        <w:contextualSpacing/>
        <w:rPr>
          <w:rFonts w:cs="Times New Roman"/>
          <w:szCs w:val="24"/>
        </w:rPr>
      </w:pPr>
      <w:bookmarkStart w:id="19" w:name="_Toc81387199"/>
      <w:r w:rsidRPr="00816997">
        <w:rPr>
          <w:rFonts w:cs="Times New Roman"/>
          <w:szCs w:val="24"/>
        </w:rPr>
        <w:lastRenderedPageBreak/>
        <w:t>References</w:t>
      </w:r>
      <w:bookmarkEnd w:id="19"/>
    </w:p>
    <w:p w:rsidR="00B56410" w:rsidRPr="00816997" w:rsidRDefault="00B56410" w:rsidP="003A5097">
      <w:pPr>
        <w:pStyle w:val="NormalWeb"/>
        <w:spacing w:line="480" w:lineRule="auto"/>
        <w:ind w:left="720" w:hanging="720"/>
        <w:contextualSpacing/>
      </w:pPr>
      <w:r w:rsidRPr="00816997">
        <w:t xml:space="preserve">Barth, M., 2015. Financial Accounting Research, Practice, and Financial Accountability. </w:t>
      </w:r>
      <w:r w:rsidRPr="00816997">
        <w:rPr>
          <w:i/>
          <w:iCs/>
        </w:rPr>
        <w:t>Abacus</w:t>
      </w:r>
      <w:r w:rsidRPr="00816997">
        <w:t>, 51(4), pp.499-510.</w:t>
      </w:r>
    </w:p>
    <w:p w:rsidR="00B56410" w:rsidRPr="00816997" w:rsidRDefault="00B56410" w:rsidP="003A5097">
      <w:pPr>
        <w:pStyle w:val="NormalWeb"/>
        <w:spacing w:line="480" w:lineRule="auto"/>
        <w:ind w:left="720" w:hanging="720"/>
        <w:contextualSpacing/>
      </w:pPr>
      <w:r w:rsidRPr="00816997">
        <w:t xml:space="preserve">Brealey, R., Myers, S. and Allen, F., 2020. </w:t>
      </w:r>
      <w:r w:rsidRPr="00816997">
        <w:rPr>
          <w:i/>
          <w:iCs/>
        </w:rPr>
        <w:t>Principles of corporate finance</w:t>
      </w:r>
      <w:r w:rsidRPr="00816997">
        <w:t>. New York: McGraw-Hill Education.</w:t>
      </w:r>
    </w:p>
    <w:p w:rsidR="00B56410" w:rsidRPr="00816997" w:rsidRDefault="00B56410" w:rsidP="003A5097">
      <w:pPr>
        <w:pStyle w:val="NormalWeb"/>
        <w:spacing w:line="480" w:lineRule="auto"/>
        <w:ind w:left="720" w:hanging="720"/>
        <w:contextualSpacing/>
      </w:pPr>
      <w:proofErr w:type="spellStart"/>
      <w:r w:rsidRPr="00816997">
        <w:t>Kieso</w:t>
      </w:r>
      <w:proofErr w:type="spellEnd"/>
      <w:r w:rsidRPr="00816997">
        <w:t xml:space="preserve">, D., </w:t>
      </w:r>
      <w:proofErr w:type="spellStart"/>
      <w:r w:rsidRPr="00816997">
        <w:t>Weygandt</w:t>
      </w:r>
      <w:proofErr w:type="spellEnd"/>
      <w:r w:rsidRPr="00816997">
        <w:t xml:space="preserve">, J. and Warfield, T., 2012. </w:t>
      </w:r>
      <w:r w:rsidRPr="00816997">
        <w:rPr>
          <w:i/>
          <w:iCs/>
        </w:rPr>
        <w:t>Fundamentals of intermediate accounting</w:t>
      </w:r>
      <w:r w:rsidRPr="00816997">
        <w:t>. 5th ed. Hoboken, NJ: John Wiley &amp; Sons.</w:t>
      </w:r>
    </w:p>
    <w:p w:rsidR="00B56410" w:rsidRPr="00816997" w:rsidRDefault="00B56410" w:rsidP="003A5097">
      <w:pPr>
        <w:pStyle w:val="NormalWeb"/>
        <w:spacing w:line="480" w:lineRule="auto"/>
        <w:ind w:left="720" w:hanging="720"/>
        <w:contextualSpacing/>
      </w:pPr>
      <w:r w:rsidRPr="00816997">
        <w:t xml:space="preserve">Philips, F., Libby, R. and Libby, P., 2012. </w:t>
      </w:r>
      <w:r w:rsidRPr="00816997">
        <w:rPr>
          <w:i/>
          <w:iCs/>
        </w:rPr>
        <w:t>Fundamentals of financial accounting</w:t>
      </w:r>
      <w:r w:rsidRPr="00816997">
        <w:t xml:space="preserve">. 4th </w:t>
      </w:r>
      <w:proofErr w:type="gramStart"/>
      <w:r w:rsidRPr="00816997">
        <w:t>ed</w:t>
      </w:r>
      <w:proofErr w:type="gramEnd"/>
      <w:r w:rsidRPr="00816997">
        <w:t>. New York: McGraw-Hill Education.</w:t>
      </w:r>
    </w:p>
    <w:p w:rsidR="00B56410" w:rsidRPr="00816997" w:rsidRDefault="00B56410" w:rsidP="003A5097">
      <w:pPr>
        <w:pStyle w:val="NormalWeb"/>
        <w:spacing w:line="480" w:lineRule="auto"/>
        <w:ind w:left="720" w:hanging="720"/>
        <w:contextualSpacing/>
      </w:pPr>
      <w:r w:rsidRPr="00816997">
        <w:t xml:space="preserve">Srivastava, J. and </w:t>
      </w:r>
      <w:proofErr w:type="spellStart"/>
      <w:r w:rsidRPr="00816997">
        <w:t>Baag</w:t>
      </w:r>
      <w:proofErr w:type="spellEnd"/>
      <w:r w:rsidRPr="00816997">
        <w:t xml:space="preserve">, P., 2020. Positive Accounting Theory and Agency Costs: A Critical Perspective. </w:t>
      </w:r>
      <w:r w:rsidRPr="00816997">
        <w:rPr>
          <w:i/>
          <w:iCs/>
        </w:rPr>
        <w:t>AIMS International Journal of Management</w:t>
      </w:r>
      <w:r w:rsidRPr="00816997">
        <w:t>, 14(2), p.101.</w:t>
      </w:r>
    </w:p>
    <w:p w:rsidR="00B56410" w:rsidRPr="00816997" w:rsidRDefault="00B56410" w:rsidP="003A5097">
      <w:pPr>
        <w:pStyle w:val="NormalWeb"/>
        <w:spacing w:line="480" w:lineRule="auto"/>
        <w:ind w:left="720" w:hanging="720"/>
        <w:contextualSpacing/>
      </w:pPr>
      <w:proofErr w:type="spellStart"/>
      <w:r w:rsidRPr="00816997">
        <w:t>Suthan</w:t>
      </w:r>
      <w:proofErr w:type="spellEnd"/>
      <w:r w:rsidRPr="00816997">
        <w:t xml:space="preserve">, A., 2007. Fundamental of Financial Statement Analysis. </w:t>
      </w:r>
      <w:r w:rsidRPr="00816997">
        <w:rPr>
          <w:i/>
          <w:iCs/>
        </w:rPr>
        <w:t>SSRN Electronic Journal</w:t>
      </w:r>
      <w:r w:rsidRPr="00816997">
        <w:t>, 12(4).</w:t>
      </w:r>
    </w:p>
    <w:p w:rsidR="000F4BA8" w:rsidRPr="00816997" w:rsidRDefault="000F4BA8" w:rsidP="00816997">
      <w:pPr>
        <w:spacing w:line="480" w:lineRule="auto"/>
        <w:ind w:firstLine="720"/>
        <w:contextualSpacing/>
        <w:rPr>
          <w:rFonts w:ascii="Times New Roman" w:hAnsi="Times New Roman" w:cs="Times New Roman"/>
          <w:sz w:val="24"/>
          <w:szCs w:val="24"/>
        </w:rPr>
      </w:pPr>
    </w:p>
    <w:sectPr w:rsidR="000F4BA8" w:rsidRPr="008169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E0MTEyNDWyNDMwMTNV0lEKTi0uzszPAykwrAUAw0WiRiwAAAA="/>
  </w:docVars>
  <w:rsids>
    <w:rsidRoot w:val="000C184E"/>
    <w:rsid w:val="0000595F"/>
    <w:rsid w:val="00043BFD"/>
    <w:rsid w:val="00072E02"/>
    <w:rsid w:val="000C184E"/>
    <w:rsid w:val="000D20B4"/>
    <w:rsid w:val="000D4A4C"/>
    <w:rsid w:val="000D6EB4"/>
    <w:rsid w:val="000D75B6"/>
    <w:rsid w:val="000F4BA8"/>
    <w:rsid w:val="00113262"/>
    <w:rsid w:val="00153A7C"/>
    <w:rsid w:val="001B22EF"/>
    <w:rsid w:val="001F3BA8"/>
    <w:rsid w:val="0020506B"/>
    <w:rsid w:val="0025254C"/>
    <w:rsid w:val="002A5AA6"/>
    <w:rsid w:val="0030645E"/>
    <w:rsid w:val="00327A03"/>
    <w:rsid w:val="00351CC5"/>
    <w:rsid w:val="00355470"/>
    <w:rsid w:val="0036531D"/>
    <w:rsid w:val="003A5097"/>
    <w:rsid w:val="003C0795"/>
    <w:rsid w:val="00481A7B"/>
    <w:rsid w:val="00543663"/>
    <w:rsid w:val="005A1268"/>
    <w:rsid w:val="005B1D74"/>
    <w:rsid w:val="005C5D96"/>
    <w:rsid w:val="006006F1"/>
    <w:rsid w:val="00611FCD"/>
    <w:rsid w:val="0064076D"/>
    <w:rsid w:val="00665742"/>
    <w:rsid w:val="00667DE5"/>
    <w:rsid w:val="006945AD"/>
    <w:rsid w:val="00696966"/>
    <w:rsid w:val="006C741D"/>
    <w:rsid w:val="006E2A97"/>
    <w:rsid w:val="0071150C"/>
    <w:rsid w:val="0071172E"/>
    <w:rsid w:val="007150FB"/>
    <w:rsid w:val="00737396"/>
    <w:rsid w:val="00755A37"/>
    <w:rsid w:val="007A090F"/>
    <w:rsid w:val="007A594A"/>
    <w:rsid w:val="007C36EF"/>
    <w:rsid w:val="007E1F05"/>
    <w:rsid w:val="00816997"/>
    <w:rsid w:val="00867012"/>
    <w:rsid w:val="0089450D"/>
    <w:rsid w:val="008D003B"/>
    <w:rsid w:val="008D3B7B"/>
    <w:rsid w:val="00941CA1"/>
    <w:rsid w:val="009454AC"/>
    <w:rsid w:val="00960E6B"/>
    <w:rsid w:val="00993FFB"/>
    <w:rsid w:val="00A23C5B"/>
    <w:rsid w:val="00A30680"/>
    <w:rsid w:val="00A9571B"/>
    <w:rsid w:val="00AB3218"/>
    <w:rsid w:val="00AD4257"/>
    <w:rsid w:val="00B56410"/>
    <w:rsid w:val="00B578F0"/>
    <w:rsid w:val="00BE646A"/>
    <w:rsid w:val="00BE786F"/>
    <w:rsid w:val="00C32AA4"/>
    <w:rsid w:val="00C45E22"/>
    <w:rsid w:val="00C51C0B"/>
    <w:rsid w:val="00C62379"/>
    <w:rsid w:val="00C67CF7"/>
    <w:rsid w:val="00C847DF"/>
    <w:rsid w:val="00C9011F"/>
    <w:rsid w:val="00C94145"/>
    <w:rsid w:val="00C95A94"/>
    <w:rsid w:val="00CC4EDC"/>
    <w:rsid w:val="00CD2388"/>
    <w:rsid w:val="00CD2E57"/>
    <w:rsid w:val="00CE6F82"/>
    <w:rsid w:val="00D34539"/>
    <w:rsid w:val="00D409E2"/>
    <w:rsid w:val="00DA5C0E"/>
    <w:rsid w:val="00DF05A4"/>
    <w:rsid w:val="00E61A4B"/>
    <w:rsid w:val="00E64147"/>
    <w:rsid w:val="00EC00DB"/>
    <w:rsid w:val="00ED53EF"/>
    <w:rsid w:val="00EF6785"/>
    <w:rsid w:val="00F12818"/>
    <w:rsid w:val="00F411C7"/>
    <w:rsid w:val="00F61F88"/>
    <w:rsid w:val="00F7137A"/>
    <w:rsid w:val="00F80D13"/>
    <w:rsid w:val="00FA1E2A"/>
    <w:rsid w:val="00FD1CCF"/>
    <w:rsid w:val="00FF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38F596-0F7B-4D13-8A42-C26E4368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4539"/>
    <w:pPr>
      <w:keepNext/>
      <w:keepLines/>
      <w:spacing w:before="480" w:after="0"/>
      <w:outlineLvl w:val="0"/>
    </w:pPr>
    <w:rPr>
      <w:rFonts w:ascii="Times New Roman" w:eastAsiaTheme="majorEastAsia" w:hAnsi="Times New Roman" w:cstheme="majorBidi"/>
      <w:b/>
      <w:bCs/>
      <w:color w:val="365F91" w:themeColor="accent1" w:themeShade="BF"/>
      <w:sz w:val="24"/>
      <w:szCs w:val="28"/>
    </w:rPr>
  </w:style>
  <w:style w:type="paragraph" w:styleId="Heading2">
    <w:name w:val="heading 2"/>
    <w:basedOn w:val="Normal"/>
    <w:next w:val="Normal"/>
    <w:link w:val="Heading2Char"/>
    <w:uiPriority w:val="9"/>
    <w:unhideWhenUsed/>
    <w:qFormat/>
    <w:rsid w:val="000D4A4C"/>
    <w:pPr>
      <w:keepNext/>
      <w:keepLines/>
      <w:spacing w:before="200" w:after="0"/>
      <w:outlineLvl w:val="1"/>
    </w:pPr>
    <w:rPr>
      <w:rFonts w:ascii="Times New Roman" w:eastAsiaTheme="majorEastAsia" w:hAnsi="Times New Roman" w:cstheme="majorBidi"/>
      <w:b/>
      <w:bCs/>
      <w:color w:val="4F81BD" w:themeColor="accent1"/>
      <w:sz w:val="24"/>
      <w:szCs w:val="26"/>
    </w:rPr>
  </w:style>
  <w:style w:type="paragraph" w:styleId="Heading3">
    <w:name w:val="heading 3"/>
    <w:basedOn w:val="Normal"/>
    <w:next w:val="Normal"/>
    <w:link w:val="Heading3Char"/>
    <w:uiPriority w:val="9"/>
    <w:unhideWhenUsed/>
    <w:qFormat/>
    <w:rsid w:val="00543663"/>
    <w:pPr>
      <w:keepNext/>
      <w:keepLines/>
      <w:spacing w:before="200" w:after="0"/>
      <w:ind w:firstLine="720"/>
      <w:outlineLvl w:val="2"/>
    </w:pPr>
    <w:rPr>
      <w:rFonts w:ascii="Times New Roman" w:eastAsiaTheme="majorEastAsia" w:hAnsi="Times New Roman" w:cstheme="majorBidi"/>
      <w:b/>
      <w:bCs/>
      <w:i/>
      <w:color w:val="4F81BD"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539"/>
    <w:rPr>
      <w:rFonts w:ascii="Times New Roman" w:eastAsiaTheme="majorEastAsia" w:hAnsi="Times New Roman" w:cstheme="majorBidi"/>
      <w:b/>
      <w:bCs/>
      <w:color w:val="365F91" w:themeColor="accent1" w:themeShade="BF"/>
      <w:sz w:val="24"/>
      <w:szCs w:val="28"/>
    </w:rPr>
  </w:style>
  <w:style w:type="character" w:customStyle="1" w:styleId="markedcontent">
    <w:name w:val="markedcontent"/>
    <w:basedOn w:val="DefaultParagraphFont"/>
    <w:rsid w:val="00EF6785"/>
  </w:style>
  <w:style w:type="character" w:customStyle="1" w:styleId="Heading2Char">
    <w:name w:val="Heading 2 Char"/>
    <w:basedOn w:val="DefaultParagraphFont"/>
    <w:link w:val="Heading2"/>
    <w:uiPriority w:val="9"/>
    <w:rsid w:val="000D4A4C"/>
    <w:rPr>
      <w:rFonts w:ascii="Times New Roman" w:eastAsiaTheme="majorEastAsia" w:hAnsi="Times New Roman" w:cstheme="majorBidi"/>
      <w:b/>
      <w:bCs/>
      <w:color w:val="4F81BD" w:themeColor="accent1"/>
      <w:sz w:val="24"/>
      <w:szCs w:val="26"/>
    </w:rPr>
  </w:style>
  <w:style w:type="character" w:customStyle="1" w:styleId="Heading3Char">
    <w:name w:val="Heading 3 Char"/>
    <w:basedOn w:val="DefaultParagraphFont"/>
    <w:link w:val="Heading3"/>
    <w:uiPriority w:val="9"/>
    <w:rsid w:val="00543663"/>
    <w:rPr>
      <w:rFonts w:ascii="Times New Roman" w:eastAsiaTheme="majorEastAsia" w:hAnsi="Times New Roman" w:cstheme="majorBidi"/>
      <w:b/>
      <w:bCs/>
      <w:i/>
      <w:color w:val="4F81BD" w:themeColor="accent1"/>
      <w:sz w:val="24"/>
    </w:rPr>
  </w:style>
  <w:style w:type="character" w:customStyle="1" w:styleId="selectable">
    <w:name w:val="selectable"/>
    <w:basedOn w:val="DefaultParagraphFont"/>
    <w:rsid w:val="00F12818"/>
  </w:style>
  <w:style w:type="paragraph" w:styleId="NormalWeb">
    <w:name w:val="Normal (Web)"/>
    <w:basedOn w:val="Normal"/>
    <w:uiPriority w:val="99"/>
    <w:semiHidden/>
    <w:unhideWhenUsed/>
    <w:rsid w:val="00B564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B56410"/>
    <w:pPr>
      <w:spacing w:after="300" w:line="240" w:lineRule="auto"/>
      <w:contextualSpacing/>
      <w:jc w:val="center"/>
    </w:pPr>
    <w:rPr>
      <w:rFonts w:ascii="Times New Roman" w:eastAsiaTheme="majorEastAsia" w:hAnsi="Times New Roman" w:cstheme="majorBidi"/>
      <w:color w:val="4F81BD" w:themeColor="accent1"/>
      <w:spacing w:val="5"/>
      <w:kern w:val="28"/>
      <w:sz w:val="24"/>
      <w:szCs w:val="52"/>
    </w:rPr>
  </w:style>
  <w:style w:type="character" w:customStyle="1" w:styleId="TitleChar">
    <w:name w:val="Title Char"/>
    <w:basedOn w:val="DefaultParagraphFont"/>
    <w:link w:val="Title"/>
    <w:uiPriority w:val="10"/>
    <w:rsid w:val="00B56410"/>
    <w:rPr>
      <w:rFonts w:ascii="Times New Roman" w:eastAsiaTheme="majorEastAsia" w:hAnsi="Times New Roman" w:cstheme="majorBidi"/>
      <w:color w:val="4F81BD" w:themeColor="accent1"/>
      <w:spacing w:val="5"/>
      <w:kern w:val="28"/>
      <w:sz w:val="24"/>
      <w:szCs w:val="52"/>
    </w:rPr>
  </w:style>
  <w:style w:type="paragraph" w:styleId="TOCHeading">
    <w:name w:val="TOC Heading"/>
    <w:basedOn w:val="Heading1"/>
    <w:next w:val="Normal"/>
    <w:uiPriority w:val="39"/>
    <w:semiHidden/>
    <w:unhideWhenUsed/>
    <w:qFormat/>
    <w:rsid w:val="00816997"/>
    <w:pPr>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816997"/>
    <w:pPr>
      <w:spacing w:after="100"/>
    </w:pPr>
  </w:style>
  <w:style w:type="paragraph" w:styleId="TOC2">
    <w:name w:val="toc 2"/>
    <w:basedOn w:val="Normal"/>
    <w:next w:val="Normal"/>
    <w:autoRedefine/>
    <w:uiPriority w:val="39"/>
    <w:unhideWhenUsed/>
    <w:rsid w:val="00816997"/>
    <w:pPr>
      <w:spacing w:after="100"/>
      <w:ind w:left="220"/>
    </w:pPr>
  </w:style>
  <w:style w:type="paragraph" w:styleId="TOC3">
    <w:name w:val="toc 3"/>
    <w:basedOn w:val="Normal"/>
    <w:next w:val="Normal"/>
    <w:autoRedefine/>
    <w:uiPriority w:val="39"/>
    <w:unhideWhenUsed/>
    <w:rsid w:val="00816997"/>
    <w:pPr>
      <w:spacing w:after="100"/>
      <w:ind w:left="440"/>
    </w:pPr>
  </w:style>
  <w:style w:type="character" w:styleId="Hyperlink">
    <w:name w:val="Hyperlink"/>
    <w:basedOn w:val="DefaultParagraphFont"/>
    <w:uiPriority w:val="99"/>
    <w:unhideWhenUsed/>
    <w:rsid w:val="00816997"/>
    <w:rPr>
      <w:color w:val="0000FF" w:themeColor="hyperlink"/>
      <w:u w:val="single"/>
    </w:rPr>
  </w:style>
  <w:style w:type="paragraph" w:styleId="BalloonText">
    <w:name w:val="Balloon Text"/>
    <w:basedOn w:val="Normal"/>
    <w:link w:val="BalloonTextChar"/>
    <w:uiPriority w:val="99"/>
    <w:semiHidden/>
    <w:unhideWhenUsed/>
    <w:rsid w:val="008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9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232687">
      <w:bodyDiv w:val="1"/>
      <w:marLeft w:val="0"/>
      <w:marRight w:val="0"/>
      <w:marTop w:val="0"/>
      <w:marBottom w:val="0"/>
      <w:divBdr>
        <w:top w:val="none" w:sz="0" w:space="0" w:color="auto"/>
        <w:left w:val="none" w:sz="0" w:space="0" w:color="auto"/>
        <w:bottom w:val="none" w:sz="0" w:space="0" w:color="auto"/>
        <w:right w:val="none" w:sz="0" w:space="0" w:color="auto"/>
      </w:divBdr>
    </w:div>
    <w:div w:id="1478571995">
      <w:bodyDiv w:val="1"/>
      <w:marLeft w:val="0"/>
      <w:marRight w:val="0"/>
      <w:marTop w:val="0"/>
      <w:marBottom w:val="0"/>
      <w:divBdr>
        <w:top w:val="none" w:sz="0" w:space="0" w:color="auto"/>
        <w:left w:val="none" w:sz="0" w:space="0" w:color="auto"/>
        <w:bottom w:val="none" w:sz="0" w:space="0" w:color="auto"/>
        <w:right w:val="none" w:sz="0" w:space="0" w:color="auto"/>
      </w:divBdr>
    </w:div>
    <w:div w:id="1527786694">
      <w:bodyDiv w:val="1"/>
      <w:marLeft w:val="0"/>
      <w:marRight w:val="0"/>
      <w:marTop w:val="0"/>
      <w:marBottom w:val="0"/>
      <w:divBdr>
        <w:top w:val="none" w:sz="0" w:space="0" w:color="auto"/>
        <w:left w:val="none" w:sz="0" w:space="0" w:color="auto"/>
        <w:bottom w:val="none" w:sz="0" w:space="0" w:color="auto"/>
        <w:right w:val="none" w:sz="0" w:space="0" w:color="auto"/>
      </w:divBdr>
    </w:div>
    <w:div w:id="1575698970">
      <w:bodyDiv w:val="1"/>
      <w:marLeft w:val="0"/>
      <w:marRight w:val="0"/>
      <w:marTop w:val="0"/>
      <w:marBottom w:val="0"/>
      <w:divBdr>
        <w:top w:val="none" w:sz="0" w:space="0" w:color="auto"/>
        <w:left w:val="none" w:sz="0" w:space="0" w:color="auto"/>
        <w:bottom w:val="none" w:sz="0" w:space="0" w:color="auto"/>
        <w:right w:val="none" w:sz="0" w:space="0" w:color="auto"/>
      </w:divBdr>
    </w:div>
    <w:div w:id="1622610063">
      <w:bodyDiv w:val="1"/>
      <w:marLeft w:val="0"/>
      <w:marRight w:val="0"/>
      <w:marTop w:val="0"/>
      <w:marBottom w:val="0"/>
      <w:divBdr>
        <w:top w:val="none" w:sz="0" w:space="0" w:color="auto"/>
        <w:left w:val="none" w:sz="0" w:space="0" w:color="auto"/>
        <w:bottom w:val="none" w:sz="0" w:space="0" w:color="auto"/>
        <w:right w:val="none" w:sz="0" w:space="0" w:color="auto"/>
      </w:divBdr>
      <w:divsChild>
        <w:div w:id="2079785109">
          <w:marLeft w:val="0"/>
          <w:marRight w:val="0"/>
          <w:marTop w:val="0"/>
          <w:marBottom w:val="0"/>
          <w:divBdr>
            <w:top w:val="none" w:sz="0" w:space="0" w:color="auto"/>
            <w:left w:val="none" w:sz="0" w:space="0" w:color="auto"/>
            <w:bottom w:val="none" w:sz="0" w:space="0" w:color="auto"/>
            <w:right w:val="none" w:sz="0" w:space="0" w:color="auto"/>
          </w:divBdr>
          <w:divsChild>
            <w:div w:id="6588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7148C-D5E6-4937-A58F-4FEBE0DD5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2205</Words>
  <Characters>12571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account</cp:lastModifiedBy>
  <cp:revision>2</cp:revision>
  <dcterms:created xsi:type="dcterms:W3CDTF">2021-09-01T21:51:00Z</dcterms:created>
  <dcterms:modified xsi:type="dcterms:W3CDTF">2021-09-01T21:51:00Z</dcterms:modified>
</cp:coreProperties>
</file>