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both"/>
        <w:rPr>
          <w:rFonts w:ascii="Arial" w:hAnsi="Arial" w:cs="Arial" w:eastAsia="Arial"/>
          <w:b/>
          <w:color w:val="000000"/>
          <w:spacing w:val="0"/>
          <w:position w:val="0"/>
          <w:sz w:val="24"/>
          <w:shd w:fill="auto" w:val="clear"/>
        </w:rPr>
      </w:pPr>
      <w:r>
        <w:object w:dxaOrig="4104" w:dyaOrig="1641">
          <v:rect xmlns:o="urn:schemas-microsoft-com:office:office" xmlns:v="urn:schemas-microsoft-com:vml" id="rectole0000000000" style="width:205.200000pt;height:82.0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both"/>
        <w:rPr>
          <w:rFonts w:ascii="Arial" w:hAnsi="Arial" w:cs="Arial" w:eastAsia="Arial"/>
          <w:color w:val="000000"/>
          <w:spacing w:val="0"/>
          <w:position w:val="0"/>
          <w:sz w:val="24"/>
          <w:shd w:fill="auto" w:val="clear"/>
        </w:rPr>
      </w:pPr>
    </w:p>
    <w:p>
      <w:pPr>
        <w:spacing w:before="0" w:after="0" w:line="360"/>
        <w:ind w:right="0" w:left="0" w:firstLine="0"/>
        <w:jc w:val="both"/>
        <w:rPr>
          <w:rFonts w:ascii="Arial" w:hAnsi="Arial" w:cs="Arial" w:eastAsia="Arial"/>
          <w:color w:val="000000"/>
          <w:spacing w:val="0"/>
          <w:position w:val="0"/>
          <w:sz w:val="24"/>
          <w:shd w:fill="auto" w:val="clear"/>
        </w:rPr>
      </w:pPr>
    </w:p>
    <w:p>
      <w:pPr>
        <w:spacing w:before="0" w:after="0" w:line="360"/>
        <w:ind w:right="0" w:left="0" w:firstLine="0"/>
        <w:jc w:val="both"/>
        <w:rPr>
          <w:rFonts w:ascii="Arial" w:hAnsi="Arial" w:cs="Arial" w:eastAsia="Arial"/>
          <w:b/>
          <w:color w:val="000000"/>
          <w:spacing w:val="0"/>
          <w:position w:val="0"/>
          <w:sz w:val="24"/>
          <w:shd w:fill="auto" w:val="clear"/>
        </w:rPr>
      </w:pPr>
    </w:p>
    <w:p>
      <w:pPr>
        <w:spacing w:before="0" w:after="0" w:line="360"/>
        <w:ind w:right="0" w:left="0" w:firstLine="0"/>
        <w:jc w:val="both"/>
        <w:rPr>
          <w:rFonts w:ascii="Arial" w:hAnsi="Arial" w:cs="Arial" w:eastAsia="Arial"/>
          <w:b/>
          <w:color w:val="000000"/>
          <w:spacing w:val="0"/>
          <w:position w:val="0"/>
          <w:sz w:val="24"/>
          <w:shd w:fill="auto" w:val="clear"/>
        </w:rPr>
      </w:pPr>
    </w:p>
    <w:p>
      <w:pPr>
        <w:spacing w:before="0" w:after="0" w:line="360"/>
        <w:ind w:right="0" w:left="0" w:firstLine="0"/>
        <w:jc w:val="left"/>
        <w:rPr>
          <w:rFonts w:ascii="Arial" w:hAnsi="Arial" w:cs="Arial" w:eastAsia="Arial"/>
          <w:b/>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Programme:</w:t>
      </w:r>
      <w:r>
        <w:rPr>
          <w:rFonts w:ascii="Arial" w:hAnsi="Arial" w:cs="Arial" w:eastAsia="Arial"/>
          <w:color w:val="auto"/>
          <w:spacing w:val="0"/>
          <w:position w:val="0"/>
          <w:sz w:val="24"/>
          <w:shd w:fill="auto" w:val="clear"/>
        </w:rPr>
        <w:t xml:space="preserve"> Certificate in Higher Education Business Skills for the Workplace</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Module:</w:t>
      </w:r>
      <w:r>
        <w:rPr>
          <w:rFonts w:ascii="Arial" w:hAnsi="Arial" w:cs="Arial" w:eastAsia="Arial"/>
          <w:color w:val="auto"/>
          <w:spacing w:val="0"/>
          <w:position w:val="0"/>
          <w:sz w:val="24"/>
          <w:shd w:fill="auto" w:val="clear"/>
        </w:rPr>
        <w:t xml:space="preserve"> Enterprise and Entrepreneurship</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Module Code:</w:t>
      </w:r>
      <w:r>
        <w:rPr>
          <w:rFonts w:ascii="Arial" w:hAnsi="Arial" w:cs="Arial" w:eastAsia="Arial"/>
          <w:color w:val="auto"/>
          <w:spacing w:val="0"/>
          <w:position w:val="0"/>
          <w:sz w:val="24"/>
          <w:shd w:fill="auto" w:val="clear"/>
        </w:rPr>
        <w:t xml:space="preserve"> LCLM4006</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FuelUp Student Café</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Healthy Grab-and-Go Café for University Students</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Words:</w:t>
      </w:r>
      <w:r>
        <w:rPr>
          <w:rFonts w:ascii="Arial" w:hAnsi="Arial" w:cs="Arial" w:eastAsia="Arial"/>
          <w:color w:val="auto"/>
          <w:spacing w:val="0"/>
          <w:position w:val="0"/>
          <w:sz w:val="24"/>
          <w:shd w:fill="auto" w:val="clear"/>
        </w:rPr>
        <w:t xml:space="preserve"> 1509</w:t>
      </w:r>
    </w:p>
    <w:p>
      <w:pPr>
        <w:spacing w:before="0" w:after="0" w:line="36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Student Name</w:t>
      </w:r>
      <w:r>
        <w:rPr>
          <w:rFonts w:ascii="Arial" w:hAnsi="Arial" w:cs="Arial" w:eastAsia="Arial"/>
          <w:color w:val="auto"/>
          <w:spacing w:val="0"/>
          <w:position w:val="0"/>
          <w:sz w:val="24"/>
          <w:shd w:fill="auto" w:val="clear"/>
        </w:rPr>
        <w:t xml:space="preserve">: Alexandra Ionela Florea</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Student Number:</w:t>
      </w:r>
      <w:r>
        <w:rPr>
          <w:rFonts w:ascii="Arial" w:hAnsi="Arial" w:cs="Arial" w:eastAsia="Arial"/>
          <w:color w:val="auto"/>
          <w:spacing w:val="0"/>
          <w:position w:val="0"/>
          <w:sz w:val="24"/>
          <w:shd w:fill="auto" w:val="clear"/>
        </w:rPr>
        <w:t xml:space="preserve"> 2441094 </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 </w:t>
      </w:r>
    </w:p>
    <w:p>
      <w:pPr>
        <w:spacing w:before="0" w:after="0" w:line="360"/>
        <w:ind w:right="0" w:left="0" w:firstLine="0"/>
        <w:jc w:val="both"/>
        <w:rPr>
          <w:rFonts w:ascii="Arial" w:hAnsi="Arial" w:cs="Arial" w:eastAsia="Arial"/>
          <w:color w:val="000000"/>
          <w:spacing w:val="0"/>
          <w:position w:val="0"/>
          <w:sz w:val="24"/>
          <w:shd w:fill="auto" w:val="clear"/>
        </w:rPr>
      </w:pPr>
    </w:p>
    <w:p>
      <w:pPr>
        <w:spacing w:before="0" w:after="0" w:line="360"/>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Executive Summary</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FuelUp Student Café is a planned healthy grab-and-go café that will cater to nutritional, financial and lifestyle demands of students of universities in the United Kingdom. The business intends to serve and offer affordable, nutritious and convenient food to meet the busy academic schedules. The rising enrolment trend in the UK universities, as well as the further growth of the UK food market, provide a firm opportunity of a student oriented food business. Cafe is going to be a Private Limited Company (Ltd), which will provide limited liability coverage and enhance credibility during the process of finding investors. FuelUp will utilise a focused differentiation approach, whereby the targeted student market consists of students who areminded about their health and have medium priced and high-quality food. The marketing communications will focus on social media interactions, campus collaborations, programme of student ambassadors, and incentives of loyalty. It takes a starting capital of 40,000 to meet the premises, equipment, staffing, stock/inventory and advertisement. It is projected that the business would achieve break even in 12-18 months based on the estimated number of customers that can be served per day and the valuation of the transactions to be made. FuelUp offers an opportunity with a social appraisal and scale ability that is commensurate with the rising awareness among people about health and convenience among the students.</w:t>
      </w:r>
    </w:p>
    <w:p>
      <w:pPr>
        <w:spacing w:before="0" w:after="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 </w:t>
      </w:r>
    </w:p>
    <w:p>
      <w:pPr>
        <w:spacing w:before="0" w:after="0" w:line="360"/>
        <w:ind w:right="0" w:left="0" w:firstLine="0"/>
        <w:jc w:val="left"/>
        <w:rPr>
          <w:rFonts w:ascii="Arial" w:hAnsi="Arial" w:cs="Arial" w:eastAsia="Arial"/>
          <w:color w:val="000000"/>
          <w:spacing w:val="0"/>
          <w:position w:val="0"/>
          <w:sz w:val="24"/>
          <w:shd w:fill="auto" w:val="clear"/>
        </w:rPr>
      </w:pP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 </w:t>
      </w:r>
    </w:p>
    <w:p>
      <w:pPr>
        <w:spacing w:before="0" w:after="0" w:line="360"/>
        <w:ind w:right="0" w:left="0" w:firstLine="0"/>
        <w:jc w:val="both"/>
        <w:rPr>
          <w:rFonts w:ascii="Arial" w:hAnsi="Arial" w:cs="Arial" w:eastAsia="Arial"/>
          <w:color w:val="000000"/>
          <w:spacing w:val="0"/>
          <w:position w:val="0"/>
          <w:sz w:val="24"/>
          <w:shd w:fill="auto" w:val="clear"/>
        </w:rPr>
      </w:pPr>
    </w:p>
    <w:p>
      <w:pPr>
        <w:spacing w:before="0" w:after="0" w:line="360"/>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Overview of the Business Idea</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FuelUp Student Café will offer ready-to-eat meals that are healthy and affordable to offer a nutritional value to the customers. The products would be fresh salads, grain bowls, protein wraps, smoothies, fresh juices, snack boxes and meal bundles, which are student specific. Contrary to the conventional fast-food restaurants where fast-food outlets are typically focused on the speed of the service, FuelUp will be the bridge between convenience and good nutrition. The UK healthy food market reaches a value of £2.3 billion while the grab-and-go market segment grows at an annual rate of 8% according to Statista data from 2026. The presence of more than 2.8 million students in UK universities creates a significant need for accessible healthy food options at campus locations.</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As Kotler and Armstrong (2020) note, successful businesses identify unmet needs and develop offerings that deliver real value. University students face time pressure from lectures, part-time work, and assignments, leaving little access to nutritious food. FuelUp will address this by providing quick, healthy meals that support student performance.</w:t>
      </w:r>
    </w:p>
    <w:p>
      <w:pPr>
        <w:spacing w:before="0" w:after="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Legal Format and Management Structure</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FuelUp will operate with a lean structure: a founder/Managing Director overseeing strategy and finance, an Operations Manager handling daily logistics, a part-time Marketing Coordinator, and three to four café assistants. Burns (2022) notes that simple structures in early-stage enterprises support faster decisions and cost control.</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FuelUp will be in the form of a Private limited company (Ltd). This form of law reduces individual liability, boosts professionalism, and simplifies the process of attracting investment (Burns, 2022). Besides expansion opportunities in the long run, other branches can be set to be opened in association with other university campuses as the business expands.</w:t>
      </w:r>
    </w:p>
    <w:p>
      <w:pPr>
        <w:spacing w:before="0" w:after="0" w:line="24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 </w:t>
      </w:r>
    </w:p>
    <w:p>
      <w:pPr>
        <w:spacing w:before="0" w:after="0" w:line="240"/>
        <w:ind w:right="0" w:left="0" w:firstLine="0"/>
        <w:jc w:val="left"/>
        <w:rPr>
          <w:rFonts w:ascii="Arial" w:hAnsi="Arial" w:cs="Arial" w:eastAsia="Arial"/>
          <w:color w:val="000000"/>
          <w:spacing w:val="0"/>
          <w:position w:val="0"/>
          <w:sz w:val="24"/>
          <w:shd w:fill="auto" w:val="clear"/>
        </w:rPr>
      </w:pPr>
    </w:p>
    <w:p>
      <w:pPr>
        <w:spacing w:before="0" w:after="0" w:line="360"/>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Market Research</w:t>
      </w:r>
    </w:p>
    <w:p>
      <w:pPr>
        <w:spacing w:before="0" w:after="0" w:line="360"/>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Industry Overview</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UK food and beverage industry continues to grow steadily, while higher education enrolment remains high (Statista, 2026; Higher Education Statistics Agency, 2026), creating a stable and concentrated target market.</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level of health awareness amongst the young consumers is rising. According to Deloitte (2023), consumers are increasingly aware of nutrition, sustainability and wellbeing in general. The trends of a healthy diet on social media and fitness culture are increasingly affecting students in particular. This change in behaviour favours the need to have close healthy food stores.</w:t>
      </w:r>
    </w:p>
    <w:p>
      <w:pPr>
        <w:spacing w:before="0" w:after="0" w:line="360"/>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PESTEL Analysis</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PESTEL analysis is used to evaluate the external environment that has an impact on the operations of FuelUp (Whittington et al., 2019).</w:t>
      </w:r>
    </w:p>
    <w:p>
      <w:pPr>
        <w:spacing w:before="0" w:after="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Political Factors</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hygiene rules and health standards of the UK food market are strict. It must be in line with FSA requirements. The government policies can offer potential grants or tax relief benefits that would favour small business proprietors.</w:t>
      </w:r>
    </w:p>
    <w:p>
      <w:pPr>
        <w:spacing w:before="0" w:after="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Economic Factors</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Disposable income could be influenced by the increasing cost of living amongst students. However, affordable prices and meal packages will assist in staying affordable. Consumer purchasing behaviour is highly affected by the economic conditions (Kotler and Armstrong, 2020).</w:t>
      </w:r>
    </w:p>
    <w:p>
      <w:pPr>
        <w:spacing w:before="0" w:after="0" w:line="24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 </w:t>
      </w:r>
    </w:p>
    <w:p>
      <w:pPr>
        <w:spacing w:before="0" w:after="0" w:line="240"/>
        <w:ind w:right="0" w:left="0" w:firstLine="0"/>
        <w:jc w:val="left"/>
        <w:rPr>
          <w:rFonts w:ascii="Arial" w:hAnsi="Arial" w:cs="Arial" w:eastAsia="Arial"/>
          <w:color w:val="000000"/>
          <w:spacing w:val="0"/>
          <w:position w:val="0"/>
          <w:sz w:val="24"/>
          <w:shd w:fill="auto" w:val="clear"/>
        </w:rPr>
      </w:pPr>
    </w:p>
    <w:p>
      <w:pPr>
        <w:spacing w:before="0" w:after="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Social Factors</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Improving health awareness and interest in the concept of sustainability is driven by social trends (Deloitte, 2023). Brands that go in line with the ethical and environmental imperatives are on the rise in popularity among students.</w:t>
      </w:r>
    </w:p>
    <w:p>
      <w:pPr>
        <w:spacing w:before="0" w:after="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Technological Factors</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Technology is used to approve digital marketing, mobile payment and pre-order online. The use of social media e.g., Instagram, Tik Tok is necessitated by the social media as key tools to reach student audiences.</w:t>
      </w:r>
    </w:p>
    <w:p>
      <w:pPr>
        <w:spacing w:before="0" w:after="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Environmental Factors</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FuelUp will use eco-friendly packaging, minimise food waste, and source ingredients responsibly. These practices protect the environment and strengthen brand loyalty among sustainability-conscious students.</w:t>
      </w:r>
    </w:p>
    <w:p>
      <w:pPr>
        <w:spacing w:before="0" w:after="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Legal Factors</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FuelUp must comply with employment law, health and safety regulations, food safety standards, and consumer protection requirements. </w:t>
      </w:r>
    </w:p>
    <w:p>
      <w:pPr>
        <w:spacing w:before="0" w:after="0" w:line="360"/>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Competitive Analysis</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competitive business environment that FuelUp is in comprises fast-food chains, coffee shops, independent cafés, and university cafeterias. Nevertheless, there are numerous rivals that are not focused on cheap healthy food offered especially to students.</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FuelUp will be based on the focused differentiation strategy in a targeting a particular niche, health-conscious students, and specialised value (Whittington et al., 2019).</w:t>
      </w:r>
    </w:p>
    <w:p>
      <w:pPr>
        <w:spacing w:before="0" w:after="0" w:line="24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 </w:t>
      </w:r>
    </w:p>
    <w:p>
      <w:pPr>
        <w:spacing w:before="0" w:after="0" w:line="240"/>
        <w:ind w:right="0" w:left="0" w:firstLine="0"/>
        <w:jc w:val="left"/>
        <w:rPr>
          <w:rFonts w:ascii="Arial" w:hAnsi="Arial" w:cs="Arial" w:eastAsia="Arial"/>
          <w:color w:val="000000"/>
          <w:spacing w:val="0"/>
          <w:position w:val="0"/>
          <w:sz w:val="24"/>
          <w:shd w:fill="auto" w:val="clear"/>
        </w:rPr>
      </w:pPr>
    </w:p>
    <w:tbl>
      <w:tblPr>
        <w:tblInd w:w="20" w:type="dxa"/>
      </w:tblPr>
      <w:tblGrid>
        <w:gridCol w:w="1898"/>
        <w:gridCol w:w="2045"/>
        <w:gridCol w:w="2021"/>
        <w:gridCol w:w="2452"/>
      </w:tblGrid>
      <w:tr>
        <w:trPr>
          <w:trHeight w:val="1" w:hRule="atLeast"/>
          <w:jc w:val="left"/>
        </w:trPr>
        <w:tc>
          <w:tcPr>
            <w:tcW w:w="1898" w:type="dxa"/>
            <w:tcBorders>
              <w:top w:val="single" w:color="f79646" w:sz="8"/>
              <w:left w:val="single" w:color="f79646" w:sz="8"/>
              <w:bottom w:val="single" w:color="ffffff" w:sz="18"/>
              <w:right w:val="single" w:color="f79646" w:sz="8"/>
            </w:tcBorders>
            <w:shd w:color="auto" w:fill="f79646"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b/>
                <w:color w:val="000000"/>
                <w:spacing w:val="0"/>
                <w:position w:val="0"/>
                <w:sz w:val="24"/>
                <w:shd w:fill="auto" w:val="clear"/>
              </w:rPr>
              <w:t xml:space="preserve">Competitor Type</w:t>
            </w:r>
          </w:p>
        </w:tc>
        <w:tc>
          <w:tcPr>
            <w:tcW w:w="2045" w:type="dxa"/>
            <w:tcBorders>
              <w:top w:val="single" w:color="f79646" w:sz="8"/>
              <w:left w:val="single" w:color="f79646" w:sz="8"/>
              <w:bottom w:val="single" w:color="ffffff" w:sz="18"/>
              <w:right w:val="single" w:color="f79646" w:sz="8"/>
            </w:tcBorders>
            <w:shd w:color="auto" w:fill="f79646"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b/>
                <w:color w:val="000000"/>
                <w:spacing w:val="0"/>
                <w:position w:val="0"/>
                <w:sz w:val="24"/>
                <w:shd w:fill="auto" w:val="clear"/>
              </w:rPr>
              <w:t xml:space="preserve">Strengths</w:t>
            </w:r>
          </w:p>
        </w:tc>
        <w:tc>
          <w:tcPr>
            <w:tcW w:w="2021" w:type="dxa"/>
            <w:tcBorders>
              <w:top w:val="single" w:color="f79646" w:sz="8"/>
              <w:left w:val="single" w:color="f79646" w:sz="8"/>
              <w:bottom w:val="single" w:color="ffffff" w:sz="18"/>
              <w:right w:val="single" w:color="f79646" w:sz="8"/>
            </w:tcBorders>
            <w:shd w:color="auto" w:fill="f79646"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b/>
                <w:color w:val="000000"/>
                <w:spacing w:val="0"/>
                <w:position w:val="0"/>
                <w:sz w:val="24"/>
                <w:shd w:fill="auto" w:val="clear"/>
              </w:rPr>
              <w:t xml:space="preserve">Weaknesses</w:t>
            </w:r>
          </w:p>
        </w:tc>
        <w:tc>
          <w:tcPr>
            <w:tcW w:w="2452" w:type="dxa"/>
            <w:tcBorders>
              <w:top w:val="single" w:color="f79646" w:sz="8"/>
              <w:left w:val="single" w:color="f79646" w:sz="8"/>
              <w:bottom w:val="single" w:color="ffffff" w:sz="18"/>
              <w:right w:val="single" w:color="f79646" w:sz="8"/>
            </w:tcBorders>
            <w:shd w:color="auto" w:fill="f79646"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b/>
                <w:color w:val="000000"/>
                <w:spacing w:val="0"/>
                <w:position w:val="0"/>
                <w:sz w:val="24"/>
                <w:shd w:fill="auto" w:val="clear"/>
              </w:rPr>
              <w:t xml:space="preserve">FuelUp Advantage</w:t>
            </w:r>
          </w:p>
        </w:tc>
      </w:tr>
      <w:tr>
        <w:trPr>
          <w:trHeight w:val="1" w:hRule="atLeast"/>
          <w:jc w:val="left"/>
        </w:trPr>
        <w:tc>
          <w:tcPr>
            <w:tcW w:w="1898" w:type="dxa"/>
            <w:tcBorders>
              <w:top w:val="single" w:color="ffffff" w:sz="18"/>
              <w:left w:val="single" w:color="f79646" w:sz="8"/>
              <w:bottom w:val="single" w:color="f79646" w:sz="8"/>
              <w:right w:val="single" w:color="f79646" w:sz="8"/>
            </w:tcBorders>
            <w:shd w:color="auto" w:fill="fbd5b5"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Fast-food chains</w:t>
            </w:r>
          </w:p>
        </w:tc>
        <w:tc>
          <w:tcPr>
            <w:tcW w:w="2045" w:type="dxa"/>
            <w:tcBorders>
              <w:top w:val="single" w:color="ffffff" w:sz="18"/>
              <w:left w:val="single" w:color="f79646" w:sz="8"/>
              <w:bottom w:val="single" w:color="f79646" w:sz="8"/>
              <w:right w:val="single" w:color="f79646" w:sz="8"/>
            </w:tcBorders>
            <w:shd w:color="auto" w:fill="fbd5b5"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Low prices, fast service</w:t>
            </w:r>
          </w:p>
        </w:tc>
        <w:tc>
          <w:tcPr>
            <w:tcW w:w="2021" w:type="dxa"/>
            <w:tcBorders>
              <w:top w:val="single" w:color="ffffff" w:sz="18"/>
              <w:left w:val="single" w:color="f79646" w:sz="8"/>
              <w:bottom w:val="single" w:color="f79646" w:sz="8"/>
              <w:right w:val="single" w:color="f79646" w:sz="8"/>
            </w:tcBorders>
            <w:shd w:color="auto" w:fill="fbd5b5"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Unhealthy options</w:t>
            </w:r>
          </w:p>
        </w:tc>
        <w:tc>
          <w:tcPr>
            <w:tcW w:w="2452" w:type="dxa"/>
            <w:tcBorders>
              <w:top w:val="single" w:color="ffffff" w:sz="18"/>
              <w:left w:val="single" w:color="f79646" w:sz="8"/>
              <w:bottom w:val="single" w:color="f79646" w:sz="8"/>
              <w:right w:val="single" w:color="f79646" w:sz="8"/>
            </w:tcBorders>
            <w:shd w:color="auto" w:fill="fbd5b5"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Health-focused menu</w:t>
            </w:r>
          </w:p>
        </w:tc>
      </w:tr>
      <w:tr>
        <w:trPr>
          <w:trHeight w:val="1" w:hRule="atLeast"/>
          <w:jc w:val="left"/>
        </w:trPr>
        <w:tc>
          <w:tcPr>
            <w:tcW w:w="1898" w:type="dxa"/>
            <w:tcBorders>
              <w:top w:val="single" w:color="f79646" w:sz="8"/>
              <w:left w:val="single" w:color="f79646" w:sz="8"/>
              <w:bottom w:val="single" w:color="f79646" w:sz="8"/>
              <w:right w:val="single" w:color="f79646" w:sz="8"/>
            </w:tcBorders>
            <w:shd w:color="auto" w:fill="ffffff"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Coffee chains</w:t>
            </w:r>
          </w:p>
        </w:tc>
        <w:tc>
          <w:tcPr>
            <w:tcW w:w="2045" w:type="dxa"/>
            <w:tcBorders>
              <w:top w:val="single" w:color="f79646" w:sz="8"/>
              <w:left w:val="single" w:color="f79646" w:sz="8"/>
              <w:bottom w:val="single" w:color="f79646" w:sz="8"/>
              <w:right w:val="single" w:color="f79646" w:sz="8"/>
            </w:tcBorders>
            <w:shd w:color="auto" w:fill="ffffff"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Strong branding</w:t>
            </w:r>
          </w:p>
        </w:tc>
        <w:tc>
          <w:tcPr>
            <w:tcW w:w="2021" w:type="dxa"/>
            <w:tcBorders>
              <w:top w:val="single" w:color="f79646" w:sz="8"/>
              <w:left w:val="single" w:color="f79646" w:sz="8"/>
              <w:bottom w:val="single" w:color="f79646" w:sz="8"/>
              <w:right w:val="single" w:color="f79646" w:sz="8"/>
            </w:tcBorders>
            <w:shd w:color="auto" w:fill="ffffff"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Expensive food items</w:t>
            </w:r>
          </w:p>
        </w:tc>
        <w:tc>
          <w:tcPr>
            <w:tcW w:w="2452" w:type="dxa"/>
            <w:tcBorders>
              <w:top w:val="single" w:color="f79646" w:sz="8"/>
              <w:left w:val="single" w:color="f79646" w:sz="8"/>
              <w:bottom w:val="single" w:color="f79646" w:sz="8"/>
              <w:right w:val="single" w:color="f79646" w:sz="8"/>
            </w:tcBorders>
            <w:shd w:color="auto" w:fill="ffffff"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Affordable pricing</w:t>
            </w:r>
          </w:p>
        </w:tc>
      </w:tr>
      <w:tr>
        <w:trPr>
          <w:trHeight w:val="1" w:hRule="atLeast"/>
          <w:jc w:val="left"/>
        </w:trPr>
        <w:tc>
          <w:tcPr>
            <w:tcW w:w="1898" w:type="dxa"/>
            <w:tcBorders>
              <w:top w:val="single" w:color="f79646" w:sz="8"/>
              <w:left w:val="single" w:color="f79646" w:sz="8"/>
              <w:bottom w:val="single" w:color="f79646" w:sz="8"/>
              <w:right w:val="single" w:color="f79646" w:sz="8"/>
            </w:tcBorders>
            <w:shd w:color="auto" w:fill="fbd5b5"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Local cafés</w:t>
            </w:r>
          </w:p>
        </w:tc>
        <w:tc>
          <w:tcPr>
            <w:tcW w:w="2045" w:type="dxa"/>
            <w:tcBorders>
              <w:top w:val="single" w:color="f79646" w:sz="8"/>
              <w:left w:val="single" w:color="f79646" w:sz="8"/>
              <w:bottom w:val="single" w:color="f79646" w:sz="8"/>
              <w:right w:val="single" w:color="f79646" w:sz="8"/>
            </w:tcBorders>
            <w:shd w:color="auto" w:fill="fbd5b5"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Fresh food</w:t>
            </w:r>
          </w:p>
        </w:tc>
        <w:tc>
          <w:tcPr>
            <w:tcW w:w="2021" w:type="dxa"/>
            <w:tcBorders>
              <w:top w:val="single" w:color="f79646" w:sz="8"/>
              <w:left w:val="single" w:color="f79646" w:sz="8"/>
              <w:bottom w:val="single" w:color="f79646" w:sz="8"/>
              <w:right w:val="single" w:color="f79646" w:sz="8"/>
            </w:tcBorders>
            <w:shd w:color="auto" w:fill="fbd5b5"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Limited student focus</w:t>
            </w:r>
          </w:p>
        </w:tc>
        <w:tc>
          <w:tcPr>
            <w:tcW w:w="2452" w:type="dxa"/>
            <w:tcBorders>
              <w:top w:val="single" w:color="f79646" w:sz="8"/>
              <w:left w:val="single" w:color="f79646" w:sz="8"/>
              <w:bottom w:val="single" w:color="f79646" w:sz="8"/>
              <w:right w:val="single" w:color="f79646" w:sz="8"/>
            </w:tcBorders>
            <w:shd w:color="auto" w:fill="fbd5b5"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Student-centred branding</w:t>
            </w:r>
          </w:p>
        </w:tc>
      </w:tr>
      <w:tr>
        <w:trPr>
          <w:trHeight w:val="1" w:hRule="atLeast"/>
          <w:jc w:val="left"/>
        </w:trPr>
        <w:tc>
          <w:tcPr>
            <w:tcW w:w="1898" w:type="dxa"/>
            <w:tcBorders>
              <w:top w:val="single" w:color="f79646" w:sz="8"/>
              <w:left w:val="single" w:color="f79646" w:sz="8"/>
              <w:bottom w:val="single" w:color="f79646" w:sz="8"/>
              <w:right w:val="single" w:color="f79646" w:sz="8"/>
            </w:tcBorders>
            <w:shd w:color="auto" w:fill="ffffff"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University cafeterias</w:t>
            </w:r>
          </w:p>
        </w:tc>
        <w:tc>
          <w:tcPr>
            <w:tcW w:w="2045" w:type="dxa"/>
            <w:tcBorders>
              <w:top w:val="single" w:color="f79646" w:sz="8"/>
              <w:left w:val="single" w:color="f79646" w:sz="8"/>
              <w:bottom w:val="single" w:color="f79646" w:sz="8"/>
              <w:right w:val="single" w:color="f79646" w:sz="8"/>
            </w:tcBorders>
            <w:shd w:color="auto" w:fill="ffffff"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Convenient location</w:t>
            </w:r>
          </w:p>
        </w:tc>
        <w:tc>
          <w:tcPr>
            <w:tcW w:w="2021" w:type="dxa"/>
            <w:tcBorders>
              <w:top w:val="single" w:color="f79646" w:sz="8"/>
              <w:left w:val="single" w:color="f79646" w:sz="8"/>
              <w:bottom w:val="single" w:color="f79646" w:sz="8"/>
              <w:right w:val="single" w:color="f79646" w:sz="8"/>
            </w:tcBorders>
            <w:shd w:color="auto" w:fill="ffffff"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Limited variety</w:t>
            </w:r>
          </w:p>
        </w:tc>
        <w:tc>
          <w:tcPr>
            <w:tcW w:w="2452" w:type="dxa"/>
            <w:tcBorders>
              <w:top w:val="single" w:color="f79646" w:sz="8"/>
              <w:left w:val="single" w:color="f79646" w:sz="8"/>
              <w:bottom w:val="single" w:color="f79646" w:sz="8"/>
              <w:right w:val="single" w:color="f79646" w:sz="8"/>
            </w:tcBorders>
            <w:shd w:color="auto" w:fill="ffffff"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Customisable healthy meals</w:t>
            </w:r>
          </w:p>
        </w:tc>
      </w:tr>
    </w:tbl>
    <w:p>
      <w:pPr>
        <w:spacing w:before="0" w:after="0" w:line="360"/>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Marketing Communications Strategy</w:t>
      </w: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color w:val="auto"/>
          <w:spacing w:val="0"/>
          <w:position w:val="0"/>
          <w:sz w:val="24"/>
          <w:shd w:fill="auto" w:val="clear"/>
        </w:rPr>
        <w:t xml:space="preserve">FuelUp’s marketing strategy follows the STP model (Kotler and Armstrong, 2020). The primary audience is university students aged 18</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25 seeking affordable, healthy meals; secondary targets include campus staff and nearby young professionals.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FuelUp is positioned as affordable, healthy fuel for busy students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differentiating itself from fast-food chains and coffee shops through nutritional focus and student pricing.</w:t>
      </w:r>
    </w:p>
    <w:p>
      <w:pPr>
        <w:spacing w:before="0" w:after="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Marketing Mix (4Ps)</w:t>
      </w:r>
    </w:p>
    <w:p>
      <w:pPr>
        <w:spacing w:before="0" w:after="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Product:</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FuelUp Student Café is going to provide affordable yet healthy grab and go meals to busy students in the university. The menu will have fresh salads, protein wraps, smoothies and health snack boxes and all the food will be prepared on a daily basis to guarantee quality and freshness. There will be provided transparent information about calories and protein content to make the students make informed choices about their diet, as growing trends are being supported by health awareness.</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b/>
          <w:color w:val="000000"/>
          <w:spacing w:val="0"/>
          <w:position w:val="0"/>
          <w:sz w:val="24"/>
          <w:shd w:fill="auto" w:val="clear"/>
        </w:rPr>
        <w:t xml:space="preserve">Price</w:t>
      </w:r>
      <w:r>
        <w:rPr>
          <w:rFonts w:ascii="Arial" w:hAnsi="Arial" w:cs="Arial" w:eastAsia="Arial"/>
          <w:color w:val="000000"/>
          <w:spacing w:val="0"/>
          <w:position w:val="0"/>
          <w:sz w:val="24"/>
          <w:shd w:fill="auto" w:val="clear"/>
        </w:rPr>
        <w:t xml:space="preserve">:</w:t>
      </w: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color w:val="auto"/>
          <w:spacing w:val="0"/>
          <w:position w:val="0"/>
          <w:sz w:val="24"/>
          <w:shd w:fill="auto" w:val="clear"/>
        </w:rPr>
        <w:t xml:space="preserve">The penetration pricing strategy will be embraced in order to lure students at the launch stage. Value bundle deals, competitive pricing and student discounts will make it more affordable and make people buy over and over again.</w:t>
      </w:r>
    </w:p>
    <w:p>
      <w:pPr>
        <w:spacing w:before="0" w:after="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Place:</w:t>
      </w:r>
    </w:p>
    <w:p>
      <w:pPr>
        <w:spacing w:before="0" w:after="0" w:line="360"/>
        <w:ind w:right="0" w:left="0" w:firstLine="0"/>
        <w:jc w:val="both"/>
        <w:rPr>
          <w:rFonts w:ascii="Arial" w:hAnsi="Arial" w:cs="Arial" w:eastAsia="Arial"/>
          <w:b/>
          <w:color w:val="auto"/>
          <w:spacing w:val="0"/>
          <w:position w:val="0"/>
          <w:sz w:val="24"/>
          <w:shd w:fill="auto" w:val="clear"/>
        </w:rPr>
      </w:pPr>
      <w:r>
        <w:rPr>
          <w:rFonts w:ascii="Arial" w:hAnsi="Arial" w:cs="Arial" w:eastAsia="Arial"/>
          <w:color w:val="auto"/>
          <w:spacing w:val="0"/>
          <w:position w:val="0"/>
          <w:sz w:val="24"/>
          <w:shd w:fill="auto" w:val="clear"/>
        </w:rPr>
        <w:t xml:space="preserve">The location of the cafe will be strategic enough, near the university campus, so to maximise on convenience and huge traffic.</w:t>
      </w:r>
    </w:p>
    <w:p>
      <w:pPr>
        <w:spacing w:before="0" w:after="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Promotion:</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promotional strategies will be as follows: social media campaign, influencer partnerships at the campus, loyalty cards, free samples in the first week of launch, and referral programmes. With integrated marketing communications, there will be no gaps in the message conveyed by the channels (Kotler and Armstrong, 2020).</w:t>
      </w:r>
    </w:p>
    <w:p>
      <w:pPr>
        <w:spacing w:before="0" w:after="0" w:line="360"/>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Financial Plan</w:t>
      </w:r>
    </w:p>
    <w:p>
      <w:pPr>
        <w:spacing w:before="0" w:after="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Funding Requirements</w:t>
      </w:r>
    </w:p>
    <w:p>
      <w:pPr>
        <w:spacing w:before="0" w:after="0" w:line="360"/>
        <w:ind w:right="0" w:left="0" w:firstLine="0"/>
        <w:jc w:val="left"/>
        <w:rPr>
          <w:rFonts w:ascii="Arial" w:hAnsi="Arial" w:cs="Arial" w:eastAsia="Arial"/>
          <w:b/>
          <w:color w:val="auto"/>
          <w:spacing w:val="0"/>
          <w:position w:val="0"/>
          <w:sz w:val="24"/>
          <w:shd w:fill="auto" w:val="clear"/>
        </w:rPr>
      </w:pPr>
      <w:r>
        <w:rPr>
          <w:rFonts w:ascii="Arial" w:hAnsi="Arial" w:cs="Arial" w:eastAsia="Arial"/>
          <w:color w:val="auto"/>
          <w:spacing w:val="0"/>
          <w:position w:val="0"/>
          <w:sz w:val="24"/>
          <w:shd w:fill="auto" w:val="clear"/>
        </w:rPr>
        <w:t xml:space="preserve">FuelUp needs an investment of honeypot of £40,000. Funding will be sourced from:</w:t>
      </w:r>
    </w:p>
    <w:p>
      <w:pPr>
        <w:spacing w:before="0" w:after="0" w:line="360"/>
        <w:ind w:right="0" w:left="0" w:firstLine="0"/>
        <w:jc w:val="left"/>
        <w:rPr>
          <w:rFonts w:ascii="Arial" w:hAnsi="Arial" w:cs="Arial" w:eastAsia="Arial"/>
          <w:b/>
          <w:color w:val="auto"/>
          <w:spacing w:val="0"/>
          <w:position w:val="0"/>
          <w:sz w:val="24"/>
          <w:shd w:fill="auto" w:val="clear"/>
        </w:rPr>
      </w:pPr>
      <w:r>
        <w:rPr>
          <w:rFonts w:ascii="Arial" w:hAnsi="Arial" w:cs="Arial" w:eastAsia="Arial"/>
          <w:color w:val="auto"/>
          <w:spacing w:val="0"/>
          <w:position w:val="0"/>
          <w:sz w:val="24"/>
          <w:shd w:fill="auto" w:val="clear"/>
        </w:rPr>
        <w:t xml:space="preserve">£20,000 personal investment</w:t>
      </w:r>
      <w:r>
        <w:rPr>
          <w:rFonts w:ascii="Arial" w:hAnsi="Arial" w:cs="Arial" w:eastAsia="Arial"/>
          <w:b/>
          <w:color w:val="auto"/>
          <w:spacing w:val="0"/>
          <w:position w:val="0"/>
          <w:sz w:val="24"/>
          <w:shd w:fill="auto" w:val="clear"/>
        </w:rPr>
        <w:t xml:space="preserve"> &amp; </w:t>
      </w:r>
      <w:r>
        <w:rPr>
          <w:rFonts w:ascii="Arial" w:hAnsi="Arial" w:cs="Arial" w:eastAsia="Arial"/>
          <w:color w:val="auto"/>
          <w:spacing w:val="0"/>
          <w:position w:val="0"/>
          <w:sz w:val="24"/>
          <w:shd w:fill="auto" w:val="clear"/>
        </w:rPr>
        <w:t xml:space="preserve">angel investment of 20,000 pounds.</w:t>
      </w:r>
    </w:p>
    <w:p>
      <w:pPr>
        <w:spacing w:before="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Burns (2022) cites that using personal funds and outside sources lessens the stress on finances and also shows a sense of commitment to the founder.</w:t>
      </w:r>
    </w:p>
    <w:p>
      <w:pPr>
        <w:spacing w:before="0" w:after="0" w:line="24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0" w:line="240"/>
        <w:ind w:right="0" w:left="0" w:firstLine="0"/>
        <w:jc w:val="left"/>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Start-up Costs (First Month)</w:t>
      </w:r>
    </w:p>
    <w:tbl>
      <w:tblPr>
        <w:tblInd w:w="20" w:type="dxa"/>
      </w:tblPr>
      <w:tblGrid>
        <w:gridCol w:w="2703"/>
        <w:gridCol w:w="1009"/>
      </w:tblGrid>
      <w:tr>
        <w:trPr>
          <w:trHeight w:val="1" w:hRule="atLeast"/>
          <w:jc w:val="left"/>
        </w:trPr>
        <w:tc>
          <w:tcPr>
            <w:tcW w:w="2703" w:type="dxa"/>
            <w:tcBorders>
              <w:top w:val="single" w:color="9bbb59" w:sz="8"/>
              <w:left w:val="single" w:color="9bbb59" w:sz="8"/>
              <w:bottom w:val="single" w:color="ffffff" w:sz="18"/>
              <w:right w:val="single" w:color="9bbb59" w:sz="8"/>
            </w:tcBorders>
            <w:shd w:color="auto" w:fill="9bbb59"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b/>
                <w:color w:val="000000"/>
                <w:spacing w:val="0"/>
                <w:position w:val="0"/>
                <w:sz w:val="24"/>
                <w:shd w:fill="auto" w:val="clear"/>
              </w:rPr>
              <w:t xml:space="preserve">Category</w:t>
            </w:r>
          </w:p>
        </w:tc>
        <w:tc>
          <w:tcPr>
            <w:tcW w:w="1009" w:type="dxa"/>
            <w:tcBorders>
              <w:top w:val="single" w:color="9bbb59" w:sz="8"/>
              <w:left w:val="single" w:color="9bbb59" w:sz="8"/>
              <w:bottom w:val="single" w:color="ffffff" w:sz="18"/>
              <w:right w:val="single" w:color="9bbb59" w:sz="8"/>
            </w:tcBorders>
            <w:shd w:color="auto" w:fill="9bbb59"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b/>
                <w:color w:val="000000"/>
                <w:spacing w:val="0"/>
                <w:position w:val="0"/>
                <w:sz w:val="24"/>
                <w:shd w:fill="auto" w:val="clear"/>
              </w:rPr>
              <w:t xml:space="preserve">Cost (£)</w:t>
            </w:r>
          </w:p>
        </w:tc>
      </w:tr>
      <w:tr>
        <w:trPr>
          <w:trHeight w:val="1" w:hRule="atLeast"/>
          <w:jc w:val="left"/>
        </w:trPr>
        <w:tc>
          <w:tcPr>
            <w:tcW w:w="2703" w:type="dxa"/>
            <w:tcBorders>
              <w:top w:val="single" w:color="ffffff" w:sz="18"/>
              <w:left w:val="single" w:color="9bbb59" w:sz="8"/>
              <w:bottom w:val="single" w:color="9bbb59" w:sz="8"/>
              <w:right w:val="single" w:color="9bbb59" w:sz="8"/>
            </w:tcBorders>
            <w:shd w:color="auto" w:fill="d7e3bc"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Rent &amp; deposit</w:t>
            </w:r>
          </w:p>
        </w:tc>
        <w:tc>
          <w:tcPr>
            <w:tcW w:w="1009" w:type="dxa"/>
            <w:tcBorders>
              <w:top w:val="single" w:color="ffffff" w:sz="18"/>
              <w:left w:val="single" w:color="9bbb59" w:sz="8"/>
              <w:bottom w:val="single" w:color="9bbb59" w:sz="8"/>
              <w:right w:val="single" w:color="9bbb59" w:sz="8"/>
            </w:tcBorders>
            <w:shd w:color="auto" w:fill="d7e3bc"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8,000</w:t>
            </w:r>
          </w:p>
        </w:tc>
      </w:tr>
      <w:tr>
        <w:trPr>
          <w:trHeight w:val="1" w:hRule="atLeast"/>
          <w:jc w:val="left"/>
        </w:trPr>
        <w:tc>
          <w:tcPr>
            <w:tcW w:w="2703" w:type="dxa"/>
            <w:tcBorders>
              <w:top w:val="single" w:color="9bbb59" w:sz="8"/>
              <w:left w:val="single" w:color="9bbb59" w:sz="8"/>
              <w:bottom w:val="single" w:color="9bbb59" w:sz="8"/>
              <w:right w:val="single" w:color="9bbb59" w:sz="8"/>
            </w:tcBorders>
            <w:shd w:color="auto" w:fill="ffffff"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Equipment</w:t>
            </w:r>
          </w:p>
        </w:tc>
        <w:tc>
          <w:tcPr>
            <w:tcW w:w="1009" w:type="dxa"/>
            <w:tcBorders>
              <w:top w:val="single" w:color="9bbb59" w:sz="8"/>
              <w:left w:val="single" w:color="9bbb59" w:sz="8"/>
              <w:bottom w:val="single" w:color="9bbb59" w:sz="8"/>
              <w:right w:val="single" w:color="9bbb59" w:sz="8"/>
            </w:tcBorders>
            <w:shd w:color="auto" w:fill="ffffff"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12,000</w:t>
            </w:r>
          </w:p>
        </w:tc>
      </w:tr>
      <w:tr>
        <w:trPr>
          <w:trHeight w:val="1" w:hRule="atLeast"/>
          <w:jc w:val="left"/>
        </w:trPr>
        <w:tc>
          <w:tcPr>
            <w:tcW w:w="2703" w:type="dxa"/>
            <w:tcBorders>
              <w:top w:val="single" w:color="9bbb59" w:sz="8"/>
              <w:left w:val="single" w:color="9bbb59" w:sz="8"/>
              <w:bottom w:val="single" w:color="9bbb59" w:sz="8"/>
              <w:right w:val="single" w:color="9bbb59" w:sz="8"/>
            </w:tcBorders>
            <w:shd w:color="auto" w:fill="d7e3bc"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Inventory</w:t>
            </w:r>
          </w:p>
        </w:tc>
        <w:tc>
          <w:tcPr>
            <w:tcW w:w="1009" w:type="dxa"/>
            <w:tcBorders>
              <w:top w:val="single" w:color="9bbb59" w:sz="8"/>
              <w:left w:val="single" w:color="9bbb59" w:sz="8"/>
              <w:bottom w:val="single" w:color="9bbb59" w:sz="8"/>
              <w:right w:val="single" w:color="9bbb59" w:sz="8"/>
            </w:tcBorders>
            <w:shd w:color="auto" w:fill="d7e3bc"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5,000</w:t>
            </w:r>
          </w:p>
        </w:tc>
      </w:tr>
      <w:tr>
        <w:trPr>
          <w:trHeight w:val="1" w:hRule="atLeast"/>
          <w:jc w:val="left"/>
        </w:trPr>
        <w:tc>
          <w:tcPr>
            <w:tcW w:w="2703" w:type="dxa"/>
            <w:tcBorders>
              <w:top w:val="single" w:color="9bbb59" w:sz="8"/>
              <w:left w:val="single" w:color="9bbb59" w:sz="8"/>
              <w:bottom w:val="single" w:color="9bbb59" w:sz="8"/>
              <w:right w:val="single" w:color="9bbb59" w:sz="8"/>
            </w:tcBorders>
            <w:shd w:color="auto" w:fill="ffffff"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Licences &amp; insurance</w:t>
            </w:r>
          </w:p>
        </w:tc>
        <w:tc>
          <w:tcPr>
            <w:tcW w:w="1009" w:type="dxa"/>
            <w:tcBorders>
              <w:top w:val="single" w:color="9bbb59" w:sz="8"/>
              <w:left w:val="single" w:color="9bbb59" w:sz="8"/>
              <w:bottom w:val="single" w:color="9bbb59" w:sz="8"/>
              <w:right w:val="single" w:color="9bbb59" w:sz="8"/>
            </w:tcBorders>
            <w:shd w:color="auto" w:fill="ffffff"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2,000</w:t>
            </w:r>
          </w:p>
        </w:tc>
      </w:tr>
      <w:tr>
        <w:trPr>
          <w:trHeight w:val="1" w:hRule="atLeast"/>
          <w:jc w:val="left"/>
        </w:trPr>
        <w:tc>
          <w:tcPr>
            <w:tcW w:w="2703" w:type="dxa"/>
            <w:tcBorders>
              <w:top w:val="single" w:color="9bbb59" w:sz="8"/>
              <w:left w:val="single" w:color="9bbb59" w:sz="8"/>
              <w:bottom w:val="single" w:color="9bbb59" w:sz="8"/>
              <w:right w:val="single" w:color="9bbb59" w:sz="8"/>
            </w:tcBorders>
            <w:shd w:color="auto" w:fill="d7e3bc"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Marketing</w:t>
            </w:r>
          </w:p>
        </w:tc>
        <w:tc>
          <w:tcPr>
            <w:tcW w:w="1009" w:type="dxa"/>
            <w:tcBorders>
              <w:top w:val="single" w:color="9bbb59" w:sz="8"/>
              <w:left w:val="single" w:color="9bbb59" w:sz="8"/>
              <w:bottom w:val="single" w:color="9bbb59" w:sz="8"/>
              <w:right w:val="single" w:color="9bbb59" w:sz="8"/>
            </w:tcBorders>
            <w:shd w:color="auto" w:fill="d7e3bc"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3,000</w:t>
            </w:r>
          </w:p>
        </w:tc>
      </w:tr>
      <w:tr>
        <w:trPr>
          <w:trHeight w:val="1" w:hRule="atLeast"/>
          <w:jc w:val="left"/>
        </w:trPr>
        <w:tc>
          <w:tcPr>
            <w:tcW w:w="2703" w:type="dxa"/>
            <w:tcBorders>
              <w:top w:val="single" w:color="9bbb59" w:sz="8"/>
              <w:left w:val="single" w:color="9bbb59" w:sz="8"/>
              <w:bottom w:val="single" w:color="9bbb59" w:sz="8"/>
              <w:right w:val="single" w:color="9bbb59" w:sz="8"/>
            </w:tcBorders>
            <w:shd w:color="auto" w:fill="ffffff"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Staff wages</w:t>
            </w:r>
          </w:p>
        </w:tc>
        <w:tc>
          <w:tcPr>
            <w:tcW w:w="1009" w:type="dxa"/>
            <w:tcBorders>
              <w:top w:val="single" w:color="9bbb59" w:sz="8"/>
              <w:left w:val="single" w:color="9bbb59" w:sz="8"/>
              <w:bottom w:val="single" w:color="9bbb59" w:sz="8"/>
              <w:right w:val="single" w:color="9bbb59" w:sz="8"/>
            </w:tcBorders>
            <w:shd w:color="auto" w:fill="ffffff"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7,000</w:t>
            </w:r>
          </w:p>
        </w:tc>
      </w:tr>
      <w:tr>
        <w:trPr>
          <w:trHeight w:val="1" w:hRule="atLeast"/>
          <w:jc w:val="left"/>
        </w:trPr>
        <w:tc>
          <w:tcPr>
            <w:tcW w:w="2703" w:type="dxa"/>
            <w:tcBorders>
              <w:top w:val="single" w:color="9bbb59" w:sz="8"/>
              <w:left w:val="single" w:color="9bbb59" w:sz="8"/>
              <w:bottom w:val="single" w:color="9bbb59" w:sz="8"/>
              <w:right w:val="single" w:color="9bbb59" w:sz="8"/>
            </w:tcBorders>
            <w:shd w:color="auto" w:fill="d7e3bc"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Utilities &amp; miscellaneous</w:t>
            </w:r>
          </w:p>
        </w:tc>
        <w:tc>
          <w:tcPr>
            <w:tcW w:w="1009" w:type="dxa"/>
            <w:tcBorders>
              <w:top w:val="single" w:color="9bbb59" w:sz="8"/>
              <w:left w:val="single" w:color="9bbb59" w:sz="8"/>
              <w:bottom w:val="single" w:color="9bbb59" w:sz="8"/>
              <w:right w:val="single" w:color="9bbb59" w:sz="8"/>
            </w:tcBorders>
            <w:shd w:color="auto" w:fill="d7e3bc"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3,000</w:t>
            </w:r>
          </w:p>
        </w:tc>
      </w:tr>
      <w:tr>
        <w:trPr>
          <w:trHeight w:val="1" w:hRule="atLeast"/>
          <w:jc w:val="left"/>
        </w:trPr>
        <w:tc>
          <w:tcPr>
            <w:tcW w:w="2703" w:type="dxa"/>
            <w:tcBorders>
              <w:top w:val="single" w:color="9bbb59" w:sz="8"/>
              <w:left w:val="single" w:color="9bbb59" w:sz="8"/>
              <w:bottom w:val="single" w:color="9bbb59" w:sz="8"/>
              <w:right w:val="single" w:color="9bbb59" w:sz="8"/>
            </w:tcBorders>
            <w:shd w:color="auto" w:fill="ffffff"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b/>
                <w:color w:val="000000"/>
                <w:spacing w:val="0"/>
                <w:position w:val="0"/>
                <w:sz w:val="24"/>
                <w:shd w:fill="auto" w:val="clear"/>
              </w:rPr>
              <w:t xml:space="preserve">Total</w:t>
            </w:r>
          </w:p>
        </w:tc>
        <w:tc>
          <w:tcPr>
            <w:tcW w:w="1009" w:type="dxa"/>
            <w:tcBorders>
              <w:top w:val="single" w:color="9bbb59" w:sz="8"/>
              <w:left w:val="single" w:color="9bbb59" w:sz="8"/>
              <w:bottom w:val="single" w:color="9bbb59" w:sz="8"/>
              <w:right w:val="single" w:color="9bbb59" w:sz="8"/>
            </w:tcBorders>
            <w:shd w:color="auto" w:fill="ffffff"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b/>
                <w:color w:val="000000"/>
                <w:spacing w:val="0"/>
                <w:position w:val="0"/>
                <w:sz w:val="24"/>
                <w:shd w:fill="auto" w:val="clear"/>
              </w:rPr>
              <w:t xml:space="preserve">40,000</w:t>
            </w:r>
          </w:p>
        </w:tc>
      </w:tr>
    </w:tbl>
    <w:p>
      <w:pPr>
        <w:spacing w:before="0" w:after="0" w:line="360"/>
        <w:ind w:right="0" w:left="0" w:firstLine="0"/>
        <w:jc w:val="both"/>
        <w:rPr>
          <w:rFonts w:ascii="Arial" w:hAnsi="Arial" w:cs="Arial" w:eastAsia="Arial"/>
          <w:color w:val="000000"/>
          <w:spacing w:val="0"/>
          <w:position w:val="0"/>
          <w:sz w:val="24"/>
          <w:shd w:fill="auto" w:val="clear"/>
        </w:rPr>
      </w:pPr>
    </w:p>
    <w:p>
      <w:pPr>
        <w:spacing w:before="0" w:after="0" w:line="360"/>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Revenue Projection</w:t>
      </w:r>
    </w:p>
    <w:p>
      <w:pPr>
        <w:spacing w:before="0" w:after="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Monthly Financial Projection for FuelUp Student Café</w:t>
      </w:r>
    </w:p>
    <w:tbl>
      <w:tblPr>
        <w:tblInd w:w="20" w:type="dxa"/>
      </w:tblPr>
      <w:tblGrid>
        <w:gridCol w:w="4331"/>
        <w:gridCol w:w="1876"/>
      </w:tblGrid>
      <w:tr>
        <w:trPr>
          <w:trHeight w:val="1" w:hRule="atLeast"/>
          <w:jc w:val="left"/>
        </w:trPr>
        <w:tc>
          <w:tcPr>
            <w:tcW w:w="4331" w:type="dxa"/>
            <w:tcBorders>
              <w:top w:val="single" w:color="f79646" w:sz="8"/>
              <w:left w:val="single" w:color="f79646" w:sz="8"/>
              <w:bottom w:val="single" w:color="ffffff" w:sz="18"/>
              <w:right w:val="single" w:color="f79646" w:sz="8"/>
            </w:tcBorders>
            <w:shd w:color="auto" w:fill="f79646"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b/>
                <w:color w:val="000000"/>
                <w:spacing w:val="0"/>
                <w:position w:val="0"/>
                <w:sz w:val="24"/>
                <w:shd w:fill="auto" w:val="clear"/>
              </w:rPr>
              <w:t xml:space="preserve">Financial Assumption / Projection</w:t>
            </w:r>
          </w:p>
        </w:tc>
        <w:tc>
          <w:tcPr>
            <w:tcW w:w="1876" w:type="dxa"/>
            <w:tcBorders>
              <w:top w:val="single" w:color="f79646" w:sz="8"/>
              <w:left w:val="single" w:color="f79646" w:sz="8"/>
              <w:bottom w:val="single" w:color="ffffff" w:sz="18"/>
              <w:right w:val="single" w:color="f79646" w:sz="8"/>
            </w:tcBorders>
            <w:shd w:color="auto" w:fill="f79646"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b/>
                <w:color w:val="000000"/>
                <w:spacing w:val="0"/>
                <w:position w:val="0"/>
                <w:sz w:val="24"/>
                <w:shd w:fill="auto" w:val="clear"/>
              </w:rPr>
              <w:t xml:space="preserve">Amount / Detail</w:t>
            </w:r>
          </w:p>
        </w:tc>
      </w:tr>
      <w:tr>
        <w:trPr>
          <w:trHeight w:val="1" w:hRule="atLeast"/>
          <w:jc w:val="left"/>
        </w:trPr>
        <w:tc>
          <w:tcPr>
            <w:tcW w:w="4331" w:type="dxa"/>
            <w:tcBorders>
              <w:top w:val="single" w:color="ffffff" w:sz="18"/>
              <w:left w:val="single" w:color="f79646" w:sz="8"/>
              <w:bottom w:val="single" w:color="f79646" w:sz="8"/>
              <w:right w:val="single" w:color="f79646" w:sz="8"/>
            </w:tcBorders>
            <w:shd w:color="auto" w:fill="fbd5b5"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Average Transaction Value</w:t>
            </w:r>
          </w:p>
        </w:tc>
        <w:tc>
          <w:tcPr>
            <w:tcW w:w="1876" w:type="dxa"/>
            <w:tcBorders>
              <w:top w:val="single" w:color="ffffff" w:sz="18"/>
              <w:left w:val="single" w:color="f79646" w:sz="8"/>
              <w:bottom w:val="single" w:color="f79646" w:sz="8"/>
              <w:right w:val="single" w:color="f79646" w:sz="8"/>
            </w:tcBorders>
            <w:shd w:color="auto" w:fill="fbd5b5"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£6</w:t>
            </w:r>
          </w:p>
        </w:tc>
      </w:tr>
      <w:tr>
        <w:trPr>
          <w:trHeight w:val="1" w:hRule="atLeast"/>
          <w:jc w:val="left"/>
        </w:trPr>
        <w:tc>
          <w:tcPr>
            <w:tcW w:w="4331" w:type="dxa"/>
            <w:tcBorders>
              <w:top w:val="single" w:color="f79646" w:sz="8"/>
              <w:left w:val="single" w:color="f79646" w:sz="8"/>
              <w:bottom w:val="single" w:color="f79646" w:sz="8"/>
              <w:right w:val="single" w:color="f79646" w:sz="8"/>
            </w:tcBorders>
            <w:shd w:color="auto" w:fill="ffffff"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Average Customers per Day</w:t>
            </w:r>
          </w:p>
        </w:tc>
        <w:tc>
          <w:tcPr>
            <w:tcW w:w="1876" w:type="dxa"/>
            <w:tcBorders>
              <w:top w:val="single" w:color="f79646" w:sz="8"/>
              <w:left w:val="single" w:color="f79646" w:sz="8"/>
              <w:bottom w:val="single" w:color="f79646" w:sz="8"/>
              <w:right w:val="single" w:color="f79646" w:sz="8"/>
            </w:tcBorders>
            <w:shd w:color="auto" w:fill="ffffff"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150</w:t>
            </w:r>
          </w:p>
        </w:tc>
      </w:tr>
      <w:tr>
        <w:trPr>
          <w:trHeight w:val="1" w:hRule="atLeast"/>
          <w:jc w:val="left"/>
        </w:trPr>
        <w:tc>
          <w:tcPr>
            <w:tcW w:w="4331" w:type="dxa"/>
            <w:tcBorders>
              <w:top w:val="single" w:color="f79646" w:sz="8"/>
              <w:left w:val="single" w:color="f79646" w:sz="8"/>
              <w:bottom w:val="single" w:color="f79646" w:sz="8"/>
              <w:right w:val="single" w:color="f79646" w:sz="8"/>
            </w:tcBorders>
            <w:shd w:color="auto" w:fill="fbd5b5"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Operating Days per Month</w:t>
            </w:r>
          </w:p>
        </w:tc>
        <w:tc>
          <w:tcPr>
            <w:tcW w:w="1876" w:type="dxa"/>
            <w:tcBorders>
              <w:top w:val="single" w:color="f79646" w:sz="8"/>
              <w:left w:val="single" w:color="f79646" w:sz="8"/>
              <w:bottom w:val="single" w:color="f79646" w:sz="8"/>
              <w:right w:val="single" w:color="f79646" w:sz="8"/>
            </w:tcBorders>
            <w:shd w:color="auto" w:fill="fbd5b5"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26</w:t>
            </w:r>
          </w:p>
        </w:tc>
      </w:tr>
      <w:tr>
        <w:trPr>
          <w:trHeight w:val="1" w:hRule="atLeast"/>
          <w:jc w:val="left"/>
        </w:trPr>
        <w:tc>
          <w:tcPr>
            <w:tcW w:w="4331" w:type="dxa"/>
            <w:tcBorders>
              <w:top w:val="single" w:color="f79646" w:sz="8"/>
              <w:left w:val="single" w:color="f79646" w:sz="8"/>
              <w:bottom w:val="single" w:color="f79646" w:sz="8"/>
              <w:right w:val="single" w:color="f79646" w:sz="8"/>
            </w:tcBorders>
            <w:shd w:color="auto" w:fill="ffffff"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b/>
                <w:color w:val="000000"/>
                <w:spacing w:val="0"/>
                <w:position w:val="0"/>
                <w:sz w:val="24"/>
                <w:shd w:fill="auto" w:val="clear"/>
              </w:rPr>
              <w:t xml:space="preserve">Projected Monthly Revenue</w:t>
            </w:r>
          </w:p>
        </w:tc>
        <w:tc>
          <w:tcPr>
            <w:tcW w:w="1876" w:type="dxa"/>
            <w:tcBorders>
              <w:top w:val="single" w:color="f79646" w:sz="8"/>
              <w:left w:val="single" w:color="f79646" w:sz="8"/>
              <w:bottom w:val="single" w:color="f79646" w:sz="8"/>
              <w:right w:val="single" w:color="f79646" w:sz="8"/>
            </w:tcBorders>
            <w:shd w:color="auto" w:fill="ffffff"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b/>
                <w:color w:val="000000"/>
                <w:spacing w:val="0"/>
                <w:position w:val="0"/>
                <w:sz w:val="24"/>
                <w:shd w:fill="auto" w:val="clear"/>
              </w:rPr>
              <w:t xml:space="preserve">£23,400</w:t>
            </w:r>
          </w:p>
        </w:tc>
      </w:tr>
      <w:tr>
        <w:trPr>
          <w:trHeight w:val="1" w:hRule="atLeast"/>
          <w:jc w:val="left"/>
        </w:trPr>
        <w:tc>
          <w:tcPr>
            <w:tcW w:w="4331" w:type="dxa"/>
            <w:tcBorders>
              <w:top w:val="single" w:color="f79646" w:sz="8"/>
              <w:left w:val="single" w:color="f79646" w:sz="8"/>
              <w:bottom w:val="single" w:color="f79646" w:sz="8"/>
              <w:right w:val="single" w:color="f79646" w:sz="8"/>
            </w:tcBorders>
            <w:shd w:color="auto" w:fill="fbd5b5"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Estimated Monthly Operating Expenses</w:t>
            </w:r>
          </w:p>
        </w:tc>
        <w:tc>
          <w:tcPr>
            <w:tcW w:w="1876" w:type="dxa"/>
            <w:tcBorders>
              <w:top w:val="single" w:color="f79646" w:sz="8"/>
              <w:left w:val="single" w:color="f79646" w:sz="8"/>
              <w:bottom w:val="single" w:color="f79646" w:sz="8"/>
              <w:right w:val="single" w:color="f79646" w:sz="8"/>
            </w:tcBorders>
            <w:shd w:color="auto" w:fill="fbd5b5"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£18,000</w:t>
            </w:r>
          </w:p>
        </w:tc>
      </w:tr>
      <w:tr>
        <w:trPr>
          <w:trHeight w:val="1" w:hRule="atLeast"/>
          <w:jc w:val="left"/>
        </w:trPr>
        <w:tc>
          <w:tcPr>
            <w:tcW w:w="4331" w:type="dxa"/>
            <w:tcBorders>
              <w:top w:val="single" w:color="f79646" w:sz="8"/>
              <w:left w:val="single" w:color="f79646" w:sz="8"/>
              <w:bottom w:val="single" w:color="f79646" w:sz="8"/>
              <w:right w:val="single" w:color="f79646" w:sz="8"/>
            </w:tcBorders>
            <w:shd w:color="auto" w:fill="ffffff"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b/>
                <w:color w:val="000000"/>
                <w:spacing w:val="0"/>
                <w:position w:val="0"/>
                <w:sz w:val="24"/>
                <w:shd w:fill="auto" w:val="clear"/>
              </w:rPr>
              <w:t xml:space="preserve">Projected Monthly Gross Profit</w:t>
            </w:r>
          </w:p>
        </w:tc>
        <w:tc>
          <w:tcPr>
            <w:tcW w:w="1876" w:type="dxa"/>
            <w:tcBorders>
              <w:top w:val="single" w:color="f79646" w:sz="8"/>
              <w:left w:val="single" w:color="f79646" w:sz="8"/>
              <w:bottom w:val="single" w:color="f79646" w:sz="8"/>
              <w:right w:val="single" w:color="f79646" w:sz="8"/>
            </w:tcBorders>
            <w:shd w:color="auto" w:fill="ffffff"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b/>
                <w:color w:val="000000"/>
                <w:spacing w:val="0"/>
                <w:position w:val="0"/>
                <w:sz w:val="24"/>
                <w:shd w:fill="auto" w:val="clear"/>
              </w:rPr>
              <w:t xml:space="preserve">£5,400</w:t>
            </w:r>
          </w:p>
        </w:tc>
      </w:tr>
      <w:tr>
        <w:trPr>
          <w:trHeight w:val="1" w:hRule="atLeast"/>
          <w:jc w:val="left"/>
        </w:trPr>
        <w:tc>
          <w:tcPr>
            <w:tcW w:w="4331" w:type="dxa"/>
            <w:tcBorders>
              <w:top w:val="single" w:color="f79646" w:sz="8"/>
              <w:left w:val="single" w:color="f79646" w:sz="8"/>
              <w:bottom w:val="single" w:color="f79646" w:sz="8"/>
              <w:right w:val="single" w:color="f79646" w:sz="8"/>
            </w:tcBorders>
            <w:shd w:color="auto" w:fill="fbd5b5"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Break-even Period</w:t>
            </w:r>
          </w:p>
        </w:tc>
        <w:tc>
          <w:tcPr>
            <w:tcW w:w="1876" w:type="dxa"/>
            <w:tcBorders>
              <w:top w:val="single" w:color="f79646" w:sz="8"/>
              <w:left w:val="single" w:color="f79646" w:sz="8"/>
              <w:bottom w:val="single" w:color="f79646" w:sz="8"/>
              <w:right w:val="single" w:color="f79646" w:sz="8"/>
            </w:tcBorders>
            <w:shd w:color="auto" w:fill="fbd5b5" w:val="clear"/>
            <w:tcMar>
              <w:left w:w="7" w:type="dxa"/>
              <w:right w:w="7" w:type="dxa"/>
            </w:tcMar>
            <w:vAlign w:val="center"/>
          </w:tcPr>
          <w:p>
            <w:pPr>
              <w:spacing w:before="0" w:after="0" w:line="360"/>
              <w:ind w:right="0" w:left="0" w:firstLine="0"/>
              <w:jc w:val="both"/>
              <w:rPr>
                <w:spacing w:val="0"/>
                <w:position w:val="0"/>
                <w:shd w:fill="auto" w:val="clear"/>
              </w:rPr>
            </w:pPr>
            <w:r>
              <w:rPr>
                <w:rFonts w:ascii="Arial" w:hAnsi="Arial" w:cs="Arial" w:eastAsia="Arial"/>
                <w:color w:val="000000"/>
                <w:spacing w:val="0"/>
                <w:position w:val="0"/>
                <w:sz w:val="24"/>
                <w:shd w:fill="auto" w:val="clear"/>
              </w:rPr>
              <w:t xml:space="preserve">12</w:t>
            </w:r>
            <w:r>
              <w:rPr>
                <w:rFonts w:ascii="Arial" w:hAnsi="Arial" w:cs="Arial" w:eastAsia="Arial"/>
                <w:color w:val="000000"/>
                <w:spacing w:val="0"/>
                <w:position w:val="0"/>
                <w:sz w:val="24"/>
                <w:shd w:fill="auto" w:val="clear"/>
              </w:rPr>
              <w:t xml:space="preserve">–</w:t>
            </w:r>
            <w:r>
              <w:rPr>
                <w:rFonts w:ascii="Arial" w:hAnsi="Arial" w:cs="Arial" w:eastAsia="Arial"/>
                <w:color w:val="000000"/>
                <w:spacing w:val="0"/>
                <w:position w:val="0"/>
                <w:sz w:val="24"/>
                <w:shd w:fill="auto" w:val="clear"/>
              </w:rPr>
              <w:t xml:space="preserve">18 months</w:t>
            </w:r>
          </w:p>
        </w:tc>
      </w:tr>
    </w:tbl>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Using a projected average transaction value of £6 with about 150 customers per day and 26 working days per month, FuelUp Student Café is expected to receive a monthly revenue of £23,400 (150 × 6 × 26). Monthly operation cost such as rent, wages, utilities and inventory replacement is projected to cost £18, 000. This would have a projected gross profit of about 5,400 monthly. According to these estimations, it will take the business 12 to 18 months to break even once it has started operating. There will be no long-run strategic success and competitive stability without financial sustainability (Whittington et al., 2019).</w:t>
      </w:r>
    </w:p>
    <w:p>
      <w:pPr>
        <w:spacing w:before="0" w:after="0" w:line="360"/>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Cash Flow</w:t>
      </w:r>
    </w:p>
    <w:p>
      <w:pPr>
        <w:spacing w:before="0" w:after="0" w:line="24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following cash flow statement outlines the projected monthly cash inflows and outflows for FuelUp Student Café, give a clear impression of the business’s liquidity position across the first year of operation.</w:t>
      </w:r>
    </w:p>
    <w:p>
      <w:pPr>
        <w:spacing w:before="0" w:after="0" w:line="240"/>
        <w:ind w:right="0" w:left="0" w:firstLine="0"/>
        <w:jc w:val="left"/>
        <w:rPr>
          <w:rFonts w:ascii="Arial" w:hAnsi="Arial" w:cs="Arial" w:eastAsia="Arial"/>
          <w:color w:val="000000"/>
          <w:spacing w:val="0"/>
          <w:position w:val="0"/>
          <w:sz w:val="24"/>
          <w:shd w:fill="auto" w:val="clear"/>
        </w:rPr>
      </w:pPr>
    </w:p>
    <w:tbl>
      <w:tblPr/>
      <w:tblGrid>
        <w:gridCol w:w="5426"/>
        <w:gridCol w:w="1800"/>
        <w:gridCol w:w="1800"/>
      </w:tblGrid>
      <w:tr>
        <w:trPr>
          <w:trHeight w:val="1" w:hRule="atLeast"/>
          <w:jc w:val="left"/>
        </w:trPr>
        <w:tc>
          <w:tcPr>
            <w:tcW w:w="5426" w:type="dxa"/>
            <w:tcBorders>
              <w:top w:val="single" w:color="2e7d32" w:sz="4"/>
              <w:left w:val="single" w:color="2e7d32" w:sz="4"/>
              <w:bottom w:val="single" w:color="2e7d32" w:sz="4"/>
              <w:right w:val="single" w:color="2e7d32" w:sz="4"/>
            </w:tcBorders>
            <w:shd w:color="auto" w:fill="2e7d32" w:val="clear"/>
            <w:tcMar>
              <w:left w:w="120" w:type="dxa"/>
              <w:right w:w="120" w:type="dxa"/>
            </w:tcMar>
            <w:vAlign w:val="top"/>
          </w:tcPr>
          <w:p>
            <w:pPr>
              <w:spacing w:before="0" w:after="0" w:line="240"/>
              <w:ind w:right="0" w:left="0" w:firstLine="0"/>
              <w:jc w:val="center"/>
              <w:rPr>
                <w:spacing w:val="0"/>
                <w:position w:val="0"/>
                <w:sz w:val="22"/>
                <w:shd w:fill="auto" w:val="clear"/>
              </w:rPr>
            </w:pPr>
            <w:r>
              <w:rPr>
                <w:rFonts w:ascii="Arial" w:hAnsi="Arial" w:cs="Arial" w:eastAsia="Arial"/>
                <w:b/>
                <w:color w:val="FFFFFF"/>
                <w:spacing w:val="0"/>
                <w:position w:val="0"/>
                <w:sz w:val="22"/>
                <w:shd w:fill="auto" w:val="clear"/>
              </w:rPr>
              <w:t xml:space="preserve">Cash In</w:t>
            </w:r>
          </w:p>
        </w:tc>
        <w:tc>
          <w:tcPr>
            <w:tcW w:w="1800" w:type="dxa"/>
            <w:tcBorders>
              <w:top w:val="single" w:color="2e7d32" w:sz="4"/>
              <w:left w:val="single" w:color="2e7d32" w:sz="4"/>
              <w:bottom w:val="single" w:color="2e7d32" w:sz="4"/>
              <w:right w:val="single" w:color="2e7d32" w:sz="4"/>
            </w:tcBorders>
            <w:shd w:color="auto" w:fill="2e7d32" w:val="clear"/>
            <w:tcMar>
              <w:left w:w="120" w:type="dxa"/>
              <w:right w:w="120" w:type="dxa"/>
            </w:tcMar>
            <w:vAlign w:val="top"/>
          </w:tcPr>
          <w:p>
            <w:pPr>
              <w:spacing w:before="0" w:after="0" w:line="240"/>
              <w:ind w:right="0" w:left="0" w:firstLine="0"/>
              <w:jc w:val="center"/>
              <w:rPr>
                <w:spacing w:val="0"/>
                <w:position w:val="0"/>
                <w:sz w:val="22"/>
                <w:shd w:fill="auto" w:val="clear"/>
              </w:rPr>
            </w:pPr>
            <w:r>
              <w:rPr>
                <w:rFonts w:ascii="Arial" w:hAnsi="Arial" w:cs="Arial" w:eastAsia="Arial"/>
                <w:b/>
                <w:color w:val="FFFFFF"/>
                <w:spacing w:val="0"/>
                <w:position w:val="0"/>
                <w:sz w:val="22"/>
                <w:shd w:fill="auto" w:val="clear"/>
              </w:rPr>
              <w:t xml:space="preserve">Month 1 (£)</w:t>
            </w:r>
          </w:p>
        </w:tc>
        <w:tc>
          <w:tcPr>
            <w:tcW w:w="1800" w:type="dxa"/>
            <w:tcBorders>
              <w:top w:val="single" w:color="2e7d32" w:sz="4"/>
              <w:left w:val="single" w:color="2e7d32" w:sz="4"/>
              <w:bottom w:val="single" w:color="2e7d32" w:sz="4"/>
              <w:right w:val="single" w:color="2e7d32" w:sz="4"/>
            </w:tcBorders>
            <w:shd w:color="auto" w:fill="2e7d32" w:val="clear"/>
            <w:tcMar>
              <w:left w:w="120" w:type="dxa"/>
              <w:right w:w="120" w:type="dxa"/>
            </w:tcMar>
            <w:vAlign w:val="top"/>
          </w:tcPr>
          <w:p>
            <w:pPr>
              <w:spacing w:before="0" w:after="0" w:line="240"/>
              <w:ind w:right="0" w:left="0" w:firstLine="0"/>
              <w:jc w:val="center"/>
              <w:rPr>
                <w:spacing w:val="0"/>
                <w:position w:val="0"/>
                <w:sz w:val="22"/>
                <w:shd w:fill="auto" w:val="clear"/>
              </w:rPr>
            </w:pPr>
            <w:r>
              <w:rPr>
                <w:rFonts w:ascii="Arial" w:hAnsi="Arial" w:cs="Arial" w:eastAsia="Arial"/>
                <w:b/>
                <w:color w:val="FFFFFF"/>
                <w:spacing w:val="0"/>
                <w:position w:val="0"/>
                <w:sz w:val="22"/>
                <w:shd w:fill="auto" w:val="clear"/>
              </w:rPr>
              <w:t xml:space="preserve">Month 2+ (£)</w:t>
            </w:r>
          </w:p>
        </w:tc>
      </w:tr>
      <w:tr>
        <w:trPr>
          <w:trHeight w:val="1" w:hRule="atLeast"/>
          <w:jc w:val="left"/>
        </w:trPr>
        <w:tc>
          <w:tcPr>
            <w:tcW w:w="5426"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Loan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start-up capital</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40,000</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0</w:t>
            </w:r>
          </w:p>
        </w:tc>
      </w:tr>
      <w:tr>
        <w:trPr>
          <w:trHeight w:val="1" w:hRule="atLeast"/>
          <w:jc w:val="left"/>
        </w:trPr>
        <w:tc>
          <w:tcPr>
            <w:tcW w:w="5426"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Sales (products/services)</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0</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23,400</w:t>
            </w:r>
          </w:p>
        </w:tc>
      </w:tr>
      <w:tr>
        <w:trPr>
          <w:trHeight w:val="1" w:hRule="atLeast"/>
          <w:jc w:val="left"/>
        </w:trPr>
        <w:tc>
          <w:tcPr>
            <w:tcW w:w="5426"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Other</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0</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0</w:t>
            </w:r>
          </w:p>
        </w:tc>
      </w:tr>
      <w:tr>
        <w:trPr>
          <w:trHeight w:val="1" w:hRule="atLeast"/>
          <w:jc w:val="left"/>
        </w:trPr>
        <w:tc>
          <w:tcPr>
            <w:tcW w:w="5426" w:type="dxa"/>
            <w:tcBorders>
              <w:top w:val="single" w:color="2e7d32" w:sz="4"/>
              <w:left w:val="single" w:color="2e7d32" w:sz="4"/>
              <w:bottom w:val="single" w:color="2e7d32" w:sz="4"/>
              <w:right w:val="single" w:color="2e7d32" w:sz="4"/>
            </w:tcBorders>
            <w:shd w:color="auto" w:fill="c8e6c9" w:val="clear"/>
            <w:tcMar>
              <w:left w:w="120" w:type="dxa"/>
              <w:right w:w="120"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Total cash in-flows (A)</w:t>
            </w:r>
          </w:p>
        </w:tc>
        <w:tc>
          <w:tcPr>
            <w:tcW w:w="1800" w:type="dxa"/>
            <w:tcBorders>
              <w:top w:val="single" w:color="2e7d32" w:sz="4"/>
              <w:left w:val="single" w:color="2e7d32" w:sz="4"/>
              <w:bottom w:val="single" w:color="2e7d32" w:sz="4"/>
              <w:right w:val="single" w:color="2e7d32" w:sz="4"/>
            </w:tcBorders>
            <w:shd w:color="auto" w:fill="c8e6c9"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40,000</w:t>
            </w:r>
          </w:p>
        </w:tc>
        <w:tc>
          <w:tcPr>
            <w:tcW w:w="1800" w:type="dxa"/>
            <w:tcBorders>
              <w:top w:val="single" w:color="2e7d32" w:sz="4"/>
              <w:left w:val="single" w:color="2e7d32" w:sz="4"/>
              <w:bottom w:val="single" w:color="2e7d32" w:sz="4"/>
              <w:right w:val="single" w:color="2e7d32" w:sz="4"/>
            </w:tcBorders>
            <w:shd w:color="auto" w:fill="c8e6c9"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23,400</w:t>
            </w:r>
          </w:p>
        </w:tc>
      </w:tr>
      <w:tr>
        <w:trPr>
          <w:trHeight w:val="1" w:hRule="atLeast"/>
          <w:jc w:val="left"/>
        </w:trPr>
        <w:tc>
          <w:tcPr>
            <w:tcW w:w="5426" w:type="dxa"/>
            <w:tcBorders>
              <w:top w:val="single" w:color="2e7d32" w:sz="4"/>
              <w:left w:val="single" w:color="2e7d32" w:sz="4"/>
              <w:bottom w:val="single" w:color="2e7d32" w:sz="4"/>
              <w:right w:val="single" w:color="2e7d32" w:sz="4"/>
            </w:tcBorders>
            <w:shd w:color="auto" w:fill="2e7d32" w:val="clear"/>
            <w:tcMar>
              <w:left w:w="120" w:type="dxa"/>
              <w:right w:w="120" w:type="dxa"/>
            </w:tcMar>
            <w:vAlign w:val="top"/>
          </w:tcPr>
          <w:p>
            <w:pPr>
              <w:spacing w:before="0" w:after="0" w:line="240"/>
              <w:ind w:right="0" w:left="0" w:firstLine="0"/>
              <w:jc w:val="center"/>
              <w:rPr>
                <w:spacing w:val="0"/>
                <w:position w:val="0"/>
                <w:sz w:val="22"/>
                <w:shd w:fill="auto" w:val="clear"/>
              </w:rPr>
            </w:pPr>
            <w:r>
              <w:rPr>
                <w:rFonts w:ascii="Arial" w:hAnsi="Arial" w:cs="Arial" w:eastAsia="Arial"/>
                <w:b/>
                <w:color w:val="FFFFFF"/>
                <w:spacing w:val="0"/>
                <w:position w:val="0"/>
                <w:sz w:val="22"/>
                <w:shd w:fill="auto" w:val="clear"/>
              </w:rPr>
              <w:t xml:space="preserve">Cash Out </w:t>
            </w:r>
            <w:r>
              <w:rPr>
                <w:rFonts w:ascii="Arial" w:hAnsi="Arial" w:cs="Arial" w:eastAsia="Arial"/>
                <w:b/>
                <w:color w:val="FFFFFF"/>
                <w:spacing w:val="0"/>
                <w:position w:val="0"/>
                <w:sz w:val="22"/>
                <w:shd w:fill="auto" w:val="clear"/>
              </w:rPr>
              <w:t xml:space="preserve">–</w:t>
            </w:r>
            <w:r>
              <w:rPr>
                <w:rFonts w:ascii="Arial" w:hAnsi="Arial" w:cs="Arial" w:eastAsia="Arial"/>
                <w:b/>
                <w:color w:val="FFFFFF"/>
                <w:spacing w:val="0"/>
                <w:position w:val="0"/>
                <w:sz w:val="22"/>
                <w:shd w:fill="auto" w:val="clear"/>
              </w:rPr>
              <w:t xml:space="preserve"> Expenses</w:t>
            </w:r>
          </w:p>
        </w:tc>
        <w:tc>
          <w:tcPr>
            <w:tcW w:w="1800" w:type="dxa"/>
            <w:tcBorders>
              <w:top w:val="single" w:color="2e7d32" w:sz="4"/>
              <w:left w:val="single" w:color="2e7d32" w:sz="4"/>
              <w:bottom w:val="single" w:color="2e7d32" w:sz="4"/>
              <w:right w:val="single" w:color="2e7d32" w:sz="4"/>
            </w:tcBorders>
            <w:shd w:color="auto" w:fill="2e7d32" w:val="clear"/>
            <w:tcMar>
              <w:left w:w="120" w:type="dxa"/>
              <w:right w:w="120" w:type="dxa"/>
            </w:tcMar>
            <w:vAlign w:val="top"/>
          </w:tcPr>
          <w:p>
            <w:pPr>
              <w:spacing w:before="0" w:after="0" w:line="240"/>
              <w:ind w:right="0" w:left="0" w:firstLine="0"/>
              <w:jc w:val="center"/>
              <w:rPr>
                <w:spacing w:val="0"/>
                <w:position w:val="0"/>
                <w:sz w:val="22"/>
                <w:shd w:fill="auto" w:val="clear"/>
              </w:rPr>
            </w:pPr>
            <w:r>
              <w:rPr>
                <w:rFonts w:ascii="Arial" w:hAnsi="Arial" w:cs="Arial" w:eastAsia="Arial"/>
                <w:b/>
                <w:color w:val="FFFFFF"/>
                <w:spacing w:val="0"/>
                <w:position w:val="0"/>
                <w:sz w:val="22"/>
                <w:shd w:fill="auto" w:val="clear"/>
              </w:rPr>
              <w:t xml:space="preserve">Month 1 (£)</w:t>
            </w:r>
          </w:p>
        </w:tc>
        <w:tc>
          <w:tcPr>
            <w:tcW w:w="1800" w:type="dxa"/>
            <w:tcBorders>
              <w:top w:val="single" w:color="2e7d32" w:sz="4"/>
              <w:left w:val="single" w:color="2e7d32" w:sz="4"/>
              <w:bottom w:val="single" w:color="2e7d32" w:sz="4"/>
              <w:right w:val="single" w:color="2e7d32" w:sz="4"/>
            </w:tcBorders>
            <w:shd w:color="auto" w:fill="2e7d32" w:val="clear"/>
            <w:tcMar>
              <w:left w:w="120" w:type="dxa"/>
              <w:right w:w="120" w:type="dxa"/>
            </w:tcMar>
            <w:vAlign w:val="top"/>
          </w:tcPr>
          <w:p>
            <w:pPr>
              <w:spacing w:before="0" w:after="0" w:line="240"/>
              <w:ind w:right="0" w:left="0" w:firstLine="0"/>
              <w:jc w:val="center"/>
              <w:rPr>
                <w:spacing w:val="0"/>
                <w:position w:val="0"/>
                <w:sz w:val="22"/>
                <w:shd w:fill="auto" w:val="clear"/>
              </w:rPr>
            </w:pPr>
            <w:r>
              <w:rPr>
                <w:rFonts w:ascii="Arial" w:hAnsi="Arial" w:cs="Arial" w:eastAsia="Arial"/>
                <w:b/>
                <w:color w:val="FFFFFF"/>
                <w:spacing w:val="0"/>
                <w:position w:val="0"/>
                <w:sz w:val="22"/>
                <w:shd w:fill="auto" w:val="clear"/>
              </w:rPr>
              <w:t xml:space="preserve">Month 2+ (£)</w:t>
            </w:r>
          </w:p>
        </w:tc>
      </w:tr>
      <w:tr>
        <w:trPr>
          <w:trHeight w:val="1" w:hRule="atLeast"/>
          <w:jc w:val="left"/>
        </w:trPr>
        <w:tc>
          <w:tcPr>
            <w:tcW w:w="5426"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Rent or premises costs</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8,000</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2,000</w:t>
            </w:r>
          </w:p>
        </w:tc>
      </w:tr>
      <w:tr>
        <w:trPr>
          <w:trHeight w:val="1" w:hRule="atLeast"/>
          <w:jc w:val="left"/>
        </w:trPr>
        <w:tc>
          <w:tcPr>
            <w:tcW w:w="5426"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Business rates</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0</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0</w:t>
            </w:r>
          </w:p>
        </w:tc>
      </w:tr>
      <w:tr>
        <w:trPr>
          <w:trHeight w:val="1" w:hRule="atLeast"/>
          <w:jc w:val="left"/>
        </w:trPr>
        <w:tc>
          <w:tcPr>
            <w:tcW w:w="5426"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Utilities (gas, electricity, water)</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500</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500</w:t>
            </w:r>
          </w:p>
        </w:tc>
      </w:tr>
      <w:tr>
        <w:trPr>
          <w:trHeight w:val="1" w:hRule="atLeast"/>
          <w:jc w:val="left"/>
        </w:trPr>
        <w:tc>
          <w:tcPr>
            <w:tcW w:w="5426"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Insurance</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2,000</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0</w:t>
            </w:r>
          </w:p>
        </w:tc>
      </w:tr>
      <w:tr>
        <w:trPr>
          <w:trHeight w:val="1" w:hRule="atLeast"/>
          <w:jc w:val="left"/>
        </w:trPr>
        <w:tc>
          <w:tcPr>
            <w:tcW w:w="5426"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Telephone and internet</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100</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100</w:t>
            </w:r>
          </w:p>
        </w:tc>
      </w:tr>
      <w:tr>
        <w:trPr>
          <w:trHeight w:val="1" w:hRule="atLeast"/>
          <w:jc w:val="left"/>
        </w:trPr>
        <w:tc>
          <w:tcPr>
            <w:tcW w:w="5426"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Marketing and advertising</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3,000</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1,000</w:t>
            </w:r>
          </w:p>
        </w:tc>
      </w:tr>
      <w:tr>
        <w:trPr>
          <w:trHeight w:val="1" w:hRule="atLeast"/>
          <w:jc w:val="left"/>
        </w:trPr>
        <w:tc>
          <w:tcPr>
            <w:tcW w:w="5426"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Vehicle running costs</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0</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0</w:t>
            </w:r>
          </w:p>
        </w:tc>
      </w:tr>
      <w:tr>
        <w:trPr>
          <w:trHeight w:val="1" w:hRule="atLeast"/>
          <w:jc w:val="left"/>
        </w:trPr>
        <w:tc>
          <w:tcPr>
            <w:tcW w:w="5426"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Equipment purchase or leasing</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12,000</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0</w:t>
            </w:r>
          </w:p>
        </w:tc>
      </w:tr>
      <w:tr>
        <w:trPr>
          <w:trHeight w:val="1" w:hRule="atLeast"/>
          <w:jc w:val="left"/>
        </w:trPr>
        <w:tc>
          <w:tcPr>
            <w:tcW w:w="5426"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Postage, printing, stationery</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200</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100</w:t>
            </w:r>
          </w:p>
        </w:tc>
      </w:tr>
      <w:tr>
        <w:trPr>
          <w:trHeight w:val="1" w:hRule="atLeast"/>
          <w:jc w:val="left"/>
        </w:trPr>
        <w:tc>
          <w:tcPr>
            <w:tcW w:w="5426"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Transport and delivery</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200</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200</w:t>
            </w:r>
          </w:p>
        </w:tc>
      </w:tr>
      <w:tr>
        <w:trPr>
          <w:trHeight w:val="1" w:hRule="atLeast"/>
          <w:jc w:val="left"/>
        </w:trPr>
        <w:tc>
          <w:tcPr>
            <w:tcW w:w="5426"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Professional fees (legal, accounting)</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500</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0</w:t>
            </w:r>
          </w:p>
        </w:tc>
      </w:tr>
      <w:tr>
        <w:trPr>
          <w:trHeight w:val="1" w:hRule="atLeast"/>
          <w:jc w:val="left"/>
        </w:trPr>
        <w:tc>
          <w:tcPr>
            <w:tcW w:w="5426"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Cost of sales (cost of product)</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5,000</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5,000</w:t>
            </w:r>
          </w:p>
        </w:tc>
      </w:tr>
      <w:tr>
        <w:trPr>
          <w:trHeight w:val="1" w:hRule="atLeast"/>
          <w:jc w:val="left"/>
        </w:trPr>
        <w:tc>
          <w:tcPr>
            <w:tcW w:w="5426"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Wages </w:t>
            </w:r>
            <w:r>
              <w:rPr>
                <w:rFonts w:ascii="Arial" w:hAnsi="Arial" w:cs="Arial" w:eastAsia="Aria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own</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0</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0</w:t>
            </w:r>
          </w:p>
        </w:tc>
      </w:tr>
      <w:tr>
        <w:trPr>
          <w:trHeight w:val="1" w:hRule="atLeast"/>
          <w:jc w:val="left"/>
        </w:trPr>
        <w:tc>
          <w:tcPr>
            <w:tcW w:w="5426"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Staff wages</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7,000</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7,000</w:t>
            </w:r>
          </w:p>
        </w:tc>
      </w:tr>
      <w:tr>
        <w:trPr>
          <w:trHeight w:val="1" w:hRule="atLeast"/>
          <w:jc w:val="left"/>
        </w:trPr>
        <w:tc>
          <w:tcPr>
            <w:tcW w:w="5426"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Any other (miscellaneous)</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3,000</w:t>
            </w:r>
          </w:p>
        </w:tc>
        <w:tc>
          <w:tcPr>
            <w:tcW w:w="1800" w:type="dxa"/>
            <w:tcBorders>
              <w:top w:val="single" w:color="2e7d32" w:sz="4"/>
              <w:left w:val="single" w:color="2e7d32" w:sz="4"/>
              <w:bottom w:val="single" w:color="2e7d32" w:sz="4"/>
              <w:right w:val="single" w:color="2e7d32" w:sz="4"/>
            </w:tcBorders>
            <w:shd w:color="auto" w:fill="f9ebea"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2,100</w:t>
            </w:r>
          </w:p>
        </w:tc>
      </w:tr>
      <w:tr>
        <w:trPr>
          <w:trHeight w:val="1" w:hRule="atLeast"/>
          <w:jc w:val="left"/>
        </w:trPr>
        <w:tc>
          <w:tcPr>
            <w:tcW w:w="5426" w:type="dxa"/>
            <w:tcBorders>
              <w:top w:val="single" w:color="2e7d32" w:sz="4"/>
              <w:left w:val="single" w:color="2e7d32" w:sz="4"/>
              <w:bottom w:val="single" w:color="2e7d32" w:sz="4"/>
              <w:right w:val="single" w:color="2e7d32" w:sz="4"/>
            </w:tcBorders>
            <w:shd w:color="auto" w:fill="c8e6c9" w:val="clear"/>
            <w:tcMar>
              <w:left w:w="120" w:type="dxa"/>
              <w:right w:w="120" w:type="dxa"/>
            </w:tcMar>
            <w:vAlign w:val="top"/>
          </w:tcPr>
          <w:p>
            <w:pPr>
              <w:spacing w:before="0" w:after="0" w:line="240"/>
              <w:ind w:right="0" w:left="0" w:firstLine="0"/>
              <w:jc w:val="left"/>
              <w:rPr>
                <w:color w:val="auto"/>
                <w:spacing w:val="0"/>
                <w:position w:val="0"/>
                <w:sz w:val="22"/>
                <w:shd w:fill="auto" w:val="clear"/>
              </w:rPr>
            </w:pPr>
            <w:r>
              <w:rPr>
                <w:rFonts w:ascii="Arial" w:hAnsi="Arial" w:cs="Arial" w:eastAsia="Arial"/>
                <w:b/>
                <w:color w:val="auto"/>
                <w:spacing w:val="0"/>
                <w:position w:val="0"/>
                <w:sz w:val="22"/>
                <w:shd w:fill="auto" w:val="clear"/>
              </w:rPr>
              <w:t xml:space="preserve">Total cash out-flows (B)</w:t>
            </w:r>
          </w:p>
        </w:tc>
        <w:tc>
          <w:tcPr>
            <w:tcW w:w="1800" w:type="dxa"/>
            <w:tcBorders>
              <w:top w:val="single" w:color="2e7d32" w:sz="4"/>
              <w:left w:val="single" w:color="2e7d32" w:sz="4"/>
              <w:bottom w:val="single" w:color="2e7d32" w:sz="4"/>
              <w:right w:val="single" w:color="2e7d32" w:sz="4"/>
            </w:tcBorders>
            <w:shd w:color="auto" w:fill="c8e6c9"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41,500</w:t>
            </w:r>
          </w:p>
        </w:tc>
        <w:tc>
          <w:tcPr>
            <w:tcW w:w="1800" w:type="dxa"/>
            <w:tcBorders>
              <w:top w:val="single" w:color="2e7d32" w:sz="4"/>
              <w:left w:val="single" w:color="2e7d32" w:sz="4"/>
              <w:bottom w:val="single" w:color="2e7d32" w:sz="4"/>
              <w:right w:val="single" w:color="2e7d32" w:sz="4"/>
            </w:tcBorders>
            <w:shd w:color="auto" w:fill="c8e6c9"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18,000</w:t>
            </w:r>
          </w:p>
        </w:tc>
      </w:tr>
      <w:tr>
        <w:trPr>
          <w:trHeight w:val="1" w:hRule="atLeast"/>
          <w:jc w:val="left"/>
        </w:trPr>
        <w:tc>
          <w:tcPr>
            <w:tcW w:w="5426" w:type="dxa"/>
            <w:tcBorders>
              <w:top w:val="single" w:color="2e7d32" w:sz="4"/>
              <w:left w:val="single" w:color="2e7d32" w:sz="4"/>
              <w:bottom w:val="single" w:color="2e7d32" w:sz="4"/>
              <w:right w:val="single" w:color="2e7d32" w:sz="4"/>
            </w:tcBorders>
            <w:shd w:color="auto" w:fill="1b5e20" w:val="clear"/>
            <w:tcMar>
              <w:left w:w="120" w:type="dxa"/>
              <w:right w:w="120" w:type="dxa"/>
            </w:tcMar>
            <w:vAlign w:val="top"/>
          </w:tcPr>
          <w:p>
            <w:pPr>
              <w:spacing w:before="0" w:after="0" w:line="240"/>
              <w:ind w:right="0" w:left="0" w:firstLine="0"/>
              <w:jc w:val="center"/>
              <w:rPr>
                <w:spacing w:val="0"/>
                <w:position w:val="0"/>
                <w:sz w:val="22"/>
                <w:shd w:fill="auto" w:val="clear"/>
              </w:rPr>
            </w:pPr>
            <w:r>
              <w:rPr>
                <w:rFonts w:ascii="Arial" w:hAnsi="Arial" w:cs="Arial" w:eastAsia="Arial"/>
                <w:b/>
                <w:color w:val="FFFFFF"/>
                <w:spacing w:val="0"/>
                <w:position w:val="0"/>
                <w:sz w:val="22"/>
                <w:shd w:fill="auto" w:val="clear"/>
              </w:rPr>
              <w:t xml:space="preserve">Your net cash flow (A-B)</w:t>
            </w:r>
          </w:p>
        </w:tc>
        <w:tc>
          <w:tcPr>
            <w:tcW w:w="1800" w:type="dxa"/>
            <w:tcBorders>
              <w:top w:val="single" w:color="2e7d32" w:sz="4"/>
              <w:left w:val="single" w:color="2e7d32" w:sz="4"/>
              <w:bottom w:val="single" w:color="2e7d32" w:sz="4"/>
              <w:right w:val="single" w:color="2e7d32" w:sz="4"/>
            </w:tcBorders>
            <w:shd w:color="auto" w:fill="auto"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-1,500</w:t>
            </w:r>
          </w:p>
        </w:tc>
        <w:tc>
          <w:tcPr>
            <w:tcW w:w="1800" w:type="dxa"/>
            <w:tcBorders>
              <w:top w:val="single" w:color="2e7d32" w:sz="4"/>
              <w:left w:val="single" w:color="2e7d32" w:sz="4"/>
              <w:bottom w:val="single" w:color="2e7d32" w:sz="4"/>
              <w:right w:val="single" w:color="2e7d32" w:sz="4"/>
            </w:tcBorders>
            <w:shd w:color="auto" w:fill="auto" w:val="clear"/>
            <w:tcMar>
              <w:left w:w="120" w:type="dxa"/>
              <w:right w:w="120"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+5,400</w:t>
            </w:r>
          </w:p>
        </w:tc>
      </w:tr>
    </w:tbl>
    <w:p>
      <w:pPr>
        <w:spacing w:before="0" w:after="0" w:line="360"/>
        <w:ind w:right="0" w:left="0" w:firstLine="0"/>
        <w:jc w:val="both"/>
        <w:rPr>
          <w:rFonts w:ascii="Arial" w:hAnsi="Arial" w:cs="Arial" w:eastAsia="Arial"/>
          <w:color w:val="000000"/>
          <w:spacing w:val="0"/>
          <w:position w:val="0"/>
          <w:sz w:val="24"/>
          <w:shd w:fill="auto" w:val="clear"/>
        </w:rPr>
      </w:pP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Month 1 reflects a net outflow of £1,500 due to one-off start-up costs. From Month 2, projected monthly sales of £23,400 against operating expenses of £18,000 generate a positive net cash flow of £5,400, confirming the business’s financial viability (Whittington et al., 2019).</w:t>
      </w:r>
    </w:p>
    <w:p>
      <w:pPr>
        <w:spacing w:before="0" w:after="0" w:line="360"/>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Conclusion</w:t>
      </w:r>
    </w:p>
    <w:p>
      <w:pPr>
        <w:spacing w:before="0" w:after="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FuelUp Student Café is a business prospect in the market of UK student food. The favourable market conditions are created by the strong student enrolment rates (Higher Education Statistics Agency, 2026), the positive development of the UK food industry (Statista, 2026), and the rise in health awareness (Deloitte, 2023). It is based on the focus differentiation strategy (Whittington et al., 2019) and backed by the efficient marketing principles (Kotler and Armstrong, 2020), which are combined with the proper legal framework (Burns, 2022). FuelUp intends to put in place a resilient profitable and scalable student centred café concept with a start up cost of 40,000. The idea is in line with the current trends in the modern lifestyle and provides an investor with great growth prospects.</w:t>
      </w:r>
    </w:p>
    <w:p>
      <w:pPr>
        <w:spacing w:before="0" w:after="0" w:line="36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 </w:t>
      </w:r>
    </w:p>
    <w:p>
      <w:pPr>
        <w:spacing w:before="0" w:after="0" w:line="360"/>
        <w:ind w:right="0" w:left="0" w:firstLine="0"/>
        <w:jc w:val="left"/>
        <w:rPr>
          <w:rFonts w:ascii="Arial" w:hAnsi="Arial" w:cs="Arial" w:eastAsia="Arial"/>
          <w:color w:val="000000"/>
          <w:spacing w:val="0"/>
          <w:position w:val="0"/>
          <w:sz w:val="24"/>
          <w:shd w:fill="auto" w:val="clear"/>
        </w:rPr>
      </w:pPr>
    </w:p>
    <w:p>
      <w:pPr>
        <w:spacing w:before="0" w:after="0" w:line="360"/>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References</w:t>
      </w:r>
    </w:p>
    <w:p>
      <w:pPr>
        <w:spacing w:before="0" w:after="0" w:line="360"/>
        <w:ind w:right="0" w:left="360"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Burns, P., 2022. </w:t>
      </w:r>
      <w:r>
        <w:rPr>
          <w:rFonts w:ascii="Arial" w:hAnsi="Arial" w:cs="Arial" w:eastAsia="Arial"/>
          <w:i/>
          <w:color w:val="000000"/>
          <w:spacing w:val="0"/>
          <w:position w:val="0"/>
          <w:sz w:val="24"/>
          <w:shd w:fill="auto" w:val="clear"/>
        </w:rPr>
        <w:t xml:space="preserve">Entrepreneurship and small business.</w:t>
      </w:r>
      <w:r>
        <w:rPr>
          <w:rFonts w:ascii="Arial" w:hAnsi="Arial" w:cs="Arial" w:eastAsia="Arial"/>
          <w:color w:val="000000"/>
          <w:spacing w:val="0"/>
          <w:position w:val="0"/>
          <w:sz w:val="24"/>
          <w:shd w:fill="auto" w:val="clear"/>
        </w:rPr>
        <w:t xml:space="preserve"> Bloomsbury Publishing. Available at: </w:t>
      </w:r>
      <w:hyperlink xmlns:r="http://schemas.openxmlformats.org/officeDocument/2006/relationships" r:id="docRId2">
        <w:r>
          <w:rPr>
            <w:rFonts w:ascii="Arial" w:hAnsi="Arial" w:cs="Arial" w:eastAsia="Arial"/>
            <w:color w:val="0000FF"/>
            <w:spacing w:val="0"/>
            <w:position w:val="0"/>
            <w:sz w:val="24"/>
            <w:u w:val="single"/>
            <w:shd w:fill="auto" w:val="clear"/>
          </w:rPr>
          <w:t xml:space="preserve">https://www.academia.edu/download/57487418/enterprensuirship_and_small_business_start-up__growth_and_maturity.pdf</w:t>
        </w:r>
      </w:hyperlink>
      <w:r>
        <w:rPr>
          <w:rFonts w:ascii="Arial" w:hAnsi="Arial" w:cs="Arial" w:eastAsia="Arial"/>
          <w:color w:val="000000"/>
          <w:spacing w:val="0"/>
          <w:position w:val="0"/>
          <w:sz w:val="24"/>
          <w:shd w:fill="auto" w:val="clear"/>
        </w:rPr>
        <w:t xml:space="preserve"> (Accessed 11 February 2026).</w:t>
      </w:r>
    </w:p>
    <w:p>
      <w:pPr>
        <w:spacing w:before="0" w:after="0" w:line="360"/>
        <w:ind w:right="0" w:left="360"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Deloitte, 2023. </w:t>
      </w:r>
      <w:r>
        <w:rPr>
          <w:rFonts w:ascii="Arial" w:hAnsi="Arial" w:cs="Arial" w:eastAsia="Arial"/>
          <w:i/>
          <w:color w:val="000000"/>
          <w:spacing w:val="0"/>
          <w:position w:val="0"/>
          <w:sz w:val="24"/>
          <w:shd w:fill="auto" w:val="clear"/>
        </w:rPr>
        <w:t xml:space="preserve">2023 Global Health Care Outlook.</w:t>
      </w:r>
      <w:r>
        <w:rPr>
          <w:rFonts w:ascii="Arial" w:hAnsi="Arial" w:cs="Arial" w:eastAsia="Arial"/>
          <w:color w:val="000000"/>
          <w:spacing w:val="0"/>
          <w:position w:val="0"/>
          <w:sz w:val="24"/>
          <w:shd w:fill="auto" w:val="clear"/>
        </w:rPr>
        <w:t xml:space="preserve"> [online] Available at: </w:t>
      </w:r>
      <w:hyperlink xmlns:r="http://schemas.openxmlformats.org/officeDocument/2006/relationships" r:id="docRId3">
        <w:r>
          <w:rPr>
            <w:rFonts w:ascii="Arial" w:hAnsi="Arial" w:cs="Arial" w:eastAsia="Arial"/>
            <w:color w:val="0000FF"/>
            <w:spacing w:val="0"/>
            <w:position w:val="0"/>
            <w:sz w:val="24"/>
            <w:u w:val="single"/>
            <w:shd w:fill="auto" w:val="clear"/>
          </w:rPr>
          <w:t xml:space="preserve">https://www.deloitte.com/fi/fi/Industries/health-care/perspectives/2023-global-health-care-outlook.html</w:t>
        </w:r>
      </w:hyperlink>
      <w:r>
        <w:rPr>
          <w:rFonts w:ascii="Arial" w:hAnsi="Arial" w:cs="Arial" w:eastAsia="Arial"/>
          <w:color w:val="000000"/>
          <w:spacing w:val="0"/>
          <w:position w:val="0"/>
          <w:sz w:val="24"/>
          <w:shd w:fill="auto" w:val="clear"/>
        </w:rPr>
        <w:t xml:space="preserve"> (Accessed 11 February 2026).</w:t>
      </w:r>
    </w:p>
    <w:p>
      <w:pPr>
        <w:spacing w:before="0" w:after="0" w:line="360"/>
        <w:ind w:right="0" w:left="360"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Higher Education Statistics Agency, 2026. </w:t>
      </w:r>
      <w:r>
        <w:rPr>
          <w:rFonts w:ascii="Arial" w:hAnsi="Arial" w:cs="Arial" w:eastAsia="Arial"/>
          <w:i/>
          <w:color w:val="000000"/>
          <w:spacing w:val="0"/>
          <w:position w:val="0"/>
          <w:sz w:val="24"/>
          <w:shd w:fill="auto" w:val="clear"/>
        </w:rPr>
        <w:t xml:space="preserve">Higher education student enrolments UK: 2024 to 2025.</w:t>
      </w:r>
      <w:r>
        <w:rPr>
          <w:rFonts w:ascii="Arial" w:hAnsi="Arial" w:cs="Arial" w:eastAsia="Arial"/>
          <w:color w:val="000000"/>
          <w:spacing w:val="0"/>
          <w:position w:val="0"/>
          <w:sz w:val="24"/>
          <w:shd w:fill="auto" w:val="clear"/>
        </w:rPr>
        <w:t xml:space="preserve"> [online] GOV.UK. Available at: </w:t>
      </w:r>
      <w:hyperlink xmlns:r="http://schemas.openxmlformats.org/officeDocument/2006/relationships" r:id="docRId4">
        <w:r>
          <w:rPr>
            <w:rFonts w:ascii="Arial" w:hAnsi="Arial" w:cs="Arial" w:eastAsia="Arial"/>
            <w:color w:val="0000FF"/>
            <w:spacing w:val="0"/>
            <w:position w:val="0"/>
            <w:sz w:val="24"/>
            <w:u w:val="single"/>
            <w:shd w:fill="auto" w:val="clear"/>
          </w:rPr>
          <w:t xml:space="preserve">https://www.gov.uk/government/statistics/higher-education-student-enrolments-uk-2024-to-2025</w:t>
        </w:r>
      </w:hyperlink>
      <w:r>
        <w:rPr>
          <w:rFonts w:ascii="Arial" w:hAnsi="Arial" w:cs="Arial" w:eastAsia="Arial"/>
          <w:color w:val="000000"/>
          <w:spacing w:val="0"/>
          <w:position w:val="0"/>
          <w:sz w:val="24"/>
          <w:shd w:fill="auto" w:val="clear"/>
        </w:rPr>
        <w:t xml:space="preserve"> (Accessed 11 February 2026).</w:t>
      </w:r>
    </w:p>
    <w:p>
      <w:pPr>
        <w:spacing w:before="0" w:after="0" w:line="360"/>
        <w:ind w:right="0" w:left="360"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Kotler, P. and Armstrong, G., 2020. </w:t>
      </w:r>
      <w:r>
        <w:rPr>
          <w:rFonts w:ascii="Arial" w:hAnsi="Arial" w:cs="Arial" w:eastAsia="Arial"/>
          <w:i/>
          <w:color w:val="000000"/>
          <w:spacing w:val="0"/>
          <w:position w:val="0"/>
          <w:sz w:val="24"/>
          <w:shd w:fill="auto" w:val="clear"/>
        </w:rPr>
        <w:t xml:space="preserve">Principles of marketing.</w:t>
      </w:r>
      <w:r>
        <w:rPr>
          <w:rFonts w:ascii="Arial" w:hAnsi="Arial" w:cs="Arial" w:eastAsia="Arial"/>
          <w:color w:val="000000"/>
          <w:spacing w:val="0"/>
          <w:position w:val="0"/>
          <w:sz w:val="24"/>
          <w:shd w:fill="auto" w:val="clear"/>
        </w:rPr>
        <w:t xml:space="preserve"> 18th global edn. Pearson. Available at: </w:t>
      </w:r>
      <w:hyperlink xmlns:r="http://schemas.openxmlformats.org/officeDocument/2006/relationships" r:id="docRId5">
        <w:r>
          <w:rPr>
            <w:rFonts w:ascii="Arial" w:hAnsi="Arial" w:cs="Arial" w:eastAsia="Arial"/>
            <w:color w:val="0000FF"/>
            <w:spacing w:val="0"/>
            <w:position w:val="0"/>
            <w:sz w:val="24"/>
            <w:u w:val="single"/>
            <w:shd w:fill="auto" w:val="clear"/>
          </w:rPr>
          <w:t xml:space="preserve">https://www.sciencedirect.com/science/article/pii/0007681388900079</w:t>
        </w:r>
      </w:hyperlink>
      <w:r>
        <w:rPr>
          <w:rFonts w:ascii="Arial" w:hAnsi="Arial" w:cs="Arial" w:eastAsia="Arial"/>
          <w:color w:val="000000"/>
          <w:spacing w:val="0"/>
          <w:position w:val="0"/>
          <w:sz w:val="24"/>
          <w:shd w:fill="auto" w:val="clear"/>
        </w:rPr>
        <w:t xml:space="preserve"> (Accessed 11 February 2026).</w:t>
      </w:r>
    </w:p>
    <w:p>
      <w:pPr>
        <w:spacing w:before="0" w:after="0" w:line="360"/>
        <w:ind w:right="0" w:left="360"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Statista, 2026. </w:t>
      </w:r>
      <w:r>
        <w:rPr>
          <w:rFonts w:ascii="Arial" w:hAnsi="Arial" w:cs="Arial" w:eastAsia="Arial"/>
          <w:i/>
          <w:color w:val="000000"/>
          <w:spacing w:val="0"/>
          <w:position w:val="0"/>
          <w:sz w:val="24"/>
          <w:shd w:fill="auto" w:val="clear"/>
        </w:rPr>
        <w:t xml:space="preserve">Revenue of the food market by segment United Kingdom.</w:t>
      </w:r>
      <w:r>
        <w:rPr>
          <w:rFonts w:ascii="Arial" w:hAnsi="Arial" w:cs="Arial" w:eastAsia="Arial"/>
          <w:color w:val="000000"/>
          <w:spacing w:val="0"/>
          <w:position w:val="0"/>
          <w:sz w:val="24"/>
          <w:shd w:fill="auto" w:val="clear"/>
        </w:rPr>
        <w:t xml:space="preserve"> [online] Available at: </w:t>
      </w:r>
      <w:hyperlink xmlns:r="http://schemas.openxmlformats.org/officeDocument/2006/relationships" r:id="docRId6">
        <w:r>
          <w:rPr>
            <w:rFonts w:ascii="Arial" w:hAnsi="Arial" w:cs="Arial" w:eastAsia="Arial"/>
            <w:color w:val="0000FF"/>
            <w:spacing w:val="0"/>
            <w:position w:val="0"/>
            <w:sz w:val="24"/>
            <w:u w:val="single"/>
            <w:shd w:fill="auto" w:val="clear"/>
          </w:rPr>
          <w:t xml:space="preserve">https://www.statista.com/forecasts/713302/revenue-forecast-food-united-kingdom-uk/</w:t>
        </w:r>
      </w:hyperlink>
      <w:r>
        <w:rPr>
          <w:rFonts w:ascii="Arial" w:hAnsi="Arial" w:cs="Arial" w:eastAsia="Arial"/>
          <w:color w:val="000000"/>
          <w:spacing w:val="0"/>
          <w:position w:val="0"/>
          <w:sz w:val="24"/>
          <w:shd w:fill="auto" w:val="clear"/>
        </w:rPr>
        <w:t xml:space="preserve"> (Accessed 11 February 2026).</w:t>
      </w:r>
    </w:p>
    <w:p>
      <w:pPr>
        <w:spacing w:before="0" w:after="0" w:line="360"/>
        <w:ind w:right="0" w:left="360"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Whittington, R., Regnér, P., Johnson, G., Angwin, D. and Scholes, K., 2019. </w:t>
      </w:r>
      <w:r>
        <w:rPr>
          <w:rFonts w:ascii="Arial" w:hAnsi="Arial" w:cs="Arial" w:eastAsia="Arial"/>
          <w:i/>
          <w:color w:val="000000"/>
          <w:spacing w:val="0"/>
          <w:position w:val="0"/>
          <w:sz w:val="24"/>
          <w:shd w:fill="auto" w:val="clear"/>
        </w:rPr>
        <w:t xml:space="preserve">Exploring strategy.</w:t>
      </w:r>
      <w:r>
        <w:rPr>
          <w:rFonts w:ascii="Arial" w:hAnsi="Arial" w:cs="Arial" w:eastAsia="Arial"/>
          <w:color w:val="000000"/>
          <w:spacing w:val="0"/>
          <w:position w:val="0"/>
          <w:sz w:val="24"/>
          <w:shd w:fill="auto" w:val="clear"/>
        </w:rPr>
        <w:t xml:space="preserve"> Pearson UK. Available at: </w:t>
      </w:r>
      <w:hyperlink xmlns:r="http://schemas.openxmlformats.org/officeDocument/2006/relationships" r:id="docRId7">
        <w:r>
          <w:rPr>
            <w:rFonts w:ascii="Arial" w:hAnsi="Arial" w:cs="Arial" w:eastAsia="Arial"/>
            <w:color w:val="0000FF"/>
            <w:spacing w:val="0"/>
            <w:position w:val="0"/>
            <w:sz w:val="24"/>
            <w:u w:val="single"/>
            <w:shd w:fill="auto" w:val="clear"/>
          </w:rPr>
          <w:t xml:space="preserve">https://www.academia.edu/download/64941929/Exploring_Strategy_Text_and_Cases_PDFDrive_.pdf</w:t>
        </w:r>
      </w:hyperlink>
      <w:r>
        <w:rPr>
          <w:rFonts w:ascii="Arial" w:hAnsi="Arial" w:cs="Arial" w:eastAsia="Arial"/>
          <w:color w:val="000000"/>
          <w:spacing w:val="0"/>
          <w:position w:val="0"/>
          <w:sz w:val="24"/>
          <w:shd w:fill="auto" w:val="clear"/>
        </w:rPr>
        <w:t xml:space="preserve"> (Accessed 11 February 2026).</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deloitte.com/fi/fi/Industries/health-care/perspectives/2023-global-health-care-outlook.html" Id="docRId3" Type="http://schemas.openxmlformats.org/officeDocument/2006/relationships/hyperlink" /><Relationship TargetMode="External" Target="https://www.academia.edu/download/64941929/Exploring_Strategy_Text_and_Cases_PDFDrive_.pdf" Id="docRId7" Type="http://schemas.openxmlformats.org/officeDocument/2006/relationships/hyperlink" /><Relationship Target="embeddings/oleObject0.bin" Id="docRId0" Type="http://schemas.openxmlformats.org/officeDocument/2006/relationships/oleObject" /><Relationship TargetMode="External" Target="https://www.academia.edu/download/57487418/enterprensuirship_and_small_business_start-up__growth_and_maturity.pdf" Id="docRId2" Type="http://schemas.openxmlformats.org/officeDocument/2006/relationships/hyperlink" /><Relationship TargetMode="External" Target="https://www.gov.uk/government/statistics/higher-education-student-enrolments-uk-2024-to-2025" Id="docRId4" Type="http://schemas.openxmlformats.org/officeDocument/2006/relationships/hyperlink" /><Relationship TargetMode="External" Target="https://www.statista.com/forecasts/713302/revenue-forecast-food-united-kingdom-uk/" Id="docRId6" Type="http://schemas.openxmlformats.org/officeDocument/2006/relationships/hyperlink" /><Relationship Target="numbering.xml" Id="docRId8" Type="http://schemas.openxmlformats.org/officeDocument/2006/relationships/numbering" /><Relationship Target="media/image0.wmf" Id="docRId1" Type="http://schemas.openxmlformats.org/officeDocument/2006/relationships/image" /><Relationship TargetMode="External" Target="https://www.sciencedirect.com/science/article/pii/0007681388900079" Id="docRId5" Type="http://schemas.openxmlformats.org/officeDocument/2006/relationships/hyperlink" /><Relationship Target="styles.xml" Id="docRId9" Type="http://schemas.openxmlformats.org/officeDocument/2006/relationships/styles" /></Relationships>
</file>