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DE36ED" w14:textId="75DE2752" w:rsidR="00511AAA" w:rsidRPr="00F858F4" w:rsidRDefault="00511AAA" w:rsidP="00CF3A6F">
      <w:pPr>
        <w:spacing w:after="0" w:line="360" w:lineRule="auto"/>
        <w:jc w:val="center"/>
        <w:rPr>
          <w:rFonts w:cs="Arial"/>
          <w:b/>
          <w:bCs/>
          <w:sz w:val="32"/>
          <w:szCs w:val="32"/>
        </w:rPr>
      </w:pPr>
      <w:r w:rsidRPr="00F858F4">
        <w:rPr>
          <w:rFonts w:cs="Arial"/>
          <w:b/>
          <w:bCs/>
          <w:sz w:val="32"/>
          <w:szCs w:val="32"/>
        </w:rPr>
        <w:t>Student Name</w:t>
      </w:r>
      <w:r w:rsidR="009628EA">
        <w:rPr>
          <w:rFonts w:cs="Arial"/>
          <w:b/>
          <w:bCs/>
          <w:sz w:val="32"/>
          <w:szCs w:val="32"/>
        </w:rPr>
        <w:t>: Tatiana Fernandes da Silva Marinho</w:t>
      </w:r>
    </w:p>
    <w:p w14:paraId="0EEE1677" w14:textId="7FE4B03C" w:rsidR="00511AAA" w:rsidRPr="00F858F4" w:rsidRDefault="00511AAA" w:rsidP="00CF3A6F">
      <w:pPr>
        <w:spacing w:after="0" w:line="360" w:lineRule="auto"/>
        <w:jc w:val="center"/>
        <w:rPr>
          <w:rFonts w:cs="Arial"/>
          <w:b/>
          <w:bCs/>
          <w:sz w:val="32"/>
          <w:szCs w:val="32"/>
        </w:rPr>
      </w:pPr>
      <w:r w:rsidRPr="00F858F4">
        <w:rPr>
          <w:rFonts w:cs="Arial"/>
          <w:b/>
          <w:bCs/>
          <w:sz w:val="32"/>
          <w:szCs w:val="32"/>
        </w:rPr>
        <w:t>Student Number:</w:t>
      </w:r>
      <w:r w:rsidR="009628EA">
        <w:rPr>
          <w:rFonts w:cs="Arial"/>
          <w:b/>
          <w:bCs/>
          <w:sz w:val="32"/>
          <w:szCs w:val="32"/>
        </w:rPr>
        <w:t xml:space="preserve"> 2212472</w:t>
      </w:r>
    </w:p>
    <w:p w14:paraId="5EE08A14" w14:textId="2EBAC46E" w:rsidR="00511AAA" w:rsidRDefault="00511AAA" w:rsidP="00CF3A6F">
      <w:pPr>
        <w:spacing w:after="0" w:line="360" w:lineRule="auto"/>
        <w:jc w:val="center"/>
        <w:rPr>
          <w:rFonts w:cs="Arial"/>
          <w:b/>
          <w:bCs/>
          <w:sz w:val="32"/>
          <w:szCs w:val="32"/>
        </w:rPr>
      </w:pPr>
      <w:r w:rsidRPr="00F858F4">
        <w:rPr>
          <w:rFonts w:cs="Arial"/>
          <w:b/>
          <w:bCs/>
          <w:sz w:val="32"/>
          <w:szCs w:val="32"/>
        </w:rPr>
        <w:t>Module Code</w:t>
      </w:r>
      <w:r w:rsidR="009628EA" w:rsidRPr="00F858F4">
        <w:rPr>
          <w:rFonts w:cs="Arial"/>
          <w:b/>
          <w:bCs/>
          <w:sz w:val="32"/>
          <w:szCs w:val="32"/>
        </w:rPr>
        <w:t>: BMHP</w:t>
      </w:r>
      <w:r w:rsidRPr="00F858F4">
        <w:rPr>
          <w:rFonts w:cs="Arial"/>
          <w:b/>
          <w:bCs/>
          <w:sz w:val="32"/>
          <w:szCs w:val="32"/>
        </w:rPr>
        <w:t>6027</w:t>
      </w:r>
    </w:p>
    <w:p w14:paraId="1A907FC6" w14:textId="08C8F426" w:rsidR="00093115" w:rsidRPr="00F858F4" w:rsidRDefault="00093115" w:rsidP="00CF3A6F">
      <w:pPr>
        <w:spacing w:after="0" w:line="360" w:lineRule="auto"/>
        <w:jc w:val="center"/>
        <w:rPr>
          <w:rFonts w:cs="Arial"/>
          <w:b/>
          <w:bCs/>
          <w:sz w:val="32"/>
          <w:szCs w:val="32"/>
        </w:rPr>
      </w:pPr>
      <w:r>
        <w:rPr>
          <w:rFonts w:cs="Arial"/>
          <w:b/>
          <w:bCs/>
          <w:sz w:val="32"/>
          <w:szCs w:val="32"/>
        </w:rPr>
        <w:t>Lecture: Laila Surani</w:t>
      </w:r>
    </w:p>
    <w:p w14:paraId="671DF99B" w14:textId="77777777" w:rsidR="00511AAA" w:rsidRPr="00F858F4" w:rsidRDefault="00511AAA" w:rsidP="00CF3A6F">
      <w:pPr>
        <w:spacing w:after="0" w:line="360" w:lineRule="auto"/>
        <w:jc w:val="center"/>
        <w:rPr>
          <w:rFonts w:cs="Arial"/>
          <w:b/>
          <w:bCs/>
          <w:sz w:val="32"/>
          <w:szCs w:val="32"/>
        </w:rPr>
      </w:pPr>
      <w:r w:rsidRPr="00F858F4">
        <w:rPr>
          <w:rFonts w:cs="Arial"/>
          <w:b/>
          <w:bCs/>
          <w:sz w:val="32"/>
          <w:szCs w:val="32"/>
        </w:rPr>
        <w:t xml:space="preserve">Debate Topic: </w:t>
      </w:r>
      <w:r w:rsidR="00C038D5" w:rsidRPr="00F858F4">
        <w:rPr>
          <w:rFonts w:cs="Arial"/>
          <w:b/>
          <w:bCs/>
          <w:sz w:val="32"/>
          <w:szCs w:val="32"/>
        </w:rPr>
        <w:t>Assistive technology is beneficial to Dementia </w:t>
      </w:r>
    </w:p>
    <w:p w14:paraId="03FD8F12" w14:textId="77777777" w:rsidR="001B217F" w:rsidRPr="00F858F4" w:rsidRDefault="001B217F" w:rsidP="00CF3A6F">
      <w:pPr>
        <w:spacing w:after="0" w:line="360" w:lineRule="auto"/>
        <w:rPr>
          <w:rFonts w:cs="Arial"/>
        </w:rPr>
      </w:pPr>
      <w:r w:rsidRPr="00F858F4">
        <w:rPr>
          <w:rFonts w:cs="Arial"/>
        </w:rPr>
        <w:br w:type="page"/>
      </w: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val="en-GB"/>
        </w:rPr>
        <w:id w:val="-9872686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1665E43" w14:textId="16D877AA" w:rsidR="007362D8" w:rsidRPr="00F858F4" w:rsidRDefault="007362D8" w:rsidP="00093115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000000" w:themeColor="text1"/>
              <w:sz w:val="28"/>
              <w:szCs w:val="28"/>
              <w:lang w:val="en-GB"/>
            </w:rPr>
          </w:pPr>
        </w:p>
        <w:p w14:paraId="5B365679" w14:textId="209CDDD8" w:rsidR="00511AAA" w:rsidRPr="00093115" w:rsidRDefault="00000000" w:rsidP="009628EA">
          <w:pPr>
            <w:spacing w:after="0" w:line="360" w:lineRule="auto"/>
            <w:rPr>
              <w:rFonts w:cs="Arial"/>
            </w:rPr>
          </w:pPr>
        </w:p>
      </w:sdtContent>
    </w:sdt>
    <w:p w14:paraId="2BA9E734" w14:textId="29AD8AFF" w:rsidR="00753319" w:rsidRPr="00F858F4" w:rsidRDefault="00753319" w:rsidP="00CF3A6F">
      <w:pPr>
        <w:spacing w:line="360" w:lineRule="auto"/>
        <w:jc w:val="left"/>
        <w:rPr>
          <w:rFonts w:eastAsiaTheme="majorEastAsia" w:cs="Arial"/>
          <w:b/>
          <w:color w:val="000000" w:themeColor="text1"/>
          <w:sz w:val="28"/>
          <w:szCs w:val="40"/>
        </w:rPr>
      </w:pPr>
      <w:bookmarkStart w:id="0" w:name="_Toc214020066"/>
    </w:p>
    <w:p w14:paraId="30177655" w14:textId="77777777" w:rsidR="008F693D" w:rsidRPr="00F858F4" w:rsidRDefault="00511AAA" w:rsidP="00CF3A6F">
      <w:pPr>
        <w:pStyle w:val="Heading1"/>
        <w:rPr>
          <w:rFonts w:cs="Arial"/>
        </w:rPr>
      </w:pPr>
      <w:r w:rsidRPr="00F858F4">
        <w:rPr>
          <w:rFonts w:cs="Arial"/>
        </w:rPr>
        <w:t>References</w:t>
      </w:r>
      <w:bookmarkEnd w:id="0"/>
    </w:p>
    <w:p w14:paraId="0F235673" w14:textId="77777777" w:rsidR="00753319" w:rsidRPr="00F858F4" w:rsidRDefault="00753319" w:rsidP="00CF3A6F">
      <w:pPr>
        <w:spacing w:after="0" w:line="360" w:lineRule="auto"/>
        <w:rPr>
          <w:rFonts w:cs="Arial"/>
        </w:rPr>
      </w:pPr>
      <w:r w:rsidRPr="00F858F4">
        <w:rPr>
          <w:rFonts w:cs="Arial"/>
        </w:rPr>
        <w:t xml:space="preserve">Balasubramanian, G.V., Beaney, P. and Chambers, R., (2021). Digital personal assistants are smart ways for assistive technology to aid the health and wellbeing of patients and carers. </w:t>
      </w:r>
      <w:r w:rsidRPr="00F858F4">
        <w:rPr>
          <w:rFonts w:cs="Arial"/>
          <w:i/>
          <w:iCs/>
        </w:rPr>
        <w:t>BMC geriatrics</w:t>
      </w:r>
      <w:r w:rsidRPr="00F858F4">
        <w:rPr>
          <w:rFonts w:cs="Arial"/>
        </w:rPr>
        <w:t xml:space="preserve">, </w:t>
      </w:r>
      <w:r w:rsidRPr="00F858F4">
        <w:rPr>
          <w:rFonts w:cs="Arial"/>
          <w:i/>
          <w:iCs/>
        </w:rPr>
        <w:t>21</w:t>
      </w:r>
      <w:r w:rsidRPr="00F858F4">
        <w:rPr>
          <w:rFonts w:cs="Arial"/>
        </w:rPr>
        <w:t>(1), p.643.</w:t>
      </w:r>
    </w:p>
    <w:p w14:paraId="59B83CC3" w14:textId="77777777" w:rsidR="00753319" w:rsidRPr="00F858F4" w:rsidRDefault="00753319" w:rsidP="00CF3A6F">
      <w:pPr>
        <w:spacing w:after="0" w:line="360" w:lineRule="auto"/>
        <w:rPr>
          <w:rFonts w:cs="Arial"/>
        </w:rPr>
      </w:pPr>
      <w:r w:rsidRPr="00F858F4">
        <w:rPr>
          <w:rFonts w:cs="Arial"/>
        </w:rPr>
        <w:t xml:space="preserve">Boyle, L.D., Husebo, B.S. and Vislapuu, M., (2022). Promotors and barriers to the implementation and adoption of assistive technology and telecare for people with dementia and their caregivers: a systematic review of the literature. </w:t>
      </w:r>
      <w:r w:rsidRPr="00F858F4">
        <w:rPr>
          <w:rFonts w:cs="Arial"/>
          <w:i/>
          <w:iCs/>
        </w:rPr>
        <w:t>BMC health services research</w:t>
      </w:r>
      <w:r w:rsidRPr="00F858F4">
        <w:rPr>
          <w:rFonts w:cs="Arial"/>
        </w:rPr>
        <w:t xml:space="preserve">, </w:t>
      </w:r>
      <w:r w:rsidRPr="00F858F4">
        <w:rPr>
          <w:rFonts w:cs="Arial"/>
          <w:i/>
          <w:iCs/>
        </w:rPr>
        <w:t>22</w:t>
      </w:r>
      <w:r w:rsidRPr="00F858F4">
        <w:rPr>
          <w:rFonts w:cs="Arial"/>
        </w:rPr>
        <w:t>(1), p.1573.</w:t>
      </w:r>
    </w:p>
    <w:p w14:paraId="0BFFED85" w14:textId="77777777" w:rsidR="00753319" w:rsidRPr="00F858F4" w:rsidRDefault="00753319" w:rsidP="00CF3A6F">
      <w:pPr>
        <w:spacing w:after="0" w:line="360" w:lineRule="auto"/>
        <w:rPr>
          <w:rFonts w:cs="Arial"/>
        </w:rPr>
      </w:pPr>
      <w:r w:rsidRPr="00F858F4">
        <w:rPr>
          <w:rFonts w:cs="Arial"/>
        </w:rPr>
        <w:t xml:space="preserve">Brookman, R., Parker, S., Hoon, L., Ono, A., Fukayama, A., Matsukawa, H. and Harris, C.B., (2023). Technology for dementia care: what would good technology look like and do, from carers’ </w:t>
      </w:r>
      <w:proofErr w:type="spellStart"/>
      <w:r w:rsidRPr="00F858F4">
        <w:rPr>
          <w:rFonts w:cs="Arial"/>
        </w:rPr>
        <w:t>perspectives</w:t>
      </w:r>
      <w:proofErr w:type="gramStart"/>
      <w:r w:rsidRPr="00F858F4">
        <w:rPr>
          <w:rFonts w:cs="Arial"/>
        </w:rPr>
        <w:t>?.</w:t>
      </w:r>
      <w:r w:rsidRPr="00F858F4">
        <w:rPr>
          <w:rFonts w:cs="Arial"/>
          <w:i/>
          <w:iCs/>
        </w:rPr>
        <w:t>BMC</w:t>
      </w:r>
      <w:proofErr w:type="spellEnd"/>
      <w:proofErr w:type="gramEnd"/>
      <w:r w:rsidRPr="00F858F4">
        <w:rPr>
          <w:rFonts w:cs="Arial"/>
          <w:i/>
          <w:iCs/>
        </w:rPr>
        <w:t xml:space="preserve"> geriatrics</w:t>
      </w:r>
      <w:r w:rsidRPr="00F858F4">
        <w:rPr>
          <w:rFonts w:cs="Arial"/>
        </w:rPr>
        <w:t xml:space="preserve">, </w:t>
      </w:r>
      <w:r w:rsidRPr="00F858F4">
        <w:rPr>
          <w:rFonts w:cs="Arial"/>
          <w:i/>
          <w:iCs/>
        </w:rPr>
        <w:t>23</w:t>
      </w:r>
      <w:r w:rsidRPr="00F858F4">
        <w:rPr>
          <w:rFonts w:cs="Arial"/>
        </w:rPr>
        <w:t>(1), p.867.</w:t>
      </w:r>
    </w:p>
    <w:p w14:paraId="7447B146" w14:textId="77777777" w:rsidR="00753319" w:rsidRPr="00F858F4" w:rsidRDefault="00753319" w:rsidP="00CF3A6F">
      <w:pPr>
        <w:spacing w:after="0" w:line="360" w:lineRule="auto"/>
        <w:rPr>
          <w:rFonts w:cs="Arial"/>
        </w:rPr>
      </w:pPr>
      <w:r w:rsidRPr="00F858F4">
        <w:rPr>
          <w:rFonts w:cs="Arial"/>
        </w:rPr>
        <w:t xml:space="preserve">Budak, K.B., </w:t>
      </w:r>
      <w:proofErr w:type="spellStart"/>
      <w:r w:rsidRPr="00F858F4">
        <w:rPr>
          <w:rFonts w:cs="Arial"/>
        </w:rPr>
        <w:t>Atefi</w:t>
      </w:r>
      <w:proofErr w:type="spellEnd"/>
      <w:r w:rsidRPr="00F858F4">
        <w:rPr>
          <w:rFonts w:cs="Arial"/>
        </w:rPr>
        <w:t xml:space="preserve">, G., Hoel, V., Laporte Uribe, F., Meiland, F., Teupen, S., Felding, S.A. and Roes, M., (2023). Can technology impact loneliness in dementia? A scoping review on the role of assistive technologies in delivering psychosocial interventions in long-term care. </w:t>
      </w:r>
      <w:r w:rsidRPr="00F858F4">
        <w:rPr>
          <w:rFonts w:cs="Arial"/>
          <w:i/>
          <w:iCs/>
        </w:rPr>
        <w:t>Disability and Rehabilitation: Assistive Technology</w:t>
      </w:r>
      <w:r w:rsidRPr="00F858F4">
        <w:rPr>
          <w:rFonts w:cs="Arial"/>
        </w:rPr>
        <w:t xml:space="preserve">, </w:t>
      </w:r>
      <w:r w:rsidRPr="00F858F4">
        <w:rPr>
          <w:rFonts w:cs="Arial"/>
          <w:i/>
          <w:iCs/>
        </w:rPr>
        <w:t>18</w:t>
      </w:r>
      <w:r w:rsidRPr="00F858F4">
        <w:rPr>
          <w:rFonts w:cs="Arial"/>
        </w:rPr>
        <w:t>(7), pp.1107-1119.</w:t>
      </w:r>
    </w:p>
    <w:p w14:paraId="7D68BFD7" w14:textId="77777777" w:rsidR="00753319" w:rsidRPr="00F858F4" w:rsidRDefault="00753319" w:rsidP="00CF3A6F">
      <w:pPr>
        <w:spacing w:after="0" w:line="360" w:lineRule="auto"/>
        <w:rPr>
          <w:rFonts w:cs="Arial"/>
        </w:rPr>
      </w:pPr>
      <w:r w:rsidRPr="00F858F4">
        <w:rPr>
          <w:rFonts w:cs="Arial"/>
        </w:rPr>
        <w:t xml:space="preserve">Dada, S., Van der Walt, C., May, A.A. and Murray, J., (2024). Intelligent assistive technology devices for persons with dementia: a scoping review. </w:t>
      </w:r>
      <w:r w:rsidRPr="00F858F4">
        <w:rPr>
          <w:rFonts w:cs="Arial"/>
          <w:i/>
          <w:iCs/>
        </w:rPr>
        <w:t>Assistive Technology</w:t>
      </w:r>
      <w:r w:rsidRPr="00F858F4">
        <w:rPr>
          <w:rFonts w:cs="Arial"/>
        </w:rPr>
        <w:t xml:space="preserve">, </w:t>
      </w:r>
      <w:r w:rsidRPr="00F858F4">
        <w:rPr>
          <w:rFonts w:cs="Arial"/>
          <w:i/>
          <w:iCs/>
        </w:rPr>
        <w:t>36</w:t>
      </w:r>
      <w:r w:rsidRPr="00F858F4">
        <w:rPr>
          <w:rFonts w:cs="Arial"/>
        </w:rPr>
        <w:t>(5), pp.338-351.</w:t>
      </w:r>
    </w:p>
    <w:p w14:paraId="36948D39" w14:textId="77777777" w:rsidR="00753319" w:rsidRPr="00F858F4" w:rsidRDefault="00753319" w:rsidP="00CF3A6F">
      <w:pPr>
        <w:spacing w:after="0" w:line="360" w:lineRule="auto"/>
        <w:rPr>
          <w:rFonts w:cs="Arial"/>
        </w:rPr>
      </w:pPr>
      <w:proofErr w:type="spellStart"/>
      <w:r w:rsidRPr="00F858F4">
        <w:rPr>
          <w:rFonts w:cs="Arial"/>
        </w:rPr>
        <w:t>Fotteler</w:t>
      </w:r>
      <w:proofErr w:type="spellEnd"/>
      <w:r w:rsidRPr="00F858F4">
        <w:rPr>
          <w:rFonts w:cs="Arial"/>
        </w:rPr>
        <w:t xml:space="preserve">, M.L., Kocar, T.D., </w:t>
      </w:r>
      <w:proofErr w:type="spellStart"/>
      <w:r w:rsidRPr="00F858F4">
        <w:rPr>
          <w:rFonts w:cs="Arial"/>
        </w:rPr>
        <w:t>Dallmeier</w:t>
      </w:r>
      <w:proofErr w:type="spellEnd"/>
      <w:r w:rsidRPr="00F858F4">
        <w:rPr>
          <w:rFonts w:cs="Arial"/>
        </w:rPr>
        <w:t xml:space="preserve">, D., Kohn, B., Mayer, S., Waibel, A.K., Swoboda, W. and Denkinger, M., (2023). Use and benefit of information, communication, and assistive technology among community-dwelling older adults–a cross-sectional study. </w:t>
      </w:r>
      <w:r w:rsidRPr="00F858F4">
        <w:rPr>
          <w:rFonts w:cs="Arial"/>
          <w:i/>
          <w:iCs/>
        </w:rPr>
        <w:t>BMC Public Health</w:t>
      </w:r>
      <w:r w:rsidRPr="00F858F4">
        <w:rPr>
          <w:rFonts w:cs="Arial"/>
        </w:rPr>
        <w:t xml:space="preserve">, </w:t>
      </w:r>
      <w:r w:rsidRPr="00F858F4">
        <w:rPr>
          <w:rFonts w:cs="Arial"/>
          <w:i/>
          <w:iCs/>
        </w:rPr>
        <w:t>23</w:t>
      </w:r>
      <w:r w:rsidRPr="00F858F4">
        <w:rPr>
          <w:rFonts w:cs="Arial"/>
        </w:rPr>
        <w:t>(1), p.2004.</w:t>
      </w:r>
    </w:p>
    <w:p w14:paraId="7BFA8FC2" w14:textId="77777777" w:rsidR="00753319" w:rsidRPr="00F858F4" w:rsidRDefault="00753319" w:rsidP="00CF3A6F">
      <w:pPr>
        <w:spacing w:after="0" w:line="360" w:lineRule="auto"/>
        <w:rPr>
          <w:rFonts w:cs="Arial"/>
        </w:rPr>
      </w:pPr>
      <w:r w:rsidRPr="00F858F4">
        <w:rPr>
          <w:rFonts w:cs="Arial"/>
        </w:rPr>
        <w:t xml:space="preserve">Koh, W.Q., Heins, P., Flynn, A., Mahmoudi Asl, A., Garcia, L., Malinowsky, C. and Brorsson, A., (2024). Bridging gaps in the design and implementation of socially assistive technologies for dementia care: The role of occupational therapy. </w:t>
      </w:r>
      <w:r w:rsidRPr="00F858F4">
        <w:rPr>
          <w:rFonts w:cs="Arial"/>
          <w:i/>
          <w:iCs/>
        </w:rPr>
        <w:t>Disability and Rehabilitation: Assistive Technology</w:t>
      </w:r>
      <w:r w:rsidRPr="00F858F4">
        <w:rPr>
          <w:rFonts w:cs="Arial"/>
        </w:rPr>
        <w:t xml:space="preserve">, </w:t>
      </w:r>
      <w:r w:rsidRPr="00F858F4">
        <w:rPr>
          <w:rFonts w:cs="Arial"/>
          <w:i/>
          <w:iCs/>
        </w:rPr>
        <w:t>19</w:t>
      </w:r>
      <w:r w:rsidRPr="00F858F4">
        <w:rPr>
          <w:rFonts w:cs="Arial"/>
        </w:rPr>
        <w:t>(3), pp.595-603.</w:t>
      </w:r>
    </w:p>
    <w:p w14:paraId="5669ED53" w14:textId="77777777" w:rsidR="00753319" w:rsidRPr="00F858F4" w:rsidRDefault="00753319" w:rsidP="00CF3A6F">
      <w:pPr>
        <w:spacing w:after="0" w:line="360" w:lineRule="auto"/>
        <w:rPr>
          <w:rFonts w:cs="Arial"/>
        </w:rPr>
      </w:pPr>
      <w:r w:rsidRPr="00F858F4">
        <w:rPr>
          <w:rFonts w:cs="Arial"/>
        </w:rPr>
        <w:t xml:space="preserve">Lariviere, M., Poland, F., Woolham, J., Newman, S. and Fox, C., (2021). Placing assistive technology and telecare in everyday practices of people with dementia and their caregivers: findings from an embedded ethnography of a national dementia trial. </w:t>
      </w:r>
      <w:r w:rsidRPr="00F858F4">
        <w:rPr>
          <w:rFonts w:cs="Arial"/>
          <w:i/>
          <w:iCs/>
        </w:rPr>
        <w:t>BMC geriatrics</w:t>
      </w:r>
      <w:r w:rsidRPr="00F858F4">
        <w:rPr>
          <w:rFonts w:cs="Arial"/>
        </w:rPr>
        <w:t xml:space="preserve">, </w:t>
      </w:r>
      <w:r w:rsidRPr="00F858F4">
        <w:rPr>
          <w:rFonts w:cs="Arial"/>
          <w:i/>
          <w:iCs/>
        </w:rPr>
        <w:t>21</w:t>
      </w:r>
      <w:r w:rsidRPr="00F858F4">
        <w:rPr>
          <w:rFonts w:cs="Arial"/>
        </w:rPr>
        <w:t>(1), p.121.</w:t>
      </w:r>
    </w:p>
    <w:p w14:paraId="38C28010" w14:textId="77777777" w:rsidR="00753319" w:rsidRPr="00F858F4" w:rsidRDefault="00753319" w:rsidP="00CF3A6F">
      <w:pPr>
        <w:spacing w:after="0" w:line="360" w:lineRule="auto"/>
        <w:rPr>
          <w:rFonts w:cs="Arial"/>
        </w:rPr>
      </w:pPr>
      <w:r w:rsidRPr="00F858F4">
        <w:rPr>
          <w:rFonts w:cs="Arial"/>
        </w:rPr>
        <w:lastRenderedPageBreak/>
        <w:t xml:space="preserve">MacNeil, M., Hirslund, E., Baiocco-Romano, L., </w:t>
      </w:r>
      <w:proofErr w:type="spellStart"/>
      <w:r w:rsidRPr="00F858F4">
        <w:rPr>
          <w:rFonts w:cs="Arial"/>
        </w:rPr>
        <w:t>Kuspinar</w:t>
      </w:r>
      <w:proofErr w:type="spellEnd"/>
      <w:r w:rsidRPr="00F858F4">
        <w:rPr>
          <w:rFonts w:cs="Arial"/>
        </w:rPr>
        <w:t xml:space="preserve">, A. and </w:t>
      </w:r>
      <w:proofErr w:type="spellStart"/>
      <w:r w:rsidRPr="00F858F4">
        <w:rPr>
          <w:rFonts w:cs="Arial"/>
        </w:rPr>
        <w:t>Stolee</w:t>
      </w:r>
      <w:proofErr w:type="spellEnd"/>
      <w:r w:rsidRPr="00F858F4">
        <w:rPr>
          <w:rFonts w:cs="Arial"/>
        </w:rPr>
        <w:t xml:space="preserve">, P., (2024). A scoping review of the use of intelligent assistive technologies in rehabilitation practice with older adults. </w:t>
      </w:r>
      <w:r w:rsidRPr="00F858F4">
        <w:rPr>
          <w:rFonts w:cs="Arial"/>
          <w:i/>
          <w:iCs/>
        </w:rPr>
        <w:t>Disability and Rehabilitation: Assistive Technology</w:t>
      </w:r>
      <w:r w:rsidRPr="00F858F4">
        <w:rPr>
          <w:rFonts w:cs="Arial"/>
        </w:rPr>
        <w:t xml:space="preserve">, </w:t>
      </w:r>
      <w:r w:rsidRPr="00F858F4">
        <w:rPr>
          <w:rFonts w:cs="Arial"/>
          <w:i/>
          <w:iCs/>
        </w:rPr>
        <w:t>19</w:t>
      </w:r>
      <w:r w:rsidRPr="00F858F4">
        <w:rPr>
          <w:rFonts w:cs="Arial"/>
        </w:rPr>
        <w:t>(5), pp.1817-1848.</w:t>
      </w:r>
    </w:p>
    <w:p w14:paraId="18B7C9C5" w14:textId="77777777" w:rsidR="00753319" w:rsidRPr="00F858F4" w:rsidRDefault="00753319" w:rsidP="00CF3A6F">
      <w:pPr>
        <w:spacing w:after="0" w:line="360" w:lineRule="auto"/>
        <w:rPr>
          <w:rFonts w:cs="Arial"/>
        </w:rPr>
      </w:pPr>
      <w:r w:rsidRPr="00F858F4">
        <w:rPr>
          <w:rFonts w:cs="Arial"/>
        </w:rPr>
        <w:t xml:space="preserve">Nishiura, Y., Nihei, M., Nakamura-Thomas, H. and Inoue, T., (2021). Effectiveness of using assistive technology for time orientation and memory, in older adults with or without dementia. </w:t>
      </w:r>
      <w:r w:rsidRPr="00F858F4">
        <w:rPr>
          <w:rFonts w:cs="Arial"/>
          <w:i/>
          <w:iCs/>
        </w:rPr>
        <w:t>Disability and Rehabilitation: Assistive Technology</w:t>
      </w:r>
      <w:r w:rsidRPr="00F858F4">
        <w:rPr>
          <w:rFonts w:cs="Arial"/>
        </w:rPr>
        <w:t xml:space="preserve">, </w:t>
      </w:r>
      <w:r w:rsidRPr="00F858F4">
        <w:rPr>
          <w:rFonts w:cs="Arial"/>
          <w:i/>
          <w:iCs/>
        </w:rPr>
        <w:t>16</w:t>
      </w:r>
      <w:r w:rsidRPr="00F858F4">
        <w:rPr>
          <w:rFonts w:cs="Arial"/>
        </w:rPr>
        <w:t>(5), pp.472-478.</w:t>
      </w:r>
    </w:p>
    <w:p w14:paraId="5DC449E1" w14:textId="4029E5AF" w:rsidR="00753319" w:rsidRDefault="00753319" w:rsidP="00CF3A6F">
      <w:pPr>
        <w:spacing w:after="0" w:line="360" w:lineRule="auto"/>
        <w:rPr>
          <w:rFonts w:cs="Arial"/>
        </w:rPr>
      </w:pPr>
      <w:proofErr w:type="spellStart"/>
      <w:r w:rsidRPr="00F858F4">
        <w:rPr>
          <w:rFonts w:cs="Arial"/>
        </w:rPr>
        <w:t>Pappadà</w:t>
      </w:r>
      <w:proofErr w:type="spellEnd"/>
      <w:r w:rsidRPr="00F858F4">
        <w:rPr>
          <w:rFonts w:cs="Arial"/>
        </w:rPr>
        <w:t xml:space="preserve">, A., </w:t>
      </w:r>
      <w:proofErr w:type="spellStart"/>
      <w:r w:rsidRPr="00F858F4">
        <w:rPr>
          <w:rFonts w:cs="Arial"/>
        </w:rPr>
        <w:t>Chattat</w:t>
      </w:r>
      <w:proofErr w:type="spellEnd"/>
      <w:r w:rsidRPr="00F858F4">
        <w:rPr>
          <w:rFonts w:cs="Arial"/>
        </w:rPr>
        <w:t xml:space="preserve">, R., Chirico, I., Valente, M. and Ottoboni, G., (2021). Assistive technologies in dementia care: an updated analysis of the literature. </w:t>
      </w:r>
      <w:r w:rsidRPr="00F858F4">
        <w:rPr>
          <w:rFonts w:cs="Arial"/>
          <w:i/>
          <w:iCs/>
        </w:rPr>
        <w:t>Frontiers in psychology</w:t>
      </w:r>
      <w:r w:rsidRPr="00F858F4">
        <w:rPr>
          <w:rFonts w:cs="Arial"/>
        </w:rPr>
        <w:t xml:space="preserve">, </w:t>
      </w:r>
      <w:r w:rsidRPr="00F858F4">
        <w:rPr>
          <w:rFonts w:cs="Arial"/>
          <w:i/>
          <w:iCs/>
        </w:rPr>
        <w:t>12</w:t>
      </w:r>
      <w:r w:rsidRPr="00F858F4">
        <w:rPr>
          <w:rFonts w:cs="Arial"/>
        </w:rPr>
        <w:t>, p.644587.</w:t>
      </w:r>
      <w:r w:rsidR="00EE74D6">
        <w:rPr>
          <w:rFonts w:cs="Arial"/>
        </w:rPr>
        <w:t xml:space="preserve"> </w:t>
      </w:r>
    </w:p>
    <w:p w14:paraId="077706FC" w14:textId="423ECDC2" w:rsidR="00EE74D6" w:rsidRPr="00F858F4" w:rsidRDefault="00EE74D6" w:rsidP="00CF3A6F">
      <w:pPr>
        <w:spacing w:after="0" w:line="360" w:lineRule="auto"/>
        <w:rPr>
          <w:rFonts w:cs="Arial"/>
        </w:rPr>
      </w:pPr>
    </w:p>
    <w:sectPr w:rsidR="00EE74D6" w:rsidRPr="00F858F4" w:rsidSect="0077728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6172C5" w14:textId="77777777" w:rsidR="006512F3" w:rsidRDefault="006512F3" w:rsidP="00357C3D">
      <w:pPr>
        <w:spacing w:after="0" w:line="240" w:lineRule="auto"/>
      </w:pPr>
      <w:r>
        <w:separator/>
      </w:r>
    </w:p>
  </w:endnote>
  <w:endnote w:type="continuationSeparator" w:id="0">
    <w:p w14:paraId="07BCF022" w14:textId="77777777" w:rsidR="006512F3" w:rsidRDefault="006512F3" w:rsidP="00357C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91148489"/>
      <w:docPartObj>
        <w:docPartGallery w:val="Page Numbers (Bottom of Page)"/>
        <w:docPartUnique/>
      </w:docPartObj>
    </w:sdtPr>
    <w:sdtEndPr>
      <w:rPr>
        <w:rFonts w:cs="Arial"/>
        <w:noProof/>
      </w:rPr>
    </w:sdtEndPr>
    <w:sdtContent>
      <w:p w14:paraId="018A6D9A" w14:textId="77777777" w:rsidR="00357C3D" w:rsidRPr="00357C3D" w:rsidRDefault="005A41F9">
        <w:pPr>
          <w:pStyle w:val="Footer"/>
          <w:jc w:val="right"/>
          <w:rPr>
            <w:rFonts w:cs="Arial"/>
          </w:rPr>
        </w:pPr>
        <w:r w:rsidRPr="00357C3D">
          <w:rPr>
            <w:rFonts w:cs="Arial"/>
          </w:rPr>
          <w:fldChar w:fldCharType="begin"/>
        </w:r>
        <w:r w:rsidR="00357C3D" w:rsidRPr="00357C3D">
          <w:rPr>
            <w:rFonts w:cs="Arial"/>
          </w:rPr>
          <w:instrText xml:space="preserve"> PAGE   \* MERGEFORMAT </w:instrText>
        </w:r>
        <w:r w:rsidRPr="00357C3D">
          <w:rPr>
            <w:rFonts w:cs="Arial"/>
          </w:rPr>
          <w:fldChar w:fldCharType="separate"/>
        </w:r>
        <w:r w:rsidR="0065101F">
          <w:rPr>
            <w:rFonts w:cs="Arial"/>
            <w:noProof/>
          </w:rPr>
          <w:t>5</w:t>
        </w:r>
        <w:r w:rsidRPr="00357C3D">
          <w:rPr>
            <w:rFonts w:cs="Arial"/>
            <w:noProof/>
          </w:rPr>
          <w:fldChar w:fldCharType="end"/>
        </w:r>
      </w:p>
    </w:sdtContent>
  </w:sdt>
  <w:p w14:paraId="369B534F" w14:textId="77777777" w:rsidR="00357C3D" w:rsidRDefault="00357C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0216A0" w14:textId="77777777" w:rsidR="006512F3" w:rsidRDefault="006512F3" w:rsidP="00357C3D">
      <w:pPr>
        <w:spacing w:after="0" w:line="240" w:lineRule="auto"/>
      </w:pPr>
      <w:r>
        <w:separator/>
      </w:r>
    </w:p>
  </w:footnote>
  <w:footnote w:type="continuationSeparator" w:id="0">
    <w:p w14:paraId="71107F0A" w14:textId="77777777" w:rsidR="006512F3" w:rsidRDefault="006512F3" w:rsidP="00357C3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11AAA"/>
    <w:rsid w:val="00057A47"/>
    <w:rsid w:val="00093115"/>
    <w:rsid w:val="00095FA6"/>
    <w:rsid w:val="001B217F"/>
    <w:rsid w:val="001F11B8"/>
    <w:rsid w:val="002539D4"/>
    <w:rsid w:val="00357C3D"/>
    <w:rsid w:val="0036302C"/>
    <w:rsid w:val="003D153A"/>
    <w:rsid w:val="004151F5"/>
    <w:rsid w:val="004B6601"/>
    <w:rsid w:val="00511AAA"/>
    <w:rsid w:val="005A41F9"/>
    <w:rsid w:val="005D0F8D"/>
    <w:rsid w:val="006014DD"/>
    <w:rsid w:val="0065101F"/>
    <w:rsid w:val="006512F3"/>
    <w:rsid w:val="0069129C"/>
    <w:rsid w:val="006F3420"/>
    <w:rsid w:val="007078A7"/>
    <w:rsid w:val="00724F1D"/>
    <w:rsid w:val="007362D8"/>
    <w:rsid w:val="00753319"/>
    <w:rsid w:val="00776B47"/>
    <w:rsid w:val="00776DEB"/>
    <w:rsid w:val="0077728F"/>
    <w:rsid w:val="007E4054"/>
    <w:rsid w:val="007F6F2F"/>
    <w:rsid w:val="00851FA0"/>
    <w:rsid w:val="008B0FAC"/>
    <w:rsid w:val="008F693D"/>
    <w:rsid w:val="009628EA"/>
    <w:rsid w:val="00A02A51"/>
    <w:rsid w:val="00AC16EF"/>
    <w:rsid w:val="00B87D50"/>
    <w:rsid w:val="00BD02AF"/>
    <w:rsid w:val="00BD6969"/>
    <w:rsid w:val="00BE6941"/>
    <w:rsid w:val="00C01A29"/>
    <w:rsid w:val="00C038D5"/>
    <w:rsid w:val="00C051EC"/>
    <w:rsid w:val="00CF1DF9"/>
    <w:rsid w:val="00CF3A6F"/>
    <w:rsid w:val="00D12AD7"/>
    <w:rsid w:val="00E15E6D"/>
    <w:rsid w:val="00EC2AA5"/>
    <w:rsid w:val="00EE74D6"/>
    <w:rsid w:val="00F04656"/>
    <w:rsid w:val="00F71550"/>
    <w:rsid w:val="00F858F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9E6A6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1550"/>
    <w:pPr>
      <w:jc w:val="both"/>
    </w:pPr>
    <w:rPr>
      <w:rFonts w:ascii="Arial" w:hAnsi="Arial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53319"/>
    <w:pPr>
      <w:keepNext/>
      <w:keepLines/>
      <w:spacing w:after="0" w:line="360" w:lineRule="auto"/>
      <w:outlineLvl w:val="0"/>
    </w:pPr>
    <w:rPr>
      <w:rFonts w:eastAsiaTheme="majorEastAsia" w:cstheme="majorBidi"/>
      <w:b/>
      <w:color w:val="000000" w:themeColor="text1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1A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1AA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1A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1AA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1A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1A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1A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1A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3319"/>
    <w:rPr>
      <w:rFonts w:ascii="Arial" w:eastAsiaTheme="majorEastAsia" w:hAnsi="Arial" w:cstheme="majorBidi"/>
      <w:b/>
      <w:color w:val="000000" w:themeColor="text1"/>
      <w:sz w:val="28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1A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1AA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1AA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1AA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1A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1A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1A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1A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1A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1A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1A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1A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1A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1A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1A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1AA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1AA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1AA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1AAA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11AAA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11AAA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7362D8"/>
    <w:pPr>
      <w:spacing w:before="24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362D8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357C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7C3D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57C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7C3D"/>
    <w:rPr>
      <w:lang w:val="en-GB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F7155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F71550"/>
    <w:rPr>
      <w:rFonts w:ascii="Tahoma" w:hAnsi="Tahoma" w:cs="Tahoma"/>
      <w:sz w:val="16"/>
      <w:szCs w:val="16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7155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71550"/>
    <w:rPr>
      <w:rFonts w:ascii="Tahoma" w:hAnsi="Tahoma" w:cs="Tahoma"/>
      <w:sz w:val="16"/>
      <w:szCs w:val="16"/>
      <w:lang w:val="en-GB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C01A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4F172AD-48BA-41B3-BA01-F87A20F91A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457</Words>
  <Characters>2606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2025-12-04T23:04:00Z</dcterms:created>
  <dcterms:modified xsi:type="dcterms:W3CDTF">2025-12-04T23:29:00Z</dcterms:modified>
</cp:coreProperties>
</file>