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3A092" w14:textId="5C15A215" w:rsidR="00AC3682" w:rsidRDefault="00EF2D91">
      <w:r>
        <w:rPr>
          <w:noProof/>
        </w:rPr>
        <w:drawing>
          <wp:inline distT="0" distB="0" distL="0" distR="0" wp14:anchorId="44F7E934" wp14:editId="636C0599">
            <wp:extent cx="2095500" cy="695325"/>
            <wp:effectExtent l="0" t="0" r="0" b="9525"/>
            <wp:docPr id="35367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70369" name="Picture 353670369"/>
                    <pic:cNvPicPr/>
                  </pic:nvPicPr>
                  <pic:blipFill>
                    <a:blip r:embed="rId7">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543DB557" w14:textId="498FEFD2" w:rsidR="00EF2D91" w:rsidRPr="00EF2D91" w:rsidRDefault="00EF2D91" w:rsidP="00EF2D91">
      <w:pPr>
        <w:jc w:val="center"/>
        <w:rPr>
          <w:rFonts w:ascii="Arial" w:hAnsi="Arial" w:cs="Arial"/>
          <w:b/>
          <w:bCs/>
          <w:sz w:val="40"/>
          <w:szCs w:val="40"/>
        </w:rPr>
      </w:pPr>
      <w:r w:rsidRPr="00EF2D91">
        <w:rPr>
          <w:rFonts w:ascii="Arial" w:hAnsi="Arial" w:cs="Arial"/>
          <w:b/>
          <w:bCs/>
          <w:sz w:val="40"/>
          <w:szCs w:val="40"/>
        </w:rPr>
        <w:t>LCLM 5002</w:t>
      </w:r>
    </w:p>
    <w:p w14:paraId="55ADD686" w14:textId="1BFACAA2" w:rsidR="00EF2D91" w:rsidRPr="00EF2D91" w:rsidRDefault="00EF2D91" w:rsidP="008354C1">
      <w:pPr>
        <w:jc w:val="center"/>
        <w:rPr>
          <w:rFonts w:ascii="Arial" w:hAnsi="Arial" w:cs="Arial"/>
          <w:b/>
          <w:bCs/>
          <w:sz w:val="40"/>
          <w:szCs w:val="40"/>
          <w:u w:val="single"/>
        </w:rPr>
      </w:pPr>
      <w:r w:rsidRPr="00EF2D91">
        <w:rPr>
          <w:rFonts w:ascii="Arial" w:hAnsi="Arial" w:cs="Arial"/>
          <w:b/>
          <w:bCs/>
          <w:sz w:val="40"/>
          <w:szCs w:val="40"/>
          <w:u w:val="single"/>
        </w:rPr>
        <w:t>Developing and Managing Individuals and Teams</w:t>
      </w:r>
    </w:p>
    <w:p w14:paraId="21676AA9" w14:textId="7F3C77E6" w:rsidR="00EF2D91" w:rsidRPr="00EF2D91" w:rsidRDefault="00EF2D91" w:rsidP="008354C1">
      <w:pPr>
        <w:jc w:val="center"/>
        <w:rPr>
          <w:rFonts w:ascii="Arial" w:hAnsi="Arial" w:cs="Arial"/>
          <w:b/>
          <w:sz w:val="40"/>
          <w:szCs w:val="40"/>
        </w:rPr>
      </w:pPr>
      <w:r w:rsidRPr="00EF2D91">
        <w:rPr>
          <w:rFonts w:ascii="Arial" w:hAnsi="Arial" w:cs="Arial"/>
          <w:b/>
          <w:sz w:val="40"/>
          <w:szCs w:val="40"/>
        </w:rPr>
        <w:t>BA (Hons) Leadership and Management Skills for the Workplace</w:t>
      </w:r>
    </w:p>
    <w:p w14:paraId="1918FC1E" w14:textId="0B9609C5" w:rsidR="00EF2D91" w:rsidRDefault="00EF2D91" w:rsidP="00EF2D91">
      <w:pPr>
        <w:jc w:val="center"/>
        <w:rPr>
          <w:rFonts w:ascii="Arial" w:hAnsi="Arial" w:cs="Arial"/>
          <w:b/>
          <w:sz w:val="40"/>
          <w:szCs w:val="40"/>
          <w:u w:val="single"/>
        </w:rPr>
      </w:pPr>
      <w:r w:rsidRPr="00EF2D91">
        <w:rPr>
          <w:rFonts w:ascii="Arial" w:hAnsi="Arial" w:cs="Arial"/>
          <w:b/>
          <w:sz w:val="40"/>
          <w:szCs w:val="40"/>
          <w:u w:val="single"/>
        </w:rPr>
        <w:t>Component 2- Individual Report</w:t>
      </w:r>
    </w:p>
    <w:p w14:paraId="6CEEF627" w14:textId="57C87C3E" w:rsidR="00EF2D91" w:rsidRPr="00EF2D91" w:rsidRDefault="00EF2D91" w:rsidP="00EF2D91">
      <w:pPr>
        <w:jc w:val="center"/>
        <w:rPr>
          <w:rFonts w:ascii="Arial" w:hAnsi="Arial" w:cs="Arial"/>
          <w:b/>
          <w:i/>
          <w:iCs/>
          <w:sz w:val="40"/>
          <w:szCs w:val="40"/>
          <w:u w:val="single"/>
        </w:rPr>
      </w:pPr>
      <w:r w:rsidRPr="00EF2D91">
        <w:rPr>
          <w:rFonts w:ascii="Arial" w:hAnsi="Arial" w:cs="Arial"/>
          <w:b/>
          <w:i/>
          <w:iCs/>
          <w:sz w:val="40"/>
          <w:szCs w:val="40"/>
          <w:u w:val="single"/>
        </w:rPr>
        <w:t>Title: Human Resource Challenges and Contemporary Practices: A Case Study of Tesco PLC</w:t>
      </w:r>
    </w:p>
    <w:p w14:paraId="49C07D5E" w14:textId="68DE5B5B" w:rsidR="00EF2D91" w:rsidRDefault="008354C1" w:rsidP="00EF2D91">
      <w:pPr>
        <w:jc w:val="center"/>
        <w:rPr>
          <w:rFonts w:ascii="Arial" w:hAnsi="Arial" w:cs="Arial"/>
          <w:b/>
          <w:sz w:val="40"/>
          <w:szCs w:val="40"/>
          <w:u w:val="single"/>
        </w:rPr>
      </w:pPr>
      <w:r w:rsidRPr="008354C1">
        <w:rPr>
          <w:rFonts w:ascii="Arial" w:hAnsi="Arial" w:cs="Arial"/>
          <w:b/>
          <w:noProof/>
          <w:sz w:val="40"/>
          <w:szCs w:val="40"/>
        </w:rPr>
        <w:drawing>
          <wp:inline distT="0" distB="0" distL="0" distR="0" wp14:anchorId="56A8B154" wp14:editId="47CCF995">
            <wp:extent cx="2491396" cy="2315805"/>
            <wp:effectExtent l="0" t="0" r="4445" b="8890"/>
            <wp:docPr id="772098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8567" cy="2322471"/>
                    </a:xfrm>
                    <a:prstGeom prst="rect">
                      <a:avLst/>
                    </a:prstGeom>
                    <a:noFill/>
                    <a:ln>
                      <a:noFill/>
                    </a:ln>
                  </pic:spPr>
                </pic:pic>
              </a:graphicData>
            </a:graphic>
          </wp:inline>
        </w:drawing>
      </w:r>
    </w:p>
    <w:p w14:paraId="3CC95D99" w14:textId="77777777" w:rsidR="00EF2D91" w:rsidRDefault="00EF2D91" w:rsidP="00EF2D91">
      <w:pPr>
        <w:jc w:val="center"/>
        <w:rPr>
          <w:rFonts w:ascii="Arial" w:hAnsi="Arial" w:cs="Arial"/>
          <w:b/>
          <w:sz w:val="40"/>
          <w:szCs w:val="40"/>
          <w:u w:val="single"/>
        </w:rPr>
      </w:pPr>
    </w:p>
    <w:p w14:paraId="6146560F" w14:textId="07FCD6C7" w:rsidR="00EF2D91" w:rsidRPr="00EF2D91" w:rsidRDefault="00EF2D91" w:rsidP="00EF2D91">
      <w:pPr>
        <w:rPr>
          <w:rFonts w:ascii="Arial" w:hAnsi="Arial" w:cs="Arial"/>
          <w:b/>
          <w:sz w:val="40"/>
          <w:szCs w:val="40"/>
        </w:rPr>
      </w:pPr>
      <w:r w:rsidRPr="00EF2D91">
        <w:rPr>
          <w:rFonts w:ascii="Arial" w:hAnsi="Arial" w:cs="Arial"/>
          <w:b/>
          <w:sz w:val="40"/>
          <w:szCs w:val="40"/>
        </w:rPr>
        <w:t>Student: Andreea Mihaela Rusu</w:t>
      </w:r>
    </w:p>
    <w:p w14:paraId="34928875" w14:textId="143B738F" w:rsidR="00EF2D91" w:rsidRDefault="00EF2D91" w:rsidP="00EF2D91">
      <w:pPr>
        <w:rPr>
          <w:rFonts w:ascii="Arial" w:hAnsi="Arial" w:cs="Arial"/>
          <w:b/>
          <w:sz w:val="40"/>
          <w:szCs w:val="40"/>
        </w:rPr>
      </w:pPr>
      <w:r w:rsidRPr="00EF2D91">
        <w:rPr>
          <w:rFonts w:ascii="Arial" w:hAnsi="Arial" w:cs="Arial"/>
          <w:b/>
          <w:sz w:val="40"/>
          <w:szCs w:val="40"/>
        </w:rPr>
        <w:t xml:space="preserve">ID: </w:t>
      </w:r>
      <w:r w:rsidR="008354C1">
        <w:rPr>
          <w:rFonts w:ascii="Arial" w:hAnsi="Arial" w:cs="Arial"/>
          <w:b/>
          <w:sz w:val="40"/>
          <w:szCs w:val="40"/>
        </w:rPr>
        <w:t>2408444</w:t>
      </w:r>
    </w:p>
    <w:p w14:paraId="12B1BA75" w14:textId="77777777" w:rsidR="00EF2D91" w:rsidRDefault="00EF2D91" w:rsidP="00EF2D91">
      <w:pPr>
        <w:rPr>
          <w:rFonts w:ascii="Arial" w:hAnsi="Arial" w:cs="Arial"/>
          <w:b/>
          <w:sz w:val="40"/>
          <w:szCs w:val="40"/>
        </w:rPr>
      </w:pPr>
    </w:p>
    <w:p w14:paraId="584746BD" w14:textId="77777777" w:rsidR="008354C1" w:rsidRDefault="008354C1" w:rsidP="00EF2D91">
      <w:pPr>
        <w:jc w:val="center"/>
        <w:rPr>
          <w:rFonts w:ascii="Arial" w:hAnsi="Arial" w:cs="Arial"/>
          <w:b/>
          <w:sz w:val="40"/>
          <w:szCs w:val="40"/>
        </w:rPr>
      </w:pPr>
    </w:p>
    <w:p w14:paraId="63CB7328" w14:textId="4DD0A498" w:rsidR="00EF2D91" w:rsidRDefault="00EF2D91" w:rsidP="00EF2D91">
      <w:pPr>
        <w:jc w:val="center"/>
        <w:rPr>
          <w:rFonts w:ascii="Arial" w:hAnsi="Arial" w:cs="Arial"/>
          <w:b/>
          <w:sz w:val="40"/>
          <w:szCs w:val="40"/>
        </w:rPr>
      </w:pPr>
      <w:r>
        <w:rPr>
          <w:rFonts w:ascii="Arial" w:hAnsi="Arial" w:cs="Arial"/>
          <w:b/>
          <w:sz w:val="40"/>
          <w:szCs w:val="40"/>
        </w:rPr>
        <w:lastRenderedPageBreak/>
        <w:t>Table of Contents</w:t>
      </w:r>
    </w:p>
    <w:p w14:paraId="18055AAC" w14:textId="77777777" w:rsidR="00EF2D91" w:rsidRDefault="00EF2D91" w:rsidP="00C64F06">
      <w:pPr>
        <w:spacing w:line="360" w:lineRule="auto"/>
        <w:jc w:val="center"/>
        <w:rPr>
          <w:rFonts w:ascii="Arial" w:hAnsi="Arial" w:cs="Arial"/>
          <w:b/>
          <w:sz w:val="40"/>
          <w:szCs w:val="40"/>
        </w:rPr>
      </w:pPr>
    </w:p>
    <w:p w14:paraId="27F49DEE" w14:textId="55BCB3A6" w:rsidR="00EF2D91" w:rsidRDefault="00EF2D91" w:rsidP="00C64F06">
      <w:pPr>
        <w:spacing w:line="360" w:lineRule="auto"/>
        <w:rPr>
          <w:rFonts w:ascii="Arial" w:hAnsi="Arial" w:cs="Arial"/>
          <w:b/>
          <w:sz w:val="28"/>
          <w:szCs w:val="28"/>
        </w:rPr>
      </w:pPr>
      <w:r w:rsidRPr="00EF2D91">
        <w:rPr>
          <w:rFonts w:ascii="Arial" w:hAnsi="Arial" w:cs="Arial"/>
          <w:b/>
          <w:sz w:val="28"/>
          <w:szCs w:val="28"/>
        </w:rPr>
        <w:t>Introduction</w:t>
      </w:r>
      <w:r>
        <w:rPr>
          <w:rFonts w:ascii="Arial" w:hAnsi="Arial" w:cs="Arial"/>
          <w:b/>
          <w:sz w:val="28"/>
          <w:szCs w:val="28"/>
        </w:rPr>
        <w:t xml:space="preserve"> </w:t>
      </w:r>
      <w:r>
        <w:rPr>
          <w:rFonts w:ascii="Arial" w:hAnsi="Arial" w:cs="Arial"/>
          <w:b/>
          <w:sz w:val="28"/>
          <w:szCs w:val="28"/>
          <w:u w:val="dotted"/>
        </w:rPr>
        <w:t xml:space="preserve">                                                                                       </w:t>
      </w:r>
      <w:r>
        <w:rPr>
          <w:rFonts w:ascii="Arial" w:hAnsi="Arial" w:cs="Arial"/>
          <w:b/>
          <w:sz w:val="28"/>
          <w:szCs w:val="28"/>
        </w:rPr>
        <w:t>3</w:t>
      </w:r>
    </w:p>
    <w:p w14:paraId="407E90EE" w14:textId="4203E6D9" w:rsidR="00EF2D91" w:rsidRDefault="00EF2D91" w:rsidP="00C64F06">
      <w:pPr>
        <w:spacing w:line="360" w:lineRule="auto"/>
        <w:rPr>
          <w:rFonts w:ascii="Arial" w:hAnsi="Arial" w:cs="Arial"/>
          <w:b/>
          <w:sz w:val="28"/>
          <w:szCs w:val="28"/>
        </w:rPr>
      </w:pPr>
      <w:r>
        <w:rPr>
          <w:rFonts w:ascii="Arial" w:hAnsi="Arial" w:cs="Arial"/>
          <w:b/>
          <w:sz w:val="28"/>
          <w:szCs w:val="28"/>
        </w:rPr>
        <w:t xml:space="preserve">Main Body </w:t>
      </w:r>
      <w:r>
        <w:rPr>
          <w:rFonts w:ascii="Arial" w:hAnsi="Arial" w:cs="Arial"/>
          <w:b/>
          <w:sz w:val="28"/>
          <w:szCs w:val="28"/>
          <w:u w:val="dotted"/>
        </w:rPr>
        <w:t xml:space="preserve">                                                                                          </w:t>
      </w:r>
      <w:r w:rsidR="008354C1">
        <w:rPr>
          <w:rFonts w:ascii="Arial" w:hAnsi="Arial" w:cs="Arial"/>
          <w:b/>
          <w:sz w:val="28"/>
          <w:szCs w:val="28"/>
        </w:rPr>
        <w:t>3</w:t>
      </w:r>
    </w:p>
    <w:p w14:paraId="5DF0286C" w14:textId="21CF8B2A" w:rsidR="00EF2D91" w:rsidRDefault="00EF2D91" w:rsidP="00C64F06">
      <w:pPr>
        <w:pStyle w:val="ListParagraph"/>
        <w:numPr>
          <w:ilvl w:val="0"/>
          <w:numId w:val="2"/>
        </w:numPr>
        <w:spacing w:line="360" w:lineRule="auto"/>
        <w:rPr>
          <w:rFonts w:ascii="Arial" w:hAnsi="Arial" w:cs="Arial"/>
          <w:sz w:val="28"/>
          <w:szCs w:val="28"/>
        </w:rPr>
      </w:pPr>
      <w:r w:rsidRPr="00EF2D91">
        <w:rPr>
          <w:rFonts w:ascii="Arial" w:hAnsi="Arial" w:cs="Arial"/>
          <w:sz w:val="28"/>
          <w:szCs w:val="28"/>
        </w:rPr>
        <w:t>Factors Affecting HR Practices</w:t>
      </w:r>
      <w:r>
        <w:rPr>
          <w:rFonts w:ascii="Arial" w:hAnsi="Arial" w:cs="Arial"/>
          <w:sz w:val="28"/>
          <w:szCs w:val="28"/>
        </w:rPr>
        <w:t xml:space="preserve"> </w:t>
      </w:r>
      <w:r>
        <w:rPr>
          <w:rFonts w:ascii="Arial" w:hAnsi="Arial" w:cs="Arial"/>
          <w:sz w:val="28"/>
          <w:szCs w:val="28"/>
          <w:u w:val="dotted"/>
        </w:rPr>
        <w:t xml:space="preserve">                                             </w:t>
      </w:r>
      <w:r w:rsidR="008354C1">
        <w:rPr>
          <w:rFonts w:ascii="Arial" w:hAnsi="Arial" w:cs="Arial"/>
          <w:sz w:val="28"/>
          <w:szCs w:val="28"/>
        </w:rPr>
        <w:t>3</w:t>
      </w:r>
    </w:p>
    <w:p w14:paraId="7565D515" w14:textId="09BFA8A5" w:rsidR="00EF2D91" w:rsidRDefault="00EF2D91" w:rsidP="00C64F06">
      <w:pPr>
        <w:pStyle w:val="ListParagraph"/>
        <w:spacing w:line="360" w:lineRule="auto"/>
        <w:ind w:left="1080"/>
        <w:rPr>
          <w:rFonts w:ascii="Arial" w:hAnsi="Arial" w:cs="Arial"/>
          <w:sz w:val="28"/>
          <w:szCs w:val="28"/>
        </w:rPr>
      </w:pPr>
      <w:r>
        <w:rPr>
          <w:rFonts w:ascii="Arial" w:hAnsi="Arial" w:cs="Arial"/>
          <w:sz w:val="28"/>
          <w:szCs w:val="28"/>
        </w:rPr>
        <w:t>1</w:t>
      </w:r>
      <w:r w:rsidRPr="00EF2D91">
        <w:rPr>
          <w:rFonts w:ascii="Arial" w:hAnsi="Arial" w:cs="Arial"/>
          <w:sz w:val="28"/>
          <w:szCs w:val="28"/>
        </w:rPr>
        <w:t>.1 Technological Advancement</w:t>
      </w:r>
      <w:r>
        <w:rPr>
          <w:rFonts w:ascii="Arial" w:hAnsi="Arial" w:cs="Arial"/>
          <w:sz w:val="28"/>
          <w:szCs w:val="28"/>
        </w:rPr>
        <w:t xml:space="preserve"> </w:t>
      </w:r>
      <w:r>
        <w:rPr>
          <w:rFonts w:ascii="Arial" w:hAnsi="Arial" w:cs="Arial"/>
          <w:sz w:val="28"/>
          <w:szCs w:val="28"/>
          <w:u w:val="dotted"/>
        </w:rPr>
        <w:t xml:space="preserve">                                          </w:t>
      </w:r>
      <w:r w:rsidR="008354C1">
        <w:rPr>
          <w:rFonts w:ascii="Arial" w:hAnsi="Arial" w:cs="Arial"/>
          <w:sz w:val="28"/>
          <w:szCs w:val="28"/>
        </w:rPr>
        <w:t>3</w:t>
      </w:r>
      <w:r w:rsidRPr="00EF2D91">
        <w:rPr>
          <w:rFonts w:ascii="Arial" w:hAnsi="Arial" w:cs="Arial"/>
          <w:sz w:val="28"/>
          <w:szCs w:val="28"/>
        </w:rPr>
        <w:br/>
      </w:r>
      <w:r>
        <w:rPr>
          <w:rFonts w:ascii="Arial" w:hAnsi="Arial" w:cs="Arial"/>
          <w:sz w:val="28"/>
          <w:szCs w:val="28"/>
        </w:rPr>
        <w:t>1</w:t>
      </w:r>
      <w:r w:rsidRPr="00EF2D91">
        <w:rPr>
          <w:rFonts w:ascii="Arial" w:hAnsi="Arial" w:cs="Arial"/>
          <w:sz w:val="28"/>
          <w:szCs w:val="28"/>
        </w:rPr>
        <w:t>.2 Talent Acquisition and Retention</w:t>
      </w:r>
      <w:r>
        <w:rPr>
          <w:rFonts w:ascii="Arial" w:hAnsi="Arial" w:cs="Arial"/>
          <w:sz w:val="28"/>
          <w:szCs w:val="28"/>
        </w:rPr>
        <w:t xml:space="preserve"> </w:t>
      </w:r>
      <w:r>
        <w:rPr>
          <w:rFonts w:ascii="Arial" w:hAnsi="Arial" w:cs="Arial"/>
          <w:sz w:val="28"/>
          <w:szCs w:val="28"/>
          <w:u w:val="dotted"/>
        </w:rPr>
        <w:t xml:space="preserve">                                    </w:t>
      </w:r>
      <w:r w:rsidR="008354C1">
        <w:rPr>
          <w:rFonts w:ascii="Arial" w:hAnsi="Arial" w:cs="Arial"/>
          <w:sz w:val="28"/>
          <w:szCs w:val="28"/>
        </w:rPr>
        <w:t>4</w:t>
      </w:r>
      <w:r w:rsidRPr="00EF2D91">
        <w:rPr>
          <w:rFonts w:ascii="Arial" w:hAnsi="Arial" w:cs="Arial"/>
          <w:sz w:val="28"/>
          <w:szCs w:val="28"/>
        </w:rPr>
        <w:br/>
      </w:r>
      <w:r>
        <w:rPr>
          <w:rFonts w:ascii="Arial" w:hAnsi="Arial" w:cs="Arial"/>
          <w:sz w:val="28"/>
          <w:szCs w:val="28"/>
        </w:rPr>
        <w:t>1</w:t>
      </w:r>
      <w:r w:rsidRPr="00EF2D91">
        <w:rPr>
          <w:rFonts w:ascii="Arial" w:hAnsi="Arial" w:cs="Arial"/>
          <w:sz w:val="28"/>
          <w:szCs w:val="28"/>
        </w:rPr>
        <w:t>.3 Diversity, Equity and Inclusion (</w:t>
      </w:r>
      <w:proofErr w:type="gramStart"/>
      <w:r w:rsidRPr="00EF2D91">
        <w:rPr>
          <w:rFonts w:ascii="Arial" w:hAnsi="Arial" w:cs="Arial"/>
          <w:sz w:val="28"/>
          <w:szCs w:val="28"/>
        </w:rPr>
        <w:t>DEI)</w:t>
      </w:r>
      <w:r>
        <w:rPr>
          <w:rFonts w:ascii="Arial" w:hAnsi="Arial" w:cs="Arial"/>
          <w:sz w:val="28"/>
          <w:szCs w:val="28"/>
        </w:rPr>
        <w:t xml:space="preserve"> </w:t>
      </w:r>
      <w:r>
        <w:rPr>
          <w:rFonts w:ascii="Arial" w:hAnsi="Arial" w:cs="Arial"/>
          <w:sz w:val="28"/>
          <w:szCs w:val="28"/>
          <w:u w:val="dotted"/>
        </w:rPr>
        <w:t xml:space="preserve">  </w:t>
      </w:r>
      <w:proofErr w:type="gramEnd"/>
      <w:r>
        <w:rPr>
          <w:rFonts w:ascii="Arial" w:hAnsi="Arial" w:cs="Arial"/>
          <w:sz w:val="28"/>
          <w:szCs w:val="28"/>
          <w:u w:val="dotted"/>
        </w:rPr>
        <w:t xml:space="preserve">                           </w:t>
      </w:r>
      <w:r>
        <w:rPr>
          <w:rFonts w:ascii="Arial" w:hAnsi="Arial" w:cs="Arial"/>
          <w:sz w:val="28"/>
          <w:szCs w:val="28"/>
        </w:rPr>
        <w:t>5</w:t>
      </w:r>
    </w:p>
    <w:p w14:paraId="0DF57078" w14:textId="0512D3CA" w:rsidR="00EF2D91" w:rsidRDefault="00EF2D91" w:rsidP="00C64F06">
      <w:pPr>
        <w:pStyle w:val="ListParagraph"/>
        <w:numPr>
          <w:ilvl w:val="0"/>
          <w:numId w:val="2"/>
        </w:numPr>
        <w:spacing w:line="360" w:lineRule="auto"/>
        <w:rPr>
          <w:rFonts w:ascii="Arial" w:hAnsi="Arial" w:cs="Arial"/>
          <w:sz w:val="28"/>
          <w:szCs w:val="28"/>
        </w:rPr>
      </w:pPr>
      <w:r w:rsidRPr="00EF2D91">
        <w:rPr>
          <w:rFonts w:ascii="Arial" w:hAnsi="Arial" w:cs="Arial"/>
          <w:sz w:val="28"/>
          <w:szCs w:val="28"/>
        </w:rPr>
        <w:t>Contemporary HR Practices</w:t>
      </w:r>
      <w:r>
        <w:rPr>
          <w:rFonts w:ascii="Arial" w:hAnsi="Arial" w:cs="Arial"/>
          <w:sz w:val="28"/>
          <w:szCs w:val="28"/>
        </w:rPr>
        <w:t xml:space="preserve"> </w:t>
      </w:r>
      <w:r>
        <w:rPr>
          <w:rFonts w:ascii="Arial" w:hAnsi="Arial" w:cs="Arial"/>
          <w:sz w:val="28"/>
          <w:szCs w:val="28"/>
          <w:u w:val="dotted"/>
        </w:rPr>
        <w:t xml:space="preserve">                                         </w:t>
      </w:r>
      <w:r w:rsidR="008354C1">
        <w:rPr>
          <w:rFonts w:ascii="Arial" w:hAnsi="Arial" w:cs="Arial"/>
          <w:sz w:val="28"/>
          <w:szCs w:val="28"/>
        </w:rPr>
        <w:t>5</w:t>
      </w:r>
    </w:p>
    <w:p w14:paraId="0AC09F72" w14:textId="0C45CDC1" w:rsidR="00263F55" w:rsidRPr="00263F55" w:rsidRDefault="00263F55" w:rsidP="00C64F06">
      <w:pPr>
        <w:pStyle w:val="ListParagraph"/>
        <w:numPr>
          <w:ilvl w:val="1"/>
          <w:numId w:val="2"/>
        </w:numPr>
        <w:spacing w:line="360" w:lineRule="auto"/>
        <w:rPr>
          <w:rFonts w:ascii="Arial" w:hAnsi="Arial" w:cs="Arial"/>
          <w:sz w:val="28"/>
          <w:szCs w:val="28"/>
        </w:rPr>
      </w:pPr>
      <w:r w:rsidRPr="00263F55">
        <w:rPr>
          <w:rFonts w:ascii="Arial" w:hAnsi="Arial" w:cs="Arial"/>
          <w:sz w:val="28"/>
          <w:szCs w:val="28"/>
        </w:rPr>
        <w:t>Addressing Technological Advancement</w:t>
      </w:r>
      <w:r w:rsidR="008354C1">
        <w:rPr>
          <w:rFonts w:ascii="Arial" w:hAnsi="Arial" w:cs="Arial"/>
          <w:sz w:val="28"/>
          <w:szCs w:val="28"/>
        </w:rPr>
        <w:t xml:space="preserve"> </w:t>
      </w:r>
      <w:r w:rsidR="008354C1">
        <w:rPr>
          <w:rFonts w:ascii="Arial" w:hAnsi="Arial" w:cs="Arial"/>
          <w:sz w:val="28"/>
          <w:szCs w:val="28"/>
          <w:u w:val="dotted"/>
        </w:rPr>
        <w:t xml:space="preserve">                      </w:t>
      </w:r>
      <w:r w:rsidR="008354C1">
        <w:rPr>
          <w:rFonts w:ascii="Arial" w:hAnsi="Arial" w:cs="Arial"/>
          <w:sz w:val="28"/>
          <w:szCs w:val="28"/>
        </w:rPr>
        <w:t>5</w:t>
      </w:r>
    </w:p>
    <w:p w14:paraId="505E8A8F" w14:textId="0FFC6778" w:rsidR="00263F55" w:rsidRPr="00C64F06" w:rsidRDefault="00C64F06" w:rsidP="00C64F06">
      <w:pPr>
        <w:pStyle w:val="ListParagraph"/>
        <w:numPr>
          <w:ilvl w:val="1"/>
          <w:numId w:val="2"/>
        </w:numPr>
        <w:spacing w:line="360" w:lineRule="auto"/>
        <w:rPr>
          <w:rFonts w:ascii="Arial" w:hAnsi="Arial" w:cs="Arial"/>
          <w:sz w:val="28"/>
          <w:szCs w:val="28"/>
        </w:rPr>
      </w:pPr>
      <w:r w:rsidRPr="00C64F06">
        <w:rPr>
          <w:rFonts w:ascii="Arial" w:hAnsi="Arial" w:cs="Arial"/>
          <w:sz w:val="28"/>
          <w:szCs w:val="28"/>
        </w:rPr>
        <w:t>Enhancing Talent Acquisition and Retention</w:t>
      </w:r>
      <w:r w:rsidR="008354C1">
        <w:rPr>
          <w:rFonts w:ascii="Arial" w:hAnsi="Arial" w:cs="Arial"/>
          <w:sz w:val="28"/>
          <w:szCs w:val="28"/>
        </w:rPr>
        <w:t xml:space="preserve"> </w:t>
      </w:r>
      <w:r w:rsidR="008354C1">
        <w:rPr>
          <w:rFonts w:ascii="Arial" w:hAnsi="Arial" w:cs="Arial"/>
          <w:sz w:val="28"/>
          <w:szCs w:val="28"/>
          <w:u w:val="dotted"/>
        </w:rPr>
        <w:t xml:space="preserve">               </w:t>
      </w:r>
      <w:r w:rsidR="008354C1">
        <w:rPr>
          <w:rFonts w:ascii="Arial" w:hAnsi="Arial" w:cs="Arial"/>
          <w:sz w:val="28"/>
          <w:szCs w:val="28"/>
        </w:rPr>
        <w:t>6</w:t>
      </w:r>
    </w:p>
    <w:p w14:paraId="016AB9E1" w14:textId="5E0D6C61" w:rsidR="00263F55" w:rsidRPr="00C64F06" w:rsidRDefault="00C64F06" w:rsidP="00C64F06">
      <w:pPr>
        <w:pStyle w:val="ListParagraph"/>
        <w:numPr>
          <w:ilvl w:val="1"/>
          <w:numId w:val="2"/>
        </w:numPr>
        <w:spacing w:line="360" w:lineRule="auto"/>
        <w:rPr>
          <w:rFonts w:ascii="Arial" w:hAnsi="Arial" w:cs="Arial"/>
          <w:sz w:val="28"/>
          <w:szCs w:val="28"/>
        </w:rPr>
      </w:pPr>
      <w:r w:rsidRPr="00C64F06">
        <w:rPr>
          <w:rFonts w:ascii="Arial" w:hAnsi="Arial" w:cs="Arial"/>
          <w:sz w:val="28"/>
          <w:szCs w:val="28"/>
        </w:rPr>
        <w:t>Promoting Diversity, Equity and Inclusion (</w:t>
      </w:r>
      <w:proofErr w:type="gramStart"/>
      <w:r w:rsidRPr="00C64F06">
        <w:rPr>
          <w:rFonts w:ascii="Arial" w:hAnsi="Arial" w:cs="Arial"/>
          <w:sz w:val="28"/>
          <w:szCs w:val="28"/>
        </w:rPr>
        <w:t>DEI)</w:t>
      </w:r>
      <w:r w:rsidR="008354C1">
        <w:rPr>
          <w:rFonts w:ascii="Arial" w:hAnsi="Arial" w:cs="Arial"/>
          <w:sz w:val="28"/>
          <w:szCs w:val="28"/>
        </w:rPr>
        <w:t xml:space="preserve"> </w:t>
      </w:r>
      <w:r w:rsidR="008354C1">
        <w:rPr>
          <w:rFonts w:ascii="Arial" w:hAnsi="Arial" w:cs="Arial"/>
          <w:sz w:val="28"/>
          <w:szCs w:val="28"/>
          <w:u w:val="dotted"/>
        </w:rPr>
        <w:t xml:space="preserve">  </w:t>
      </w:r>
      <w:proofErr w:type="gramEnd"/>
      <w:r w:rsidR="008354C1">
        <w:rPr>
          <w:rFonts w:ascii="Arial" w:hAnsi="Arial" w:cs="Arial"/>
          <w:sz w:val="28"/>
          <w:szCs w:val="28"/>
          <w:u w:val="dotted"/>
        </w:rPr>
        <w:t xml:space="preserve">           </w:t>
      </w:r>
      <w:r w:rsidR="008354C1">
        <w:rPr>
          <w:rFonts w:ascii="Arial" w:hAnsi="Arial" w:cs="Arial"/>
          <w:sz w:val="28"/>
          <w:szCs w:val="28"/>
        </w:rPr>
        <w:t>6</w:t>
      </w:r>
    </w:p>
    <w:p w14:paraId="4A9DE561" w14:textId="5AC3CAE2" w:rsidR="00EF2D91" w:rsidRDefault="00EF2D91" w:rsidP="00C64F06">
      <w:pPr>
        <w:pStyle w:val="ListParagraph"/>
        <w:numPr>
          <w:ilvl w:val="0"/>
          <w:numId w:val="2"/>
        </w:numPr>
        <w:spacing w:line="360" w:lineRule="auto"/>
        <w:rPr>
          <w:rFonts w:ascii="Arial" w:hAnsi="Arial" w:cs="Arial"/>
          <w:sz w:val="28"/>
          <w:szCs w:val="28"/>
        </w:rPr>
      </w:pPr>
      <w:r w:rsidRPr="00EF2D91">
        <w:rPr>
          <w:rFonts w:ascii="Arial" w:hAnsi="Arial" w:cs="Arial"/>
          <w:sz w:val="28"/>
          <w:szCs w:val="28"/>
        </w:rPr>
        <w:t xml:space="preserve"> Role of Departmental Managers in Implementation</w:t>
      </w:r>
      <w:r>
        <w:rPr>
          <w:rFonts w:ascii="Arial" w:hAnsi="Arial" w:cs="Arial"/>
          <w:sz w:val="28"/>
          <w:szCs w:val="28"/>
        </w:rPr>
        <w:t xml:space="preserve"> </w:t>
      </w:r>
      <w:r>
        <w:rPr>
          <w:rFonts w:ascii="Arial" w:hAnsi="Arial" w:cs="Arial"/>
          <w:sz w:val="28"/>
          <w:szCs w:val="28"/>
          <w:u w:val="dotted"/>
        </w:rPr>
        <w:t xml:space="preserve">           </w:t>
      </w:r>
      <w:r w:rsidR="008354C1">
        <w:rPr>
          <w:rFonts w:ascii="Arial" w:hAnsi="Arial" w:cs="Arial"/>
          <w:sz w:val="28"/>
          <w:szCs w:val="28"/>
        </w:rPr>
        <w:t>7</w:t>
      </w:r>
    </w:p>
    <w:p w14:paraId="3D01424C" w14:textId="72E0E52E" w:rsidR="00EF2D91" w:rsidRPr="00EF2D91" w:rsidRDefault="00EF2D91" w:rsidP="00C64F06">
      <w:pPr>
        <w:spacing w:line="360" w:lineRule="auto"/>
        <w:rPr>
          <w:rFonts w:ascii="Arial" w:hAnsi="Arial" w:cs="Arial"/>
          <w:sz w:val="28"/>
          <w:szCs w:val="28"/>
        </w:rPr>
      </w:pPr>
      <w:r w:rsidRPr="00EF2D91">
        <w:rPr>
          <w:rFonts w:ascii="Arial" w:hAnsi="Arial" w:cs="Arial"/>
          <w:sz w:val="28"/>
          <w:szCs w:val="28"/>
        </w:rPr>
        <w:t xml:space="preserve"> </w:t>
      </w:r>
      <w:r w:rsidRPr="00EF2D91">
        <w:rPr>
          <w:rFonts w:ascii="Arial" w:hAnsi="Arial" w:cs="Arial"/>
          <w:b/>
          <w:bCs/>
          <w:sz w:val="28"/>
          <w:szCs w:val="28"/>
        </w:rPr>
        <w:t>Conclusion and Recommendations</w:t>
      </w:r>
      <w:r>
        <w:rPr>
          <w:rFonts w:ascii="Arial" w:hAnsi="Arial" w:cs="Arial"/>
          <w:b/>
          <w:bCs/>
          <w:sz w:val="28"/>
          <w:szCs w:val="28"/>
        </w:rPr>
        <w:t xml:space="preserve"> </w:t>
      </w:r>
      <w:r>
        <w:rPr>
          <w:rFonts w:ascii="Arial" w:hAnsi="Arial" w:cs="Arial"/>
          <w:b/>
          <w:bCs/>
          <w:sz w:val="28"/>
          <w:szCs w:val="28"/>
          <w:u w:val="dotted"/>
        </w:rPr>
        <w:t xml:space="preserve">                                              </w:t>
      </w:r>
      <w:r w:rsidR="008354C1">
        <w:rPr>
          <w:rFonts w:ascii="Arial" w:hAnsi="Arial" w:cs="Arial"/>
          <w:b/>
          <w:bCs/>
          <w:sz w:val="28"/>
          <w:szCs w:val="28"/>
        </w:rPr>
        <w:t>9</w:t>
      </w:r>
    </w:p>
    <w:p w14:paraId="4A935A43" w14:textId="7E813BE1" w:rsidR="00EF2D91" w:rsidRDefault="00EF2D91" w:rsidP="00C64F06">
      <w:pPr>
        <w:spacing w:line="360" w:lineRule="auto"/>
        <w:rPr>
          <w:rFonts w:ascii="Arial" w:hAnsi="Arial" w:cs="Arial"/>
          <w:b/>
          <w:bCs/>
          <w:sz w:val="28"/>
          <w:szCs w:val="28"/>
        </w:rPr>
      </w:pPr>
      <w:r w:rsidRPr="00EF2D91">
        <w:rPr>
          <w:rFonts w:ascii="Arial" w:hAnsi="Arial" w:cs="Arial"/>
          <w:b/>
          <w:bCs/>
          <w:sz w:val="28"/>
          <w:szCs w:val="28"/>
        </w:rPr>
        <w:t xml:space="preserve"> Reference List</w:t>
      </w:r>
      <w:r>
        <w:rPr>
          <w:rFonts w:ascii="Arial" w:hAnsi="Arial" w:cs="Arial"/>
          <w:b/>
          <w:bCs/>
          <w:sz w:val="28"/>
          <w:szCs w:val="28"/>
        </w:rPr>
        <w:t xml:space="preserve"> </w:t>
      </w:r>
      <w:r>
        <w:rPr>
          <w:rFonts w:ascii="Arial" w:hAnsi="Arial" w:cs="Arial"/>
          <w:b/>
          <w:bCs/>
          <w:sz w:val="28"/>
          <w:szCs w:val="28"/>
          <w:u w:val="dotted"/>
        </w:rPr>
        <w:t xml:space="preserve">                                                                                  </w:t>
      </w:r>
      <w:r w:rsidR="008354C1">
        <w:rPr>
          <w:rFonts w:ascii="Arial" w:hAnsi="Arial" w:cs="Arial"/>
          <w:b/>
          <w:bCs/>
          <w:sz w:val="28"/>
          <w:szCs w:val="28"/>
        </w:rPr>
        <w:t>10</w:t>
      </w:r>
    </w:p>
    <w:p w14:paraId="4DD6D76B" w14:textId="77777777" w:rsidR="00EF2D91" w:rsidRDefault="00EF2D91" w:rsidP="00EF2D91">
      <w:pPr>
        <w:spacing w:line="360" w:lineRule="auto"/>
        <w:rPr>
          <w:rFonts w:ascii="Arial" w:hAnsi="Arial" w:cs="Arial"/>
          <w:b/>
          <w:bCs/>
          <w:sz w:val="28"/>
          <w:szCs w:val="28"/>
        </w:rPr>
      </w:pPr>
    </w:p>
    <w:p w14:paraId="627956D4" w14:textId="77777777" w:rsidR="00EF2D91" w:rsidRDefault="00EF2D91" w:rsidP="00EF2D91">
      <w:pPr>
        <w:spacing w:line="360" w:lineRule="auto"/>
        <w:rPr>
          <w:rFonts w:ascii="Arial" w:hAnsi="Arial" w:cs="Arial"/>
          <w:b/>
          <w:bCs/>
          <w:sz w:val="28"/>
          <w:szCs w:val="28"/>
        </w:rPr>
      </w:pPr>
    </w:p>
    <w:p w14:paraId="2DB87FC5" w14:textId="77777777" w:rsidR="00EF2D91" w:rsidRDefault="00EF2D91" w:rsidP="00EF2D91">
      <w:pPr>
        <w:spacing w:line="360" w:lineRule="auto"/>
        <w:rPr>
          <w:rFonts w:ascii="Arial" w:hAnsi="Arial" w:cs="Arial"/>
          <w:b/>
          <w:bCs/>
          <w:sz w:val="28"/>
          <w:szCs w:val="28"/>
        </w:rPr>
      </w:pPr>
    </w:p>
    <w:p w14:paraId="1DB89E4C" w14:textId="77777777" w:rsidR="00EF2D91" w:rsidRDefault="00EF2D91" w:rsidP="00EF2D91">
      <w:pPr>
        <w:spacing w:line="360" w:lineRule="auto"/>
        <w:rPr>
          <w:rFonts w:ascii="Arial" w:hAnsi="Arial" w:cs="Arial"/>
          <w:b/>
          <w:bCs/>
          <w:sz w:val="28"/>
          <w:szCs w:val="28"/>
        </w:rPr>
      </w:pPr>
    </w:p>
    <w:p w14:paraId="0A812A6B" w14:textId="77777777" w:rsidR="00EF2D91" w:rsidRDefault="00EF2D91" w:rsidP="00EF2D91">
      <w:pPr>
        <w:spacing w:line="360" w:lineRule="auto"/>
        <w:rPr>
          <w:rFonts w:ascii="Arial" w:hAnsi="Arial" w:cs="Arial"/>
          <w:b/>
          <w:bCs/>
          <w:sz w:val="28"/>
          <w:szCs w:val="28"/>
        </w:rPr>
      </w:pPr>
    </w:p>
    <w:p w14:paraId="2A76C727" w14:textId="77777777" w:rsidR="00EF2D91" w:rsidRDefault="00EF2D91" w:rsidP="00EF2D91">
      <w:pPr>
        <w:spacing w:line="360" w:lineRule="auto"/>
        <w:rPr>
          <w:rFonts w:ascii="Arial" w:hAnsi="Arial" w:cs="Arial"/>
          <w:b/>
          <w:bCs/>
          <w:sz w:val="28"/>
          <w:szCs w:val="28"/>
        </w:rPr>
      </w:pPr>
    </w:p>
    <w:p w14:paraId="677165C4" w14:textId="77777777" w:rsidR="00EF2D91" w:rsidRDefault="00EF2D91" w:rsidP="00EF2D91">
      <w:pPr>
        <w:spacing w:line="360" w:lineRule="auto"/>
        <w:rPr>
          <w:rFonts w:ascii="Arial" w:hAnsi="Arial" w:cs="Arial"/>
          <w:b/>
          <w:bCs/>
          <w:sz w:val="28"/>
          <w:szCs w:val="28"/>
        </w:rPr>
      </w:pPr>
    </w:p>
    <w:p w14:paraId="21F7F83D" w14:textId="77777777" w:rsidR="00C64F06" w:rsidRDefault="00C64F06" w:rsidP="00EF2D91">
      <w:pPr>
        <w:spacing w:line="360" w:lineRule="auto"/>
        <w:rPr>
          <w:rFonts w:ascii="Arial" w:hAnsi="Arial" w:cs="Arial"/>
          <w:b/>
          <w:bCs/>
          <w:sz w:val="28"/>
          <w:szCs w:val="28"/>
        </w:rPr>
      </w:pPr>
    </w:p>
    <w:p w14:paraId="0ABBFF6B" w14:textId="7B94D460" w:rsidR="00EF2D91" w:rsidRDefault="00EF2D91" w:rsidP="00221AD8">
      <w:pPr>
        <w:spacing w:line="360" w:lineRule="auto"/>
        <w:rPr>
          <w:rFonts w:ascii="Arial" w:hAnsi="Arial" w:cs="Arial"/>
        </w:rPr>
      </w:pPr>
      <w:r>
        <w:rPr>
          <w:rFonts w:ascii="Arial" w:hAnsi="Arial" w:cs="Arial"/>
          <w:b/>
          <w:bCs/>
          <w:sz w:val="28"/>
          <w:szCs w:val="28"/>
        </w:rPr>
        <w:lastRenderedPageBreak/>
        <w:t xml:space="preserve">Introduction: </w:t>
      </w:r>
      <w:r w:rsidR="00221AD8" w:rsidRPr="00221AD8">
        <w:rPr>
          <w:rFonts w:ascii="Arial" w:hAnsi="Arial" w:cs="Arial"/>
        </w:rPr>
        <w:t>Organizational performance depends heavily on human resource management (HRM), especially in a corporate environment that is changing quickly. Businesses in the UK, like Tesco PLC, are under growing pressure to develop inclusive workplaces, draw and keep talent, and adjust to technology changes. Tesco, one of the biggest retailers in the UK, works in a dynamic and fiercely competitive industry where HR procedures must support both worker welfare and operational effectiveness.</w:t>
      </w:r>
    </w:p>
    <w:p w14:paraId="72F4A5DE" w14:textId="079BA6B3" w:rsidR="00221AD8" w:rsidRDefault="00221AD8" w:rsidP="00221AD8">
      <w:pPr>
        <w:spacing w:line="360" w:lineRule="auto"/>
        <w:rPr>
          <w:rFonts w:ascii="Arial" w:hAnsi="Arial" w:cs="Arial"/>
        </w:rPr>
      </w:pPr>
      <w:r w:rsidRPr="00221AD8">
        <w:rPr>
          <w:rFonts w:ascii="Arial" w:hAnsi="Arial" w:cs="Arial"/>
        </w:rPr>
        <w:t xml:space="preserve">Globalization, digital revolution, and changing social expectations all have an impact on modern workers. To be competitive, HR departments need to react to these changes in a proactive manner. The way </w:t>
      </w:r>
      <w:r w:rsidRPr="00221AD8">
        <w:rPr>
          <w:rFonts w:ascii="Arial" w:hAnsi="Arial" w:cs="Arial"/>
        </w:rPr>
        <w:t>business’s</w:t>
      </w:r>
      <w:r w:rsidRPr="00221AD8">
        <w:rPr>
          <w:rFonts w:ascii="Arial" w:hAnsi="Arial" w:cs="Arial"/>
        </w:rPr>
        <w:t xml:space="preserve"> function has changed due to technological advancements, necessitating ongoing skill updates for staff members. At the same time, </w:t>
      </w:r>
      <w:r w:rsidRPr="00221AD8">
        <w:rPr>
          <w:rFonts w:ascii="Arial" w:hAnsi="Arial" w:cs="Arial"/>
        </w:rPr>
        <w:t>labour</w:t>
      </w:r>
      <w:r w:rsidRPr="00221AD8">
        <w:rPr>
          <w:rFonts w:ascii="Arial" w:hAnsi="Arial" w:cs="Arial"/>
        </w:rPr>
        <w:t xml:space="preserve"> shortages, shifting employee expectations, and heightened competition have made it harder to find and retain talent. Furthermore, Diversity, Equity, and Inclusion (DEI) has emerged as a strategic focus for improving organizational performance and innovation in addition to ethical considerations.</w:t>
      </w:r>
    </w:p>
    <w:p w14:paraId="159E6DF5" w14:textId="5388EEFE" w:rsidR="00221AD8" w:rsidRDefault="00221AD8" w:rsidP="00221AD8">
      <w:pPr>
        <w:spacing w:line="360" w:lineRule="auto"/>
        <w:rPr>
          <w:rFonts w:ascii="Arial" w:hAnsi="Arial" w:cs="Arial"/>
        </w:rPr>
      </w:pPr>
      <w:r w:rsidRPr="00221AD8">
        <w:rPr>
          <w:rFonts w:ascii="Arial" w:hAnsi="Arial" w:cs="Arial"/>
        </w:rPr>
        <w:t>This report aims to examine the key HR challenges faced by Tesco in relation to technological change, talent management, and DEI. It will evaluate contemporary HR practices designed to address these challenges and critically assess the role of departmental managers in ensuring their effective implementation. The report concludes with practical recommendations for improving HR strategies within the organisation.</w:t>
      </w:r>
    </w:p>
    <w:p w14:paraId="44B6C60F" w14:textId="78DB0C38" w:rsidR="00221AD8" w:rsidRDefault="00221AD8" w:rsidP="008E5B85">
      <w:pPr>
        <w:spacing w:line="360" w:lineRule="auto"/>
        <w:rPr>
          <w:rFonts w:ascii="Arial" w:hAnsi="Arial" w:cs="Arial"/>
          <w:b/>
          <w:bCs/>
          <w:sz w:val="28"/>
          <w:szCs w:val="28"/>
        </w:rPr>
      </w:pPr>
      <w:r w:rsidRPr="00221AD8">
        <w:rPr>
          <w:rFonts w:ascii="Arial" w:hAnsi="Arial" w:cs="Arial"/>
          <w:b/>
          <w:bCs/>
          <w:sz w:val="28"/>
          <w:szCs w:val="28"/>
        </w:rPr>
        <w:t>Main Body</w:t>
      </w:r>
      <w:r>
        <w:rPr>
          <w:rFonts w:ascii="Arial" w:hAnsi="Arial" w:cs="Arial"/>
          <w:b/>
          <w:bCs/>
          <w:sz w:val="28"/>
          <w:szCs w:val="28"/>
        </w:rPr>
        <w:t>: 1</w:t>
      </w:r>
      <w:r w:rsidRPr="00221AD8">
        <w:rPr>
          <w:rFonts w:ascii="Arial" w:hAnsi="Arial" w:cs="Arial"/>
          <w:b/>
          <w:bCs/>
          <w:sz w:val="28"/>
          <w:szCs w:val="28"/>
        </w:rPr>
        <w:t>. Factors Affecting HR Practices</w:t>
      </w:r>
    </w:p>
    <w:p w14:paraId="5DDCDCAA" w14:textId="77777777" w:rsidR="008E5B85" w:rsidRDefault="00221AD8" w:rsidP="008E5B85">
      <w:pPr>
        <w:pStyle w:val="ListParagraph"/>
        <w:numPr>
          <w:ilvl w:val="1"/>
          <w:numId w:val="3"/>
        </w:numPr>
        <w:spacing w:line="360" w:lineRule="auto"/>
        <w:rPr>
          <w:rFonts w:ascii="Arial" w:hAnsi="Arial" w:cs="Arial"/>
        </w:rPr>
      </w:pPr>
      <w:r w:rsidRPr="00C64F06">
        <w:rPr>
          <w:rFonts w:ascii="Arial" w:hAnsi="Arial" w:cs="Arial"/>
          <w:b/>
          <w:bCs/>
        </w:rPr>
        <w:t>Technological Advancement</w:t>
      </w:r>
      <w:r w:rsidRPr="00C64F06">
        <w:rPr>
          <w:rFonts w:ascii="Arial" w:hAnsi="Arial" w:cs="Arial"/>
          <w:b/>
          <w:bCs/>
        </w:rPr>
        <w:t xml:space="preserve">: </w:t>
      </w:r>
      <w:r w:rsidRPr="008E5B85">
        <w:rPr>
          <w:rFonts w:ascii="Arial" w:hAnsi="Arial" w:cs="Arial"/>
        </w:rPr>
        <w:t>Technological</w:t>
      </w:r>
      <w:r w:rsidRPr="008E5B85">
        <w:rPr>
          <w:rFonts w:ascii="Arial" w:hAnsi="Arial" w:cs="Arial"/>
        </w:rPr>
        <w:t xml:space="preserve"> advancement is a major factor </w:t>
      </w:r>
    </w:p>
    <w:p w14:paraId="3648C99B" w14:textId="6E76C7D3" w:rsidR="00221AD8" w:rsidRPr="008E5B85" w:rsidRDefault="00221AD8" w:rsidP="008E5B85">
      <w:pPr>
        <w:spacing w:line="360" w:lineRule="auto"/>
        <w:rPr>
          <w:rFonts w:ascii="Arial" w:hAnsi="Arial" w:cs="Arial"/>
        </w:rPr>
      </w:pPr>
      <w:r w:rsidRPr="008E5B85">
        <w:rPr>
          <w:rFonts w:ascii="Arial" w:hAnsi="Arial" w:cs="Arial"/>
        </w:rPr>
        <w:t>influencing HR practices in Tesco.</w:t>
      </w:r>
      <w:r w:rsidRPr="008E5B85">
        <w:rPr>
          <w:rFonts w:ascii="Arial" w:hAnsi="Arial" w:cs="Arial"/>
        </w:rPr>
        <w:t xml:space="preserve"> </w:t>
      </w:r>
      <w:r w:rsidRPr="008E5B85">
        <w:rPr>
          <w:rFonts w:ascii="Arial" w:hAnsi="Arial" w:cs="Arial"/>
        </w:rPr>
        <w:t xml:space="preserve">Retail operations, including supply chain management, customer service, and inventory control, have changed </w:t>
      </w:r>
      <w:r w:rsidRPr="008E5B85">
        <w:rPr>
          <w:rFonts w:ascii="Arial" w:hAnsi="Arial" w:cs="Arial"/>
        </w:rPr>
        <w:t>because of</w:t>
      </w:r>
      <w:r w:rsidRPr="008E5B85">
        <w:rPr>
          <w:rFonts w:ascii="Arial" w:hAnsi="Arial" w:cs="Arial"/>
        </w:rPr>
        <w:t xml:space="preserve"> automation, artificial intelligence (AI), and digital platforms. Tesco has made significant investments in digital transformation, including self-service checkout kiosks and online shopping platforms.</w:t>
      </w:r>
    </w:p>
    <w:p w14:paraId="0581E3F7" w14:textId="323F414E" w:rsidR="008E5B85" w:rsidRDefault="008E5B85" w:rsidP="008E5B85">
      <w:pPr>
        <w:spacing w:line="360" w:lineRule="auto"/>
        <w:rPr>
          <w:rFonts w:ascii="Arial" w:hAnsi="Arial" w:cs="Arial"/>
        </w:rPr>
      </w:pPr>
      <w:r w:rsidRPr="008E5B85">
        <w:rPr>
          <w:rFonts w:ascii="Arial" w:hAnsi="Arial" w:cs="Arial"/>
        </w:rPr>
        <w:t xml:space="preserve">However, HR faces difficulties </w:t>
      </w:r>
      <w:r w:rsidRPr="008E5B85">
        <w:rPr>
          <w:rFonts w:ascii="Arial" w:hAnsi="Arial" w:cs="Arial"/>
        </w:rPr>
        <w:t>because of</w:t>
      </w:r>
      <w:r w:rsidRPr="008E5B85">
        <w:rPr>
          <w:rFonts w:ascii="Arial" w:hAnsi="Arial" w:cs="Arial"/>
        </w:rPr>
        <w:t xml:space="preserve"> this quick technical advancement. </w:t>
      </w:r>
      <w:r w:rsidRPr="008E5B85">
        <w:rPr>
          <w:rFonts w:ascii="Arial" w:hAnsi="Arial" w:cs="Arial"/>
        </w:rPr>
        <w:t>To</w:t>
      </w:r>
      <w:r w:rsidRPr="008E5B85">
        <w:rPr>
          <w:rFonts w:ascii="Arial" w:hAnsi="Arial" w:cs="Arial"/>
        </w:rPr>
        <w:t xml:space="preserve"> stay up to date with digital tools, employees must constantly acquire new abilities, which raises the need for training and development. Organizations must prioritize upskilling </w:t>
      </w:r>
      <w:r w:rsidRPr="008E5B85">
        <w:rPr>
          <w:rFonts w:ascii="Arial" w:hAnsi="Arial" w:cs="Arial"/>
        </w:rPr>
        <w:t>to</w:t>
      </w:r>
      <w:r w:rsidRPr="008E5B85">
        <w:rPr>
          <w:rFonts w:ascii="Arial" w:hAnsi="Arial" w:cs="Arial"/>
        </w:rPr>
        <w:t xml:space="preserve"> be competitive, according to </w:t>
      </w:r>
      <w:r w:rsidR="00BB10D4" w:rsidRPr="00BB10D4">
        <w:rPr>
          <w:rFonts w:ascii="Arial" w:hAnsi="Arial" w:cs="Arial"/>
        </w:rPr>
        <w:t>(Beevers and Hayden, 2025)</w:t>
      </w:r>
      <w:r w:rsidR="00BB10D4">
        <w:rPr>
          <w:rFonts w:ascii="Arial" w:hAnsi="Arial" w:cs="Arial"/>
        </w:rPr>
        <w:t xml:space="preserve">. </w:t>
      </w:r>
      <w:r w:rsidRPr="008E5B85">
        <w:rPr>
          <w:rFonts w:ascii="Arial" w:hAnsi="Arial" w:cs="Arial"/>
        </w:rPr>
        <w:t>Change management is a major HR challenge since employee resistance to change can also impede the adoption of new technologies.</w:t>
      </w:r>
    </w:p>
    <w:p w14:paraId="3F5C3285" w14:textId="77777777" w:rsidR="00BB10D4" w:rsidRPr="00BB10D4" w:rsidRDefault="00BB10D4" w:rsidP="00BB10D4">
      <w:pPr>
        <w:spacing w:line="360" w:lineRule="auto"/>
        <w:rPr>
          <w:rFonts w:ascii="Arial" w:hAnsi="Arial" w:cs="Arial"/>
        </w:rPr>
      </w:pPr>
      <w:r w:rsidRPr="00BB10D4">
        <w:rPr>
          <w:rFonts w:ascii="Arial" w:hAnsi="Arial" w:cs="Arial"/>
        </w:rPr>
        <w:t>Artificial intelligence (AI) has increased productivity in HR procedures like staff planning and CV screening, but it also raises ethical questions about fairness and bias. HR must so make sure that AI systems are applied sensibly and openly.</w:t>
      </w:r>
    </w:p>
    <w:p w14:paraId="4F0AF7ED" w14:textId="77777777" w:rsidR="00BB10D4" w:rsidRPr="00BB10D4" w:rsidRDefault="00BB10D4" w:rsidP="00BB10D4">
      <w:pPr>
        <w:spacing w:line="360" w:lineRule="auto"/>
        <w:rPr>
          <w:rFonts w:ascii="Arial" w:hAnsi="Arial" w:cs="Arial"/>
        </w:rPr>
      </w:pPr>
    </w:p>
    <w:p w14:paraId="193A0FDD" w14:textId="6FC02CDB" w:rsidR="00BB10D4" w:rsidRPr="00BB10D4" w:rsidRDefault="00BB10D4" w:rsidP="00BB10D4">
      <w:pPr>
        <w:spacing w:line="360" w:lineRule="auto"/>
        <w:rPr>
          <w:rFonts w:ascii="Arial" w:hAnsi="Arial" w:cs="Arial"/>
        </w:rPr>
      </w:pPr>
      <w:r w:rsidRPr="00BB10D4">
        <w:rPr>
          <w:rFonts w:ascii="Arial" w:hAnsi="Arial" w:cs="Arial"/>
        </w:rPr>
        <w:t xml:space="preserve">Employee interactions and job performance have been further altered </w:t>
      </w:r>
      <w:r w:rsidRPr="00BB10D4">
        <w:rPr>
          <w:rFonts w:ascii="Arial" w:hAnsi="Arial" w:cs="Arial"/>
        </w:rPr>
        <w:t>using</w:t>
      </w:r>
      <w:r w:rsidRPr="00BB10D4">
        <w:rPr>
          <w:rFonts w:ascii="Arial" w:hAnsi="Arial" w:cs="Arial"/>
        </w:rPr>
        <w:t xml:space="preserve"> remote working technologies, such as digital communication and collaboration tools. </w:t>
      </w:r>
      <w:r w:rsidRPr="00BB10D4">
        <w:rPr>
          <w:rFonts w:ascii="Arial" w:hAnsi="Arial" w:cs="Arial"/>
        </w:rPr>
        <w:t>To</w:t>
      </w:r>
      <w:r w:rsidRPr="00BB10D4">
        <w:rPr>
          <w:rFonts w:ascii="Arial" w:hAnsi="Arial" w:cs="Arial"/>
        </w:rPr>
        <w:t xml:space="preserve"> retain engagement and productivity, HR must make sure that workers are properly taught to use new technologies.</w:t>
      </w:r>
    </w:p>
    <w:p w14:paraId="1F26A86B" w14:textId="39700C62" w:rsidR="00BB10D4" w:rsidRDefault="00BB10D4" w:rsidP="00BB10D4">
      <w:pPr>
        <w:spacing w:line="360" w:lineRule="auto"/>
        <w:rPr>
          <w:rFonts w:ascii="Arial" w:hAnsi="Arial" w:cs="Arial"/>
        </w:rPr>
      </w:pPr>
      <w:r w:rsidRPr="00BB10D4">
        <w:rPr>
          <w:rFonts w:ascii="Arial" w:hAnsi="Arial" w:cs="Arial"/>
        </w:rPr>
        <w:t xml:space="preserve">Furthermore, the significance of cybersecurity and data protection has increased due to the rising reliance on digital systems. </w:t>
      </w:r>
      <w:r w:rsidRPr="00BB10D4">
        <w:rPr>
          <w:rFonts w:ascii="Arial" w:hAnsi="Arial" w:cs="Arial"/>
        </w:rPr>
        <w:t>To</w:t>
      </w:r>
      <w:r w:rsidRPr="00BB10D4">
        <w:rPr>
          <w:rFonts w:ascii="Arial" w:hAnsi="Arial" w:cs="Arial"/>
        </w:rPr>
        <w:t xml:space="preserve"> lower organizational risk, HR </w:t>
      </w:r>
      <w:r w:rsidRPr="00BB10D4">
        <w:rPr>
          <w:rFonts w:ascii="Arial" w:hAnsi="Arial" w:cs="Arial"/>
        </w:rPr>
        <w:t>oversees</w:t>
      </w:r>
      <w:r w:rsidRPr="00BB10D4">
        <w:rPr>
          <w:rFonts w:ascii="Arial" w:hAnsi="Arial" w:cs="Arial"/>
        </w:rPr>
        <w:t xml:space="preserve"> making sure that workers are aware of data protection rules and adhere to laws like GDPR.</w:t>
      </w:r>
    </w:p>
    <w:p w14:paraId="074C73E0" w14:textId="6FEFFD6E" w:rsidR="008E5B85" w:rsidRPr="00BB10D4" w:rsidRDefault="00BB10D4" w:rsidP="008E5B85">
      <w:pPr>
        <w:spacing w:line="360" w:lineRule="auto"/>
        <w:rPr>
          <w:rFonts w:ascii="Arial" w:hAnsi="Arial" w:cs="Arial"/>
        </w:rPr>
      </w:pPr>
      <w:r w:rsidRPr="00BB10D4">
        <w:rPr>
          <w:rFonts w:ascii="Arial" w:hAnsi="Arial" w:cs="Arial"/>
        </w:rPr>
        <w:t>Another important development is the use of digital performance management systems, which allow real-time monitoring of employee performance. While these systems enhance efficiency and accountability, they may also create pressure and concerns about employee surveillance.</w:t>
      </w:r>
    </w:p>
    <w:p w14:paraId="7D956E9E" w14:textId="77777777" w:rsidR="00BB10D4" w:rsidRPr="00BB10D4" w:rsidRDefault="008E5B85" w:rsidP="00BB10D4">
      <w:pPr>
        <w:pStyle w:val="ListParagraph"/>
        <w:numPr>
          <w:ilvl w:val="1"/>
          <w:numId w:val="3"/>
        </w:numPr>
        <w:spacing w:line="360" w:lineRule="auto"/>
        <w:rPr>
          <w:rFonts w:ascii="Arial" w:hAnsi="Arial" w:cs="Arial"/>
        </w:rPr>
      </w:pPr>
      <w:r w:rsidRPr="00C64F06">
        <w:rPr>
          <w:rFonts w:ascii="Arial" w:hAnsi="Arial" w:cs="Arial"/>
          <w:b/>
          <w:bCs/>
        </w:rPr>
        <w:t>Talent Acquisition and Retention</w:t>
      </w:r>
      <w:r w:rsidRPr="00C64F06">
        <w:rPr>
          <w:rFonts w:ascii="Arial" w:hAnsi="Arial" w:cs="Arial"/>
          <w:b/>
          <w:bCs/>
        </w:rPr>
        <w:t xml:space="preserve">: </w:t>
      </w:r>
      <w:r w:rsidR="00BB10D4" w:rsidRPr="00BB10D4">
        <w:rPr>
          <w:rFonts w:ascii="Arial" w:hAnsi="Arial" w:cs="Arial"/>
        </w:rPr>
        <w:t xml:space="preserve">Attracting and retaining skilled employees is </w:t>
      </w:r>
    </w:p>
    <w:p w14:paraId="23333CFC" w14:textId="0928CEE2" w:rsidR="00BB10D4" w:rsidRPr="00BB10D4" w:rsidRDefault="00BB10D4" w:rsidP="00BB10D4">
      <w:pPr>
        <w:spacing w:line="360" w:lineRule="auto"/>
        <w:rPr>
          <w:rFonts w:ascii="Arial" w:hAnsi="Arial" w:cs="Arial"/>
        </w:rPr>
      </w:pPr>
      <w:r w:rsidRPr="00BB10D4">
        <w:rPr>
          <w:rFonts w:ascii="Arial" w:hAnsi="Arial" w:cs="Arial"/>
        </w:rPr>
        <w:t>another significant challenge for Tesco. The retail sector is characterised by high levels of competition and employee turnover, particularly in frontline roles.</w:t>
      </w:r>
    </w:p>
    <w:p w14:paraId="7FB765F0" w14:textId="77777777" w:rsidR="00BB10D4" w:rsidRPr="00BB10D4" w:rsidRDefault="00BB10D4" w:rsidP="00BB10D4">
      <w:pPr>
        <w:spacing w:line="360" w:lineRule="auto"/>
        <w:rPr>
          <w:rFonts w:ascii="Arial" w:hAnsi="Arial" w:cs="Arial"/>
        </w:rPr>
      </w:pPr>
      <w:r w:rsidRPr="00BB10D4">
        <w:rPr>
          <w:rFonts w:ascii="Arial" w:hAnsi="Arial" w:cs="Arial"/>
        </w:rPr>
        <w:t>One major issue is the presence of skills shortages in the UK labour market, particularly in areas such as technology and logistics. This makes it difficult for Tesco to recruit qualified candidates, increasing competition and recruitment costs.</w:t>
      </w:r>
    </w:p>
    <w:p w14:paraId="39CE9296" w14:textId="77777777" w:rsidR="00BB10D4" w:rsidRPr="00BB10D4" w:rsidRDefault="00BB10D4" w:rsidP="00BB10D4">
      <w:pPr>
        <w:spacing w:line="360" w:lineRule="auto"/>
        <w:rPr>
          <w:rFonts w:ascii="Arial" w:hAnsi="Arial" w:cs="Arial"/>
        </w:rPr>
      </w:pPr>
      <w:r w:rsidRPr="00BB10D4">
        <w:rPr>
          <w:rFonts w:ascii="Arial" w:hAnsi="Arial" w:cs="Arial"/>
        </w:rPr>
        <w:t>Additionally, changing employee expectations have transformed the employment relationship. Modern employees increasingly prioritise work-life balance, career development, and meaningful work over traditional job security. As a result, Tesco must adapt its HR strategies to meet these expectations by offering flexible working arrangements and development opportunities.</w:t>
      </w:r>
    </w:p>
    <w:p w14:paraId="44DA5BA2" w14:textId="77777777" w:rsidR="00BB10D4" w:rsidRPr="00BB10D4" w:rsidRDefault="00BB10D4" w:rsidP="00BB10D4">
      <w:pPr>
        <w:spacing w:line="360" w:lineRule="auto"/>
        <w:rPr>
          <w:rFonts w:ascii="Arial" w:hAnsi="Arial" w:cs="Arial"/>
        </w:rPr>
      </w:pPr>
      <w:r w:rsidRPr="00BB10D4">
        <w:rPr>
          <w:rFonts w:ascii="Arial" w:hAnsi="Arial" w:cs="Arial"/>
        </w:rPr>
        <w:t>The issue of high employee turnover in retail further complicates talent management. Frequent staff turnover leads to increased recruitment and training costs, as well as disruptions to operations and customer service.</w:t>
      </w:r>
    </w:p>
    <w:p w14:paraId="07FA3936" w14:textId="77777777" w:rsidR="00BB10D4" w:rsidRPr="00BB10D4" w:rsidRDefault="00BB10D4" w:rsidP="00BB10D4">
      <w:pPr>
        <w:spacing w:line="360" w:lineRule="auto"/>
        <w:rPr>
          <w:rFonts w:ascii="Arial" w:hAnsi="Arial" w:cs="Arial"/>
        </w:rPr>
      </w:pPr>
      <w:r w:rsidRPr="00BB10D4">
        <w:rPr>
          <w:rFonts w:ascii="Arial" w:hAnsi="Arial" w:cs="Arial"/>
        </w:rPr>
        <w:t>Moreover, the impact of employer reputation plays a critical role in attracting talent. Online platforms such as Glassdoor influence how potential employees perceive organisations. Negative reviews or poor employer branding can make it difficult for Tesco to attract high-quality candidates, requiring HR to actively manage its public image.</w:t>
      </w:r>
    </w:p>
    <w:p w14:paraId="25717A8D" w14:textId="0B43CAAE" w:rsidR="00BB10D4" w:rsidRPr="00BB10D4" w:rsidRDefault="00BB10D4" w:rsidP="00BB10D4">
      <w:pPr>
        <w:spacing w:line="360" w:lineRule="auto"/>
        <w:rPr>
          <w:rFonts w:ascii="Arial" w:hAnsi="Arial" w:cs="Arial"/>
        </w:rPr>
      </w:pPr>
      <w:r w:rsidRPr="00BB10D4">
        <w:rPr>
          <w:rFonts w:ascii="Arial" w:hAnsi="Arial" w:cs="Arial"/>
        </w:rPr>
        <w:t xml:space="preserve">Another challenge is managing generational differences within the workforce. Different age groups, such as Millennials and Generation Z, have varying expectations regarding </w:t>
      </w:r>
      <w:r w:rsidRPr="00BB10D4">
        <w:rPr>
          <w:rFonts w:ascii="Arial" w:hAnsi="Arial" w:cs="Arial"/>
        </w:rPr>
        <w:lastRenderedPageBreak/>
        <w:t xml:space="preserve">technology use, career progression, and workplace culture. HR must develop tailored strategies to meet these diverse needs </w:t>
      </w:r>
      <w:r w:rsidRPr="00BB10D4">
        <w:rPr>
          <w:rFonts w:ascii="Arial" w:hAnsi="Arial" w:cs="Arial"/>
        </w:rPr>
        <w:t>to</w:t>
      </w:r>
      <w:r w:rsidRPr="00BB10D4">
        <w:rPr>
          <w:rFonts w:ascii="Arial" w:hAnsi="Arial" w:cs="Arial"/>
        </w:rPr>
        <w:t xml:space="preserve"> retain employees effectively.</w:t>
      </w:r>
    </w:p>
    <w:p w14:paraId="0D7733F7" w14:textId="77777777" w:rsidR="00BB10D4" w:rsidRPr="00BB10D4" w:rsidRDefault="00BB10D4" w:rsidP="00BB10D4">
      <w:pPr>
        <w:spacing w:line="360" w:lineRule="auto"/>
        <w:rPr>
          <w:rFonts w:ascii="Arial" w:hAnsi="Arial" w:cs="Arial"/>
        </w:rPr>
      </w:pPr>
      <w:r w:rsidRPr="00BB10D4">
        <w:rPr>
          <w:rFonts w:ascii="Arial" w:hAnsi="Arial" w:cs="Arial"/>
        </w:rPr>
        <w:t>Overall, talent acquisition and retention require a strategic approach that balances organisational needs with evolving employee expectations.</w:t>
      </w:r>
    </w:p>
    <w:p w14:paraId="19F268A2" w14:textId="31113BCF" w:rsidR="008E5B85" w:rsidRPr="00BB10D4" w:rsidRDefault="008E5B85" w:rsidP="00BB10D4">
      <w:pPr>
        <w:spacing w:line="360" w:lineRule="auto"/>
        <w:rPr>
          <w:rFonts w:ascii="Arial" w:hAnsi="Arial" w:cs="Arial"/>
        </w:rPr>
      </w:pPr>
      <w:r w:rsidRPr="00BB10D4">
        <w:rPr>
          <w:rFonts w:ascii="Arial" w:hAnsi="Arial" w:cs="Arial"/>
          <w:b/>
          <w:bCs/>
        </w:rPr>
        <w:t xml:space="preserve">1.3 </w:t>
      </w:r>
      <w:r w:rsidRPr="00BB10D4">
        <w:rPr>
          <w:rFonts w:ascii="Arial" w:hAnsi="Arial" w:cs="Arial"/>
          <w:b/>
          <w:bCs/>
        </w:rPr>
        <w:t>Diversity, Equity and Inclusion (DEI)</w:t>
      </w:r>
      <w:r w:rsidRPr="00BB10D4">
        <w:rPr>
          <w:rFonts w:ascii="Arial" w:hAnsi="Arial" w:cs="Arial"/>
          <w:b/>
          <w:bCs/>
        </w:rPr>
        <w:t xml:space="preserve">: </w:t>
      </w:r>
      <w:r w:rsidRPr="00BB10D4">
        <w:rPr>
          <w:rFonts w:ascii="Arial" w:hAnsi="Arial" w:cs="Arial"/>
        </w:rPr>
        <w:t>DEI has become a critical focus for HR departments. Tesco serves a diverse customer base and employs individuals from various cultural and social backgrounds. Promoting inclusivity ensures that employees feel valued and respected, which can enhance engagement and performance.</w:t>
      </w:r>
      <w:r w:rsidRPr="00BB10D4">
        <w:rPr>
          <w:rFonts w:ascii="Arial" w:hAnsi="Arial" w:cs="Arial"/>
        </w:rPr>
        <w:t xml:space="preserve"> </w:t>
      </w:r>
    </w:p>
    <w:p w14:paraId="318EBCB0" w14:textId="41D1FD96" w:rsidR="008E5B85" w:rsidRDefault="008E5B85" w:rsidP="008E5B85">
      <w:pPr>
        <w:spacing w:line="360" w:lineRule="auto"/>
        <w:rPr>
          <w:rFonts w:ascii="Arial" w:hAnsi="Arial" w:cs="Arial"/>
        </w:rPr>
      </w:pPr>
      <w:r w:rsidRPr="008E5B85">
        <w:rPr>
          <w:rFonts w:ascii="Arial" w:hAnsi="Arial" w:cs="Arial"/>
        </w:rPr>
        <w:t>True diversity and inclusion are difficult to achieve, though. It necessitates promoting an inclusive culture, guaranteeing equitable opportunities, and tackling unconscious bias. Brewster et al. (2020) claim that companies that prioritise DEI are more creative and better equipped to satisfy client demands. As a result, Tesco needs to include DEI into its HR procedures and policies.</w:t>
      </w:r>
    </w:p>
    <w:p w14:paraId="2B52571C" w14:textId="00607655" w:rsidR="008E5B85" w:rsidRDefault="008E5B85" w:rsidP="008E5B85">
      <w:pPr>
        <w:spacing w:line="360" w:lineRule="auto"/>
        <w:rPr>
          <w:rFonts w:ascii="Arial" w:hAnsi="Arial" w:cs="Arial"/>
        </w:rPr>
      </w:pPr>
      <w:r w:rsidRPr="008E5B85">
        <w:rPr>
          <w:rFonts w:ascii="Arial" w:hAnsi="Arial" w:cs="Arial"/>
          <w:b/>
          <w:bCs/>
          <w:sz w:val="28"/>
          <w:szCs w:val="28"/>
        </w:rPr>
        <w:t xml:space="preserve">2. </w:t>
      </w:r>
      <w:r w:rsidRPr="008E5B85">
        <w:rPr>
          <w:rFonts w:ascii="Arial" w:hAnsi="Arial" w:cs="Arial"/>
          <w:b/>
          <w:bCs/>
          <w:sz w:val="28"/>
          <w:szCs w:val="28"/>
        </w:rPr>
        <w:t>Contemporary HR Practices</w:t>
      </w:r>
      <w:r>
        <w:rPr>
          <w:rFonts w:ascii="Arial" w:hAnsi="Arial" w:cs="Arial"/>
          <w:b/>
          <w:bCs/>
          <w:sz w:val="28"/>
          <w:szCs w:val="28"/>
        </w:rPr>
        <w:t xml:space="preserve">: </w:t>
      </w:r>
      <w:r w:rsidRPr="008E5B85">
        <w:rPr>
          <w:rFonts w:ascii="Arial" w:hAnsi="Arial" w:cs="Arial"/>
        </w:rPr>
        <w:t>To address these challenges, Tesco can adopt several contemporary HR practices.</w:t>
      </w:r>
    </w:p>
    <w:p w14:paraId="0A397504" w14:textId="61DF9275" w:rsidR="00263F55" w:rsidRPr="00263F55" w:rsidRDefault="00263F55" w:rsidP="00263F55">
      <w:pPr>
        <w:spacing w:line="360" w:lineRule="auto"/>
        <w:rPr>
          <w:rFonts w:ascii="Arial" w:hAnsi="Arial" w:cs="Arial"/>
          <w:b/>
          <w:bCs/>
        </w:rPr>
      </w:pPr>
      <w:r>
        <w:rPr>
          <w:rFonts w:ascii="Arial" w:hAnsi="Arial" w:cs="Arial"/>
          <w:b/>
          <w:bCs/>
        </w:rPr>
        <w:t xml:space="preserve">2.1 </w:t>
      </w:r>
      <w:r w:rsidRPr="00263F55">
        <w:rPr>
          <w:rFonts w:ascii="Arial" w:hAnsi="Arial" w:cs="Arial"/>
          <w:b/>
          <w:bCs/>
        </w:rPr>
        <w:t>Addressing Technological Advancement</w:t>
      </w:r>
    </w:p>
    <w:p w14:paraId="594ACB88" w14:textId="1BBC36D4" w:rsidR="00263F55" w:rsidRPr="00C64F06" w:rsidRDefault="00263F55" w:rsidP="00263F55">
      <w:pPr>
        <w:spacing w:line="360" w:lineRule="auto"/>
        <w:rPr>
          <w:rFonts w:ascii="Arial" w:hAnsi="Arial" w:cs="Arial"/>
        </w:rPr>
      </w:pPr>
      <w:r w:rsidRPr="00C64F06">
        <w:rPr>
          <w:rFonts w:ascii="Arial" w:hAnsi="Arial" w:cs="Arial"/>
        </w:rPr>
        <w:t xml:space="preserve">One of the most </w:t>
      </w:r>
      <w:r w:rsidR="00C64F06">
        <w:rPr>
          <w:rFonts w:ascii="Arial" w:hAnsi="Arial" w:cs="Arial"/>
        </w:rPr>
        <w:t>important</w:t>
      </w:r>
      <w:r w:rsidRPr="00C64F06">
        <w:rPr>
          <w:rFonts w:ascii="Arial" w:hAnsi="Arial" w:cs="Arial"/>
        </w:rPr>
        <w:t xml:space="preserve"> HR practices in response to technological change is continuous learning and development (L&amp;D). Tesco has increasingly adopted digital learning platforms, enabling employees to upskill in areas such as data analytics, digital operations, and customer service technologies. E-learning systems and microlearning modules allow employees to learn flexibly, which is essential in a fast-paced retail environment.</w:t>
      </w:r>
    </w:p>
    <w:p w14:paraId="256EF946" w14:textId="77777777" w:rsidR="00263F55" w:rsidRPr="00C64F06" w:rsidRDefault="00263F55" w:rsidP="00263F55">
      <w:pPr>
        <w:spacing w:line="360" w:lineRule="auto"/>
        <w:rPr>
          <w:rFonts w:ascii="Arial" w:hAnsi="Arial" w:cs="Arial"/>
        </w:rPr>
      </w:pPr>
      <w:r w:rsidRPr="00C64F06">
        <w:rPr>
          <w:rFonts w:ascii="Arial" w:hAnsi="Arial" w:cs="Arial"/>
        </w:rPr>
        <w:t>Additionally, the adoption of Learning Management Systems (LMS) allows HR to personalise training programmes and monitor employee progress. According to Noe (2020), technology-driven training enhances learning efficiency and knowledge retention. However, while digital learning is cost-effective, it may not suit all employees, particularly those with limited digital literacy, highlighting a limitation of this approach.</w:t>
      </w:r>
    </w:p>
    <w:p w14:paraId="2D5DB63E" w14:textId="77777777" w:rsidR="00263F55" w:rsidRPr="00C64F06" w:rsidRDefault="00263F55" w:rsidP="00263F55">
      <w:pPr>
        <w:spacing w:line="360" w:lineRule="auto"/>
        <w:rPr>
          <w:rFonts w:ascii="Arial" w:hAnsi="Arial" w:cs="Arial"/>
        </w:rPr>
      </w:pPr>
      <w:r w:rsidRPr="00C64F06">
        <w:rPr>
          <w:rFonts w:ascii="Arial" w:hAnsi="Arial" w:cs="Arial"/>
        </w:rPr>
        <w:t>Another emerging practice is the use of HR analytics. Tesco can analyse workforce data to identify skill gaps, predict future training needs, and improve workforce planning. Marler and Boudreau (2017) argue that HR analytics transforms HR from a reactive to a proactive function. Nevertheless, over-reliance on data may overlook human factors such as employee morale and organisational culture.</w:t>
      </w:r>
    </w:p>
    <w:p w14:paraId="7F252AC2" w14:textId="77777777" w:rsidR="00263F55" w:rsidRPr="00C64F06" w:rsidRDefault="00263F55" w:rsidP="00263F55">
      <w:pPr>
        <w:spacing w:line="360" w:lineRule="auto"/>
        <w:rPr>
          <w:rFonts w:ascii="Arial" w:hAnsi="Arial" w:cs="Arial"/>
        </w:rPr>
      </w:pPr>
      <w:r w:rsidRPr="00C64F06">
        <w:rPr>
          <w:rFonts w:ascii="Arial" w:hAnsi="Arial" w:cs="Arial"/>
        </w:rPr>
        <w:t>Furthermore, agile working practices are increasingly used to support technological adaptation. Agile HR involves flexible roles, cross-functional teams, and rapid decision-</w:t>
      </w:r>
      <w:r w:rsidRPr="00C64F06">
        <w:rPr>
          <w:rFonts w:ascii="Arial" w:hAnsi="Arial" w:cs="Arial"/>
        </w:rPr>
        <w:lastRenderedPageBreak/>
        <w:t>making, enabling organisations to respond quickly to technological changes. However, implementing agile frameworks in large organisations like Tesco can be complex and may create role ambiguity.</w:t>
      </w:r>
    </w:p>
    <w:p w14:paraId="702C6765" w14:textId="75AFC63B" w:rsidR="00263F55" w:rsidRPr="00263F55" w:rsidRDefault="00263F55" w:rsidP="00263F55">
      <w:pPr>
        <w:spacing w:line="360" w:lineRule="auto"/>
        <w:rPr>
          <w:rFonts w:ascii="Arial" w:hAnsi="Arial" w:cs="Arial"/>
          <w:b/>
          <w:bCs/>
        </w:rPr>
      </w:pPr>
      <w:r>
        <w:rPr>
          <w:rFonts w:ascii="Arial" w:hAnsi="Arial" w:cs="Arial"/>
          <w:b/>
          <w:bCs/>
        </w:rPr>
        <w:t xml:space="preserve">2.2 </w:t>
      </w:r>
      <w:r w:rsidRPr="00263F55">
        <w:rPr>
          <w:rFonts w:ascii="Arial" w:hAnsi="Arial" w:cs="Arial"/>
          <w:b/>
          <w:bCs/>
        </w:rPr>
        <w:t>Enhancing Talent Acquisition and Retention</w:t>
      </w:r>
    </w:p>
    <w:p w14:paraId="7287711E" w14:textId="77777777" w:rsidR="00263F55" w:rsidRPr="00C64F06" w:rsidRDefault="00263F55" w:rsidP="00263F55">
      <w:pPr>
        <w:spacing w:line="360" w:lineRule="auto"/>
        <w:rPr>
          <w:rFonts w:ascii="Arial" w:hAnsi="Arial" w:cs="Arial"/>
        </w:rPr>
      </w:pPr>
      <w:r w:rsidRPr="00C64F06">
        <w:rPr>
          <w:rFonts w:ascii="Arial" w:hAnsi="Arial" w:cs="Arial"/>
        </w:rPr>
        <w:t>To address talent challenges, Tesco can implement employer branding strategies to position itself as an attractive place to work. A strong employer brand communicates organisational values, career opportunities, and workplace culture, helping to attract high-quality candidates. According to Backhaus and Tikoo (2004), employer branding significantly improves recruitment outcomes.</w:t>
      </w:r>
    </w:p>
    <w:p w14:paraId="510B8D99" w14:textId="77777777" w:rsidR="00263F55" w:rsidRPr="00C64F06" w:rsidRDefault="00263F55" w:rsidP="00263F55">
      <w:pPr>
        <w:spacing w:line="360" w:lineRule="auto"/>
        <w:rPr>
          <w:rFonts w:ascii="Arial" w:hAnsi="Arial" w:cs="Arial"/>
        </w:rPr>
      </w:pPr>
      <w:r w:rsidRPr="00C64F06">
        <w:rPr>
          <w:rFonts w:ascii="Arial" w:hAnsi="Arial" w:cs="Arial"/>
        </w:rPr>
        <w:t>In addition, flexible working arrangements have become a key HR practice, especially post-pandemic. Tesco offers flexible hours and hybrid working for certain roles, which enhances work-life balance and employee satisfaction. However, flexible working may not be feasible for all retail roles, particularly frontline positions, creating potential inequality among employees.</w:t>
      </w:r>
    </w:p>
    <w:p w14:paraId="4344109B" w14:textId="77777777" w:rsidR="00263F55" w:rsidRPr="00C64F06" w:rsidRDefault="00263F55" w:rsidP="00263F55">
      <w:pPr>
        <w:spacing w:line="360" w:lineRule="auto"/>
        <w:rPr>
          <w:rFonts w:ascii="Arial" w:hAnsi="Arial" w:cs="Arial"/>
        </w:rPr>
      </w:pPr>
      <w:r w:rsidRPr="00C64F06">
        <w:rPr>
          <w:rFonts w:ascii="Arial" w:hAnsi="Arial" w:cs="Arial"/>
        </w:rPr>
        <w:t>Another important practice is employee engagement and wellbeing initiatives. Tesco can implement wellbeing programmes, mental health support, and recognition schemes to improve employee satisfaction. Guest (2017) highlights that employee wellbeing is directly linked to organisational performance. However, such initiatives require consistent investment and managerial commitment to be effective.</w:t>
      </w:r>
    </w:p>
    <w:p w14:paraId="253DE4F9" w14:textId="77777777" w:rsidR="00263F55" w:rsidRPr="00C64F06" w:rsidRDefault="00263F55" w:rsidP="00263F55">
      <w:pPr>
        <w:spacing w:line="360" w:lineRule="auto"/>
        <w:rPr>
          <w:rFonts w:ascii="Arial" w:hAnsi="Arial" w:cs="Arial"/>
        </w:rPr>
      </w:pPr>
      <w:r w:rsidRPr="00C64F06">
        <w:rPr>
          <w:rFonts w:ascii="Arial" w:hAnsi="Arial" w:cs="Arial"/>
        </w:rPr>
        <w:t>Tesco can also adopt talent management and succession planning strategies. Identifying high-potential employees and providing career development opportunities helps retain talent and ensures leadership continuity. However, these programmes may lead to perceptions of favouritism if not managed transparently.</w:t>
      </w:r>
    </w:p>
    <w:p w14:paraId="4D45FE52" w14:textId="588B8EED" w:rsidR="00263F55" w:rsidRPr="00263F55" w:rsidRDefault="00263F55" w:rsidP="00263F55">
      <w:pPr>
        <w:spacing w:line="360" w:lineRule="auto"/>
        <w:rPr>
          <w:rFonts w:ascii="Arial" w:hAnsi="Arial" w:cs="Arial"/>
          <w:b/>
          <w:bCs/>
        </w:rPr>
      </w:pPr>
      <w:r>
        <w:rPr>
          <w:rFonts w:ascii="Arial" w:hAnsi="Arial" w:cs="Arial"/>
          <w:b/>
          <w:bCs/>
        </w:rPr>
        <w:t xml:space="preserve">2.3 </w:t>
      </w:r>
      <w:r w:rsidRPr="00263F55">
        <w:rPr>
          <w:rFonts w:ascii="Arial" w:hAnsi="Arial" w:cs="Arial"/>
          <w:b/>
          <w:bCs/>
        </w:rPr>
        <w:t>Promoting Diversity, Equity and Inclusion (DEI)</w:t>
      </w:r>
    </w:p>
    <w:p w14:paraId="113A60DD" w14:textId="5AFDD444" w:rsidR="00263F55" w:rsidRPr="00C64F06" w:rsidRDefault="00263F55" w:rsidP="00263F55">
      <w:pPr>
        <w:spacing w:line="360" w:lineRule="auto"/>
        <w:rPr>
          <w:rFonts w:ascii="Arial" w:hAnsi="Arial" w:cs="Arial"/>
        </w:rPr>
      </w:pPr>
      <w:r w:rsidRPr="00C64F06">
        <w:rPr>
          <w:rFonts w:ascii="Arial" w:hAnsi="Arial" w:cs="Arial"/>
        </w:rPr>
        <w:t xml:space="preserve">To improve DEI, Tesco can implement inclusive recruitment practices, such as blind recruitment and diverse hiring panels. These approaches help reduce unconscious bias and promote fairness in hiring decisions. Research by </w:t>
      </w:r>
      <w:r w:rsidR="00BB10D4" w:rsidRPr="00BB10D4">
        <w:rPr>
          <w:rFonts w:ascii="Arial" w:hAnsi="Arial" w:cs="Arial"/>
        </w:rPr>
        <w:t>(Beevers and Hayden, 2025)</w:t>
      </w:r>
      <w:r w:rsidRPr="00C64F06">
        <w:rPr>
          <w:rFonts w:ascii="Arial" w:hAnsi="Arial" w:cs="Arial"/>
        </w:rPr>
        <w:t xml:space="preserve"> suggests that inclusive hiring improves organisational diversity and innovation.</w:t>
      </w:r>
    </w:p>
    <w:p w14:paraId="07A2C64C" w14:textId="77777777" w:rsidR="00263F55" w:rsidRPr="00C64F06" w:rsidRDefault="00263F55" w:rsidP="00263F55">
      <w:pPr>
        <w:spacing w:line="360" w:lineRule="auto"/>
        <w:rPr>
          <w:rFonts w:ascii="Arial" w:hAnsi="Arial" w:cs="Arial"/>
        </w:rPr>
      </w:pPr>
      <w:r w:rsidRPr="00C64F06">
        <w:rPr>
          <w:rFonts w:ascii="Arial" w:hAnsi="Arial" w:cs="Arial"/>
        </w:rPr>
        <w:t>Another key practice is diversity training and unconscious bias training. These programmes aim to educate employees and managers about biases and promote inclusive behaviour. However, critics argue that such training may have limited long-term impact unless supported by structural changes within the organisation.</w:t>
      </w:r>
    </w:p>
    <w:p w14:paraId="0A9DF414" w14:textId="77777777" w:rsidR="00263F55" w:rsidRPr="00C64F06" w:rsidRDefault="00263F55" w:rsidP="00263F55">
      <w:pPr>
        <w:spacing w:line="360" w:lineRule="auto"/>
        <w:rPr>
          <w:rFonts w:ascii="Arial" w:hAnsi="Arial" w:cs="Arial"/>
        </w:rPr>
      </w:pPr>
      <w:r w:rsidRPr="00C64F06">
        <w:rPr>
          <w:rFonts w:ascii="Arial" w:hAnsi="Arial" w:cs="Arial"/>
        </w:rPr>
        <w:lastRenderedPageBreak/>
        <w:t>Tesco can also establish Employee Resource Groups (ERGs), which provide support networks for employees from diverse backgrounds. ERGs can enhance employee engagement and provide valuable insights into workplace challenges. However, they must be supported by senior leadership to be effective.</w:t>
      </w:r>
    </w:p>
    <w:p w14:paraId="68A96C05" w14:textId="77777777" w:rsidR="00263F55" w:rsidRPr="00C64F06" w:rsidRDefault="00263F55" w:rsidP="00263F55">
      <w:pPr>
        <w:spacing w:line="360" w:lineRule="auto"/>
        <w:rPr>
          <w:rFonts w:ascii="Arial" w:hAnsi="Arial" w:cs="Arial"/>
        </w:rPr>
      </w:pPr>
      <w:r w:rsidRPr="00C64F06">
        <w:rPr>
          <w:rFonts w:ascii="Arial" w:hAnsi="Arial" w:cs="Arial"/>
        </w:rPr>
        <w:t>Additionally, implementing inclusive leadership practices is essential. Managers should be trained to lead diverse teams, encourage open communication, and create a psychologically safe work environment. Inclusive leadership has been linked to higher employee engagement and innovation (Brewster et al., 2020).</w:t>
      </w:r>
    </w:p>
    <w:p w14:paraId="38F43B89" w14:textId="77777777" w:rsidR="00263F55" w:rsidRPr="00C64F06" w:rsidRDefault="00263F55" w:rsidP="00263F55">
      <w:pPr>
        <w:spacing w:line="360" w:lineRule="auto"/>
        <w:rPr>
          <w:rFonts w:ascii="Arial" w:hAnsi="Arial" w:cs="Arial"/>
        </w:rPr>
      </w:pPr>
      <w:r w:rsidRPr="00C64F06">
        <w:rPr>
          <w:rFonts w:ascii="Arial" w:hAnsi="Arial" w:cs="Arial"/>
        </w:rPr>
        <w:t>Overall, these contemporary HR practices enable Tesco to respond effectively to the challenges of technological change, talent management, and DEI.</w:t>
      </w:r>
    </w:p>
    <w:p w14:paraId="7C106371" w14:textId="77777777" w:rsidR="00263F55" w:rsidRPr="00263F55" w:rsidRDefault="00263F55" w:rsidP="00263F55">
      <w:pPr>
        <w:pStyle w:val="ListParagraph"/>
        <w:numPr>
          <w:ilvl w:val="0"/>
          <w:numId w:val="4"/>
        </w:numPr>
        <w:spacing w:line="360" w:lineRule="auto"/>
        <w:rPr>
          <w:rFonts w:ascii="Arial" w:hAnsi="Arial" w:cs="Arial"/>
        </w:rPr>
      </w:pPr>
      <w:r w:rsidRPr="00263F55">
        <w:rPr>
          <w:rFonts w:ascii="Arial" w:hAnsi="Arial" w:cs="Arial"/>
          <w:b/>
          <w:bCs/>
          <w:sz w:val="28"/>
          <w:szCs w:val="28"/>
        </w:rPr>
        <w:t>Role of Departmental Managers in Implementation</w:t>
      </w:r>
      <w:r w:rsidRPr="00263F55">
        <w:rPr>
          <w:rFonts w:ascii="Arial" w:hAnsi="Arial" w:cs="Arial"/>
        </w:rPr>
        <w:t xml:space="preserve">: </w:t>
      </w:r>
      <w:r w:rsidRPr="00263F55">
        <w:rPr>
          <w:rFonts w:ascii="Arial" w:hAnsi="Arial" w:cs="Arial"/>
        </w:rPr>
        <w:t xml:space="preserve">Effective </w:t>
      </w:r>
    </w:p>
    <w:p w14:paraId="2B6835A2" w14:textId="11A3D9B5" w:rsidR="00263F55" w:rsidRPr="00263F55" w:rsidRDefault="00263F55" w:rsidP="00263F55">
      <w:pPr>
        <w:spacing w:line="360" w:lineRule="auto"/>
        <w:rPr>
          <w:rFonts w:ascii="Arial" w:hAnsi="Arial" w:cs="Arial"/>
        </w:rPr>
      </w:pPr>
      <w:r w:rsidRPr="00263F55">
        <w:rPr>
          <w:rFonts w:ascii="Arial" w:hAnsi="Arial" w:cs="Arial"/>
        </w:rPr>
        <w:t xml:space="preserve">implementation of HR strategies is largely dependent on departmental managers. Managers </w:t>
      </w:r>
      <w:r w:rsidRPr="00263F55">
        <w:rPr>
          <w:rFonts w:ascii="Arial" w:hAnsi="Arial" w:cs="Arial"/>
        </w:rPr>
        <w:t>oversee</w:t>
      </w:r>
      <w:r w:rsidRPr="00263F55">
        <w:rPr>
          <w:rFonts w:ascii="Arial" w:hAnsi="Arial" w:cs="Arial"/>
        </w:rPr>
        <w:t xml:space="preserve"> carrying out policies at the operational level, whereas HR departments create them.</w:t>
      </w:r>
    </w:p>
    <w:p w14:paraId="72068A69" w14:textId="224776F8" w:rsidR="00263F55" w:rsidRDefault="00263F55" w:rsidP="00263F55">
      <w:pPr>
        <w:spacing w:line="360" w:lineRule="auto"/>
        <w:rPr>
          <w:rFonts w:ascii="Arial" w:hAnsi="Arial" w:cs="Arial"/>
        </w:rPr>
      </w:pPr>
      <w:r w:rsidRPr="00263F55">
        <w:rPr>
          <w:rFonts w:ascii="Arial" w:hAnsi="Arial" w:cs="Arial"/>
        </w:rPr>
        <w:t xml:space="preserve"> </w:t>
      </w:r>
      <w:r w:rsidRPr="00263F55">
        <w:rPr>
          <w:rFonts w:ascii="Arial" w:hAnsi="Arial" w:cs="Arial"/>
        </w:rPr>
        <w:t>M</w:t>
      </w:r>
      <w:r w:rsidRPr="00263F55">
        <w:rPr>
          <w:rFonts w:ascii="Arial" w:hAnsi="Arial" w:cs="Arial"/>
        </w:rPr>
        <w:t>anagers need to be change agents when it comes to implementing new technology into practice. They must provide training to staff members and foster an optimistic outlook on change. Employee resistance to new technology could lower their efficacy in the absence of managerial backing.</w:t>
      </w:r>
      <w:r>
        <w:rPr>
          <w:rFonts w:ascii="Arial" w:hAnsi="Arial" w:cs="Arial"/>
        </w:rPr>
        <w:t xml:space="preserve"> </w:t>
      </w:r>
    </w:p>
    <w:p w14:paraId="1BB485C7" w14:textId="75FB73A8" w:rsidR="00263F55" w:rsidRDefault="00263F55" w:rsidP="00263F55">
      <w:pPr>
        <w:spacing w:line="360" w:lineRule="auto"/>
        <w:rPr>
          <w:rFonts w:ascii="Arial" w:hAnsi="Arial" w:cs="Arial"/>
        </w:rPr>
      </w:pPr>
      <w:r>
        <w:rPr>
          <w:rFonts w:ascii="Arial" w:hAnsi="Arial" w:cs="Arial"/>
        </w:rPr>
        <w:t>M</w:t>
      </w:r>
      <w:r w:rsidRPr="00263F55">
        <w:rPr>
          <w:rFonts w:ascii="Arial" w:hAnsi="Arial" w:cs="Arial"/>
        </w:rPr>
        <w:t>anagers are key to talent retention. They influence employee satisfaction through leadership style, communication, and support. According to Herzberg’s Two-Factor Theory, recognition and achievement are important motivators (Herzberg, 1968). Managers who provide feedback and development opportunities can enhance employee engagement and reduce turnover.</w:t>
      </w:r>
    </w:p>
    <w:p w14:paraId="35021E9D" w14:textId="2165EA72" w:rsidR="00263F55" w:rsidRDefault="00263F55" w:rsidP="00263F55">
      <w:pPr>
        <w:spacing w:line="360" w:lineRule="auto"/>
        <w:rPr>
          <w:rFonts w:ascii="Arial" w:hAnsi="Arial" w:cs="Arial"/>
        </w:rPr>
      </w:pPr>
      <w:r w:rsidRPr="00263F55">
        <w:rPr>
          <w:rFonts w:ascii="Arial" w:hAnsi="Arial" w:cs="Arial"/>
        </w:rPr>
        <w:t>It is the duty of managers to encourage DEI among their staff. This entails making sure everyone is treated fairly, dealing with discrimination, and creating a welcoming atmosphere. However, difficulties could result from unconscious prejudice or a lack of training. As a result, organizations need to give managers the skills and information they need.</w:t>
      </w:r>
    </w:p>
    <w:p w14:paraId="383F804F" w14:textId="075D1834" w:rsidR="00C64F06" w:rsidRDefault="00C64F06" w:rsidP="00263F55">
      <w:pPr>
        <w:spacing w:line="360" w:lineRule="auto"/>
        <w:rPr>
          <w:rFonts w:ascii="Arial" w:hAnsi="Arial" w:cs="Arial"/>
        </w:rPr>
      </w:pPr>
      <w:r w:rsidRPr="00C64F06">
        <w:rPr>
          <w:rFonts w:ascii="Arial" w:hAnsi="Arial" w:cs="Arial"/>
        </w:rPr>
        <w:t>In addition, an important responsibility of departmental managers is monitoring and evaluating the effectiveness of HR practices. Managers should utilise performance metrics, employee feedback, and HR analytics to assess whether initiatives such as training programmes, flexible working arrangements, and DEI policies are achieving their intended outcomes. This requires close collaboration with HR departments to ensure alignment between strategic objectives and operational practices. Regular performance reviews and feedback mechanisms allow managers to identify gaps and make timely improvements.</w:t>
      </w:r>
    </w:p>
    <w:p w14:paraId="7F952022" w14:textId="1898AC4A" w:rsidR="00C64F06" w:rsidRPr="00C64F06" w:rsidRDefault="00C64F06" w:rsidP="00263F55">
      <w:pPr>
        <w:spacing w:line="360" w:lineRule="auto"/>
        <w:rPr>
          <w:rFonts w:ascii="Arial" w:hAnsi="Arial" w:cs="Arial"/>
        </w:rPr>
      </w:pPr>
      <w:r w:rsidRPr="00C64F06">
        <w:rPr>
          <w:rFonts w:ascii="Arial" w:hAnsi="Arial" w:cs="Arial"/>
        </w:rPr>
        <w:lastRenderedPageBreak/>
        <w:t>Furthermore, managers play a key role in embedding organisational culture and values within their teams. Although HR may design policies, it is managers who shape the day-to-day employee experience. By modelling inclusive behaviour, supporting continuous learning, and recognising employee contributions, managers reinforce the importance of HR initiatives. As highlighted by Ulrich (2017), line managers act as “HR champions” who ensure that organisational values are consistently applied in practice.</w:t>
      </w:r>
    </w:p>
    <w:p w14:paraId="1096D5A2" w14:textId="77777777" w:rsidR="00263F55" w:rsidRDefault="00263F55" w:rsidP="00263F55">
      <w:pPr>
        <w:spacing w:line="360" w:lineRule="auto"/>
        <w:rPr>
          <w:rFonts w:ascii="Arial" w:hAnsi="Arial" w:cs="Arial"/>
        </w:rPr>
      </w:pPr>
      <w:r w:rsidRPr="00263F55">
        <w:rPr>
          <w:rFonts w:ascii="Arial" w:hAnsi="Arial" w:cs="Arial"/>
        </w:rPr>
        <w:t>Despite their importance, managers often face constraints such as workload pressures and limited resources. This can hinder the implementation of HR practices. To address this, Tesco should provide managerial training and align performance metrics with HR objectives.</w:t>
      </w:r>
    </w:p>
    <w:p w14:paraId="6F037839" w14:textId="0C40EB25" w:rsidR="00263F55" w:rsidRDefault="00C64F06" w:rsidP="00263F55">
      <w:pPr>
        <w:spacing w:line="360" w:lineRule="auto"/>
        <w:rPr>
          <w:rFonts w:ascii="Arial" w:hAnsi="Arial" w:cs="Arial"/>
        </w:rPr>
      </w:pPr>
      <w:r>
        <w:rPr>
          <w:rFonts w:ascii="Arial" w:hAnsi="Arial" w:cs="Arial"/>
        </w:rPr>
        <w:t>D</w:t>
      </w:r>
      <w:r w:rsidRPr="00C64F06">
        <w:rPr>
          <w:rFonts w:ascii="Arial" w:hAnsi="Arial" w:cs="Arial"/>
        </w:rPr>
        <w:t>epartmental managers are essential for the successful implementation of HR practices. Their ability to lead, support, and evaluate initiatives directly influences organisational performance and employee outcomes. Without their active involvement and commitment, even well-designed HR strategies are unlikely to achieve their intended impact.</w:t>
      </w:r>
    </w:p>
    <w:p w14:paraId="0930FE64" w14:textId="77777777" w:rsidR="00C64F06" w:rsidRDefault="00C64F06" w:rsidP="00263F55">
      <w:pPr>
        <w:spacing w:line="360" w:lineRule="auto"/>
        <w:rPr>
          <w:rFonts w:ascii="Arial" w:hAnsi="Arial" w:cs="Arial"/>
        </w:rPr>
      </w:pPr>
    </w:p>
    <w:p w14:paraId="733D8802" w14:textId="77777777" w:rsidR="00C64F06" w:rsidRDefault="00C64F06" w:rsidP="00263F55">
      <w:pPr>
        <w:spacing w:line="360" w:lineRule="auto"/>
        <w:rPr>
          <w:rFonts w:ascii="Arial" w:hAnsi="Arial" w:cs="Arial"/>
        </w:rPr>
      </w:pPr>
    </w:p>
    <w:p w14:paraId="472D756B" w14:textId="77777777" w:rsidR="00C64F06" w:rsidRDefault="00C64F06" w:rsidP="00263F55">
      <w:pPr>
        <w:spacing w:line="360" w:lineRule="auto"/>
        <w:rPr>
          <w:rFonts w:ascii="Arial" w:hAnsi="Arial" w:cs="Arial"/>
        </w:rPr>
      </w:pPr>
    </w:p>
    <w:p w14:paraId="7A0ABCE2" w14:textId="77777777" w:rsidR="00C64F06" w:rsidRDefault="00C64F06" w:rsidP="00263F55">
      <w:pPr>
        <w:spacing w:line="360" w:lineRule="auto"/>
        <w:rPr>
          <w:rFonts w:ascii="Arial" w:hAnsi="Arial" w:cs="Arial"/>
        </w:rPr>
      </w:pPr>
    </w:p>
    <w:p w14:paraId="718F380D" w14:textId="77777777" w:rsidR="00C64F06" w:rsidRDefault="00C64F06" w:rsidP="00263F55">
      <w:pPr>
        <w:spacing w:line="360" w:lineRule="auto"/>
        <w:rPr>
          <w:rFonts w:ascii="Arial" w:hAnsi="Arial" w:cs="Arial"/>
        </w:rPr>
      </w:pPr>
    </w:p>
    <w:p w14:paraId="53416FD8" w14:textId="77777777" w:rsidR="00C64F06" w:rsidRDefault="00C64F06" w:rsidP="00263F55">
      <w:pPr>
        <w:spacing w:line="360" w:lineRule="auto"/>
        <w:rPr>
          <w:rFonts w:ascii="Arial" w:hAnsi="Arial" w:cs="Arial"/>
        </w:rPr>
      </w:pPr>
    </w:p>
    <w:p w14:paraId="3073B880" w14:textId="77777777" w:rsidR="00C64F06" w:rsidRDefault="00C64F06" w:rsidP="00263F55">
      <w:pPr>
        <w:spacing w:line="360" w:lineRule="auto"/>
        <w:rPr>
          <w:rFonts w:ascii="Arial" w:hAnsi="Arial" w:cs="Arial"/>
        </w:rPr>
      </w:pPr>
    </w:p>
    <w:p w14:paraId="7686B375" w14:textId="77777777" w:rsidR="00C64F06" w:rsidRDefault="00C64F06" w:rsidP="00263F55">
      <w:pPr>
        <w:spacing w:line="360" w:lineRule="auto"/>
        <w:rPr>
          <w:rFonts w:ascii="Arial" w:hAnsi="Arial" w:cs="Arial"/>
        </w:rPr>
      </w:pPr>
    </w:p>
    <w:p w14:paraId="0CC8FF89" w14:textId="77777777" w:rsidR="00C64F06" w:rsidRDefault="00C64F06" w:rsidP="00263F55">
      <w:pPr>
        <w:spacing w:line="360" w:lineRule="auto"/>
        <w:rPr>
          <w:rFonts w:ascii="Arial" w:hAnsi="Arial" w:cs="Arial"/>
        </w:rPr>
      </w:pPr>
    </w:p>
    <w:p w14:paraId="14EC7DD4" w14:textId="77777777" w:rsidR="00C64F06" w:rsidRDefault="00C64F06" w:rsidP="00263F55">
      <w:pPr>
        <w:spacing w:line="360" w:lineRule="auto"/>
        <w:rPr>
          <w:rFonts w:ascii="Arial" w:hAnsi="Arial" w:cs="Arial"/>
        </w:rPr>
      </w:pPr>
    </w:p>
    <w:p w14:paraId="5D78CBA9" w14:textId="77777777" w:rsidR="00C64F06" w:rsidRDefault="00C64F06" w:rsidP="00263F55">
      <w:pPr>
        <w:spacing w:line="360" w:lineRule="auto"/>
        <w:rPr>
          <w:rFonts w:ascii="Arial" w:hAnsi="Arial" w:cs="Arial"/>
          <w:b/>
          <w:bCs/>
        </w:rPr>
      </w:pPr>
    </w:p>
    <w:p w14:paraId="6394100D" w14:textId="77777777" w:rsidR="00263F55" w:rsidRDefault="00263F55" w:rsidP="00263F55">
      <w:pPr>
        <w:spacing w:line="360" w:lineRule="auto"/>
        <w:rPr>
          <w:rFonts w:ascii="Arial" w:hAnsi="Arial" w:cs="Arial"/>
          <w:b/>
          <w:bCs/>
        </w:rPr>
      </w:pPr>
    </w:p>
    <w:p w14:paraId="52BDA7F7" w14:textId="77777777" w:rsidR="00BB10D4" w:rsidRDefault="00BB10D4" w:rsidP="00263F55">
      <w:pPr>
        <w:spacing w:line="360" w:lineRule="auto"/>
        <w:rPr>
          <w:rFonts w:ascii="Arial" w:hAnsi="Arial" w:cs="Arial"/>
          <w:b/>
          <w:bCs/>
        </w:rPr>
      </w:pPr>
    </w:p>
    <w:p w14:paraId="76BFC087" w14:textId="77777777" w:rsidR="00BB10D4" w:rsidRDefault="00BB10D4" w:rsidP="00263F55">
      <w:pPr>
        <w:spacing w:line="360" w:lineRule="auto"/>
        <w:rPr>
          <w:rFonts w:ascii="Arial" w:hAnsi="Arial" w:cs="Arial"/>
          <w:b/>
          <w:bCs/>
        </w:rPr>
      </w:pPr>
    </w:p>
    <w:p w14:paraId="7132DD53" w14:textId="77777777" w:rsidR="00BB10D4" w:rsidRDefault="00BB10D4" w:rsidP="00263F55">
      <w:pPr>
        <w:spacing w:line="360" w:lineRule="auto"/>
        <w:rPr>
          <w:rFonts w:ascii="Arial" w:hAnsi="Arial" w:cs="Arial"/>
          <w:b/>
          <w:bCs/>
        </w:rPr>
      </w:pPr>
    </w:p>
    <w:p w14:paraId="12F779AD" w14:textId="77777777" w:rsidR="00263F55" w:rsidRDefault="00263F55" w:rsidP="00263F55">
      <w:pPr>
        <w:spacing w:line="360" w:lineRule="auto"/>
        <w:rPr>
          <w:rFonts w:ascii="Arial" w:hAnsi="Arial" w:cs="Arial"/>
          <w:b/>
          <w:bCs/>
        </w:rPr>
      </w:pPr>
    </w:p>
    <w:p w14:paraId="36D03EA8" w14:textId="4238AAA6" w:rsidR="00263F55" w:rsidRPr="00263F55" w:rsidRDefault="00263F55" w:rsidP="00263F55">
      <w:pPr>
        <w:spacing w:line="360" w:lineRule="auto"/>
        <w:rPr>
          <w:rFonts w:ascii="Arial" w:hAnsi="Arial" w:cs="Arial"/>
          <w:b/>
          <w:bCs/>
          <w:sz w:val="28"/>
          <w:szCs w:val="28"/>
        </w:rPr>
      </w:pPr>
      <w:r w:rsidRPr="00263F55">
        <w:rPr>
          <w:rFonts w:ascii="Arial" w:hAnsi="Arial" w:cs="Arial"/>
          <w:b/>
          <w:bCs/>
          <w:sz w:val="28"/>
          <w:szCs w:val="28"/>
        </w:rPr>
        <w:lastRenderedPageBreak/>
        <w:t xml:space="preserve">Conclusion and Recommendations </w:t>
      </w:r>
    </w:p>
    <w:p w14:paraId="6E0093C3" w14:textId="77777777" w:rsidR="00263F55" w:rsidRPr="00263F55" w:rsidRDefault="00263F55" w:rsidP="00263F55">
      <w:pPr>
        <w:spacing w:line="360" w:lineRule="auto"/>
        <w:rPr>
          <w:rFonts w:ascii="Arial" w:hAnsi="Arial" w:cs="Arial"/>
        </w:rPr>
      </w:pPr>
      <w:r w:rsidRPr="00263F55">
        <w:rPr>
          <w:rFonts w:ascii="Arial" w:hAnsi="Arial" w:cs="Arial"/>
        </w:rPr>
        <w:t>In conclusion, Tesco faces significant HR challenges related to technological advancement, talent acquisition and retention, and Diversity, Equity and Inclusion. These factors require strategic HR responses to ensure organisational success.</w:t>
      </w:r>
    </w:p>
    <w:p w14:paraId="27318CCA" w14:textId="77777777" w:rsidR="00263F55" w:rsidRPr="00263F55" w:rsidRDefault="00263F55" w:rsidP="00263F55">
      <w:pPr>
        <w:spacing w:line="360" w:lineRule="auto"/>
        <w:rPr>
          <w:rFonts w:ascii="Arial" w:hAnsi="Arial" w:cs="Arial"/>
        </w:rPr>
      </w:pPr>
      <w:r w:rsidRPr="00263F55">
        <w:rPr>
          <w:rFonts w:ascii="Arial" w:hAnsi="Arial" w:cs="Arial"/>
        </w:rPr>
        <w:t>Contemporary HR practices such as continuous learning, flexible working, inclusive recruitment, and HR analytics provide effective solutions. However, their success depends on proper implementation, particularly by departmental managers.</w:t>
      </w:r>
    </w:p>
    <w:p w14:paraId="32F2D90E" w14:textId="77777777" w:rsidR="00263F55" w:rsidRPr="00263F55" w:rsidRDefault="00263F55" w:rsidP="00263F55">
      <w:pPr>
        <w:spacing w:line="360" w:lineRule="auto"/>
        <w:rPr>
          <w:rFonts w:ascii="Arial" w:hAnsi="Arial" w:cs="Arial"/>
          <w:b/>
          <w:bCs/>
          <w:sz w:val="28"/>
          <w:szCs w:val="28"/>
        </w:rPr>
      </w:pPr>
      <w:r w:rsidRPr="00263F55">
        <w:rPr>
          <w:rFonts w:ascii="Arial" w:hAnsi="Arial" w:cs="Arial"/>
          <w:b/>
          <w:bCs/>
          <w:sz w:val="28"/>
          <w:szCs w:val="28"/>
        </w:rPr>
        <w:t>Recommendations</w:t>
      </w:r>
    </w:p>
    <w:p w14:paraId="297DC65A" w14:textId="77777777" w:rsidR="00263F55" w:rsidRPr="00263F55" w:rsidRDefault="00263F55" w:rsidP="00263F55">
      <w:pPr>
        <w:numPr>
          <w:ilvl w:val="0"/>
          <w:numId w:val="5"/>
        </w:numPr>
        <w:spacing w:line="360" w:lineRule="auto"/>
        <w:rPr>
          <w:rFonts w:ascii="Arial" w:hAnsi="Arial" w:cs="Arial"/>
        </w:rPr>
      </w:pPr>
      <w:r w:rsidRPr="00263F55">
        <w:rPr>
          <w:rFonts w:ascii="Arial" w:hAnsi="Arial" w:cs="Arial"/>
        </w:rPr>
        <w:t>Tesco should invest in continuous employee training to support technological adaptation.</w:t>
      </w:r>
    </w:p>
    <w:p w14:paraId="592F437C" w14:textId="77777777" w:rsidR="00263F55" w:rsidRPr="00263F55" w:rsidRDefault="00263F55" w:rsidP="00263F55">
      <w:pPr>
        <w:numPr>
          <w:ilvl w:val="0"/>
          <w:numId w:val="5"/>
        </w:numPr>
        <w:spacing w:line="360" w:lineRule="auto"/>
        <w:rPr>
          <w:rFonts w:ascii="Arial" w:hAnsi="Arial" w:cs="Arial"/>
        </w:rPr>
      </w:pPr>
      <w:r w:rsidRPr="00263F55">
        <w:rPr>
          <w:rFonts w:ascii="Arial" w:hAnsi="Arial" w:cs="Arial"/>
        </w:rPr>
        <w:t>The company should strengthen its employer brand and offer flexible working arrangements to attract and retain talent.</w:t>
      </w:r>
    </w:p>
    <w:p w14:paraId="053CCF41" w14:textId="77777777" w:rsidR="00263F55" w:rsidRPr="00263F55" w:rsidRDefault="00263F55" w:rsidP="00263F55">
      <w:pPr>
        <w:numPr>
          <w:ilvl w:val="0"/>
          <w:numId w:val="5"/>
        </w:numPr>
        <w:spacing w:line="360" w:lineRule="auto"/>
        <w:rPr>
          <w:rFonts w:ascii="Arial" w:hAnsi="Arial" w:cs="Arial"/>
        </w:rPr>
      </w:pPr>
      <w:r w:rsidRPr="00263F55">
        <w:rPr>
          <w:rFonts w:ascii="Arial" w:hAnsi="Arial" w:cs="Arial"/>
        </w:rPr>
        <w:t>Tesco should enhance its DEI initiatives through training, inclusive policies, and employee support networks.</w:t>
      </w:r>
    </w:p>
    <w:p w14:paraId="08E7B6FA" w14:textId="77777777" w:rsidR="00263F55" w:rsidRPr="00263F55" w:rsidRDefault="00263F55" w:rsidP="00263F55">
      <w:pPr>
        <w:numPr>
          <w:ilvl w:val="0"/>
          <w:numId w:val="5"/>
        </w:numPr>
        <w:spacing w:line="360" w:lineRule="auto"/>
        <w:rPr>
          <w:rFonts w:ascii="Arial" w:hAnsi="Arial" w:cs="Arial"/>
        </w:rPr>
      </w:pPr>
      <w:r w:rsidRPr="00263F55">
        <w:rPr>
          <w:rFonts w:ascii="Arial" w:hAnsi="Arial" w:cs="Arial"/>
        </w:rPr>
        <w:t>Managers should receive regular training to effectively implement HR practices.</w:t>
      </w:r>
    </w:p>
    <w:p w14:paraId="3C633770" w14:textId="77777777" w:rsidR="00263F55" w:rsidRPr="00263F55" w:rsidRDefault="00263F55" w:rsidP="00263F55">
      <w:pPr>
        <w:numPr>
          <w:ilvl w:val="0"/>
          <w:numId w:val="5"/>
        </w:numPr>
        <w:spacing w:line="360" w:lineRule="auto"/>
        <w:rPr>
          <w:rFonts w:ascii="Arial" w:hAnsi="Arial" w:cs="Arial"/>
        </w:rPr>
      </w:pPr>
      <w:r w:rsidRPr="00263F55">
        <w:rPr>
          <w:rFonts w:ascii="Arial" w:hAnsi="Arial" w:cs="Arial"/>
        </w:rPr>
        <w:t>The organisation should utilise HR analytics to improve decision-making and monitor HR performance.</w:t>
      </w:r>
    </w:p>
    <w:p w14:paraId="7A09F74A" w14:textId="7E2313D2" w:rsidR="00BB10D4" w:rsidRDefault="00263F55" w:rsidP="00263F55">
      <w:pPr>
        <w:spacing w:line="360" w:lineRule="auto"/>
        <w:rPr>
          <w:rFonts w:ascii="Arial" w:hAnsi="Arial" w:cs="Arial"/>
        </w:rPr>
      </w:pPr>
      <w:r w:rsidRPr="00263F55">
        <w:rPr>
          <w:rFonts w:ascii="Arial" w:hAnsi="Arial" w:cs="Arial"/>
        </w:rPr>
        <w:t>By adopting these recommendations, Tesco can enhance its HR practices and maintain its competitive advantage in the retail sector.</w:t>
      </w:r>
    </w:p>
    <w:p w14:paraId="5D2A42A3" w14:textId="1BE8003E" w:rsidR="00BB10D4" w:rsidRDefault="008354C1" w:rsidP="008354C1">
      <w:pPr>
        <w:spacing w:line="360" w:lineRule="auto"/>
        <w:jc w:val="center"/>
        <w:rPr>
          <w:rFonts w:ascii="Arial" w:hAnsi="Arial" w:cs="Arial"/>
        </w:rPr>
      </w:pPr>
      <w:r>
        <w:rPr>
          <w:rFonts w:ascii="Arial" w:hAnsi="Arial" w:cs="Arial"/>
          <w:noProof/>
        </w:rPr>
        <w:drawing>
          <wp:inline distT="0" distB="0" distL="0" distR="0" wp14:anchorId="256C5033" wp14:editId="53591784">
            <wp:extent cx="2141220" cy="2141220"/>
            <wp:effectExtent l="190500" t="133350" r="144780" b="220980"/>
            <wp:docPr id="1151339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1220" cy="2141220"/>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67B7EE3B" w14:textId="77777777" w:rsidR="008354C1" w:rsidRDefault="008354C1" w:rsidP="008354C1">
      <w:pPr>
        <w:spacing w:line="360" w:lineRule="auto"/>
        <w:jc w:val="center"/>
        <w:rPr>
          <w:rFonts w:ascii="Arial" w:hAnsi="Arial" w:cs="Arial"/>
        </w:rPr>
      </w:pPr>
    </w:p>
    <w:p w14:paraId="2039B9D6" w14:textId="54A0B8D8" w:rsidR="00BB10D4" w:rsidRDefault="00BB10D4" w:rsidP="00263F55">
      <w:pPr>
        <w:spacing w:line="360" w:lineRule="auto"/>
        <w:rPr>
          <w:rFonts w:ascii="Arial" w:hAnsi="Arial" w:cs="Arial"/>
          <w:b/>
          <w:bCs/>
          <w:sz w:val="28"/>
          <w:szCs w:val="28"/>
        </w:rPr>
      </w:pPr>
      <w:r w:rsidRPr="00BB10D4">
        <w:rPr>
          <w:rFonts w:ascii="Arial" w:hAnsi="Arial" w:cs="Arial"/>
          <w:b/>
          <w:bCs/>
          <w:sz w:val="28"/>
          <w:szCs w:val="28"/>
        </w:rPr>
        <w:lastRenderedPageBreak/>
        <w:t>References</w:t>
      </w:r>
    </w:p>
    <w:p w14:paraId="57EDB9F7" w14:textId="77777777" w:rsidR="00C0721C" w:rsidRDefault="00C0721C" w:rsidP="00C0721C">
      <w:pPr>
        <w:pStyle w:val="NormalWeb"/>
        <w:numPr>
          <w:ilvl w:val="0"/>
          <w:numId w:val="6"/>
        </w:numPr>
        <w:spacing w:before="0" w:beforeAutospacing="0" w:after="240" w:afterAutospacing="0" w:line="360" w:lineRule="auto"/>
      </w:pPr>
      <w:r>
        <w:t xml:space="preserve">Armstrong, M. and Taylor, S. (2021). </w:t>
      </w:r>
      <w:r>
        <w:rPr>
          <w:i/>
          <w:iCs/>
        </w:rPr>
        <w:t>Armstrong’s Handbook of Human Resource Management Practice</w:t>
      </w:r>
      <w:r>
        <w:t>. 16th ed. London: Kogan Page.</w:t>
      </w:r>
    </w:p>
    <w:p w14:paraId="655DF002" w14:textId="5499085A" w:rsidR="00C0721C" w:rsidRDefault="00C0721C" w:rsidP="00C0721C">
      <w:pPr>
        <w:pStyle w:val="NormalWeb"/>
        <w:numPr>
          <w:ilvl w:val="0"/>
          <w:numId w:val="6"/>
        </w:numPr>
        <w:spacing w:before="0" w:beforeAutospacing="0" w:after="240" w:afterAutospacing="0" w:line="360" w:lineRule="auto"/>
      </w:pPr>
      <w:r w:rsidRPr="00C0721C">
        <w:t xml:space="preserve">Becker, B. and </w:t>
      </w:r>
      <w:proofErr w:type="spellStart"/>
      <w:r w:rsidRPr="00C0721C">
        <w:t>Huselid</w:t>
      </w:r>
      <w:proofErr w:type="spellEnd"/>
      <w:r w:rsidRPr="00C0721C">
        <w:t>, M. (2006)</w:t>
      </w:r>
      <w:r>
        <w:t xml:space="preserve">. </w:t>
      </w:r>
      <w:r w:rsidRPr="00C0721C">
        <w:t xml:space="preserve">Strategic HRM, </w:t>
      </w:r>
      <w:r w:rsidRPr="00C0721C">
        <w:rPr>
          <w:i/>
          <w:iCs/>
        </w:rPr>
        <w:t>Journal of Management</w:t>
      </w:r>
      <w:r w:rsidR="008354C1">
        <w:t>, 71(1), pp.41-50.</w:t>
      </w:r>
    </w:p>
    <w:p w14:paraId="5C9F51AB" w14:textId="77777777" w:rsidR="00C0721C" w:rsidRDefault="00C0721C" w:rsidP="00C0721C">
      <w:pPr>
        <w:pStyle w:val="NormalWeb"/>
        <w:numPr>
          <w:ilvl w:val="0"/>
          <w:numId w:val="6"/>
        </w:numPr>
        <w:spacing w:before="0" w:beforeAutospacing="0" w:after="240" w:afterAutospacing="0" w:line="360" w:lineRule="auto"/>
      </w:pPr>
      <w:r>
        <w:t xml:space="preserve">Beevers, K. and Hayden, D. (2025). </w:t>
      </w:r>
      <w:r>
        <w:rPr>
          <w:i/>
          <w:iCs/>
        </w:rPr>
        <w:t>Learning and Development Practice in the Workplace</w:t>
      </w:r>
      <w:r>
        <w:t>. Kogan Page Publishers.</w:t>
      </w:r>
    </w:p>
    <w:p w14:paraId="27723C25" w14:textId="0D0D878B" w:rsidR="00C0721C" w:rsidRDefault="00C0721C" w:rsidP="00C0721C">
      <w:pPr>
        <w:pStyle w:val="NormalWeb"/>
        <w:numPr>
          <w:ilvl w:val="0"/>
          <w:numId w:val="6"/>
        </w:numPr>
        <w:spacing w:before="0" w:beforeAutospacing="0" w:after="240" w:afterAutospacing="0" w:line="360" w:lineRule="auto"/>
      </w:pPr>
      <w:r>
        <w:t xml:space="preserve">Boxall, P. and Purcell, J. (2016). Strategy and Human Resource Management. </w:t>
      </w:r>
      <w:r>
        <w:rPr>
          <w:i/>
          <w:iCs/>
        </w:rPr>
        <w:t>Industrial and Labor Relations Review</w:t>
      </w:r>
      <w:r>
        <w:t xml:space="preserve">, 57(1), p.145. </w:t>
      </w:r>
      <w:r>
        <w:t xml:space="preserve">Doi: </w:t>
      </w:r>
      <w:hyperlink r:id="rId10" w:history="1">
        <w:r w:rsidRPr="004E4AFC">
          <w:rPr>
            <w:rStyle w:val="Hyperlink"/>
          </w:rPr>
          <w:t>HTTPs</w:t>
        </w:r>
        <w:r w:rsidRPr="004E4AFC">
          <w:rPr>
            <w:rStyle w:val="Hyperlink"/>
          </w:rPr>
          <w:t>://doi.org/10.2307/3590989</w:t>
        </w:r>
      </w:hyperlink>
      <w:r>
        <w:t>.</w:t>
      </w:r>
    </w:p>
    <w:p w14:paraId="6D4E0892" w14:textId="77777777" w:rsidR="00C0721C" w:rsidRDefault="00C0721C" w:rsidP="00C0721C">
      <w:pPr>
        <w:pStyle w:val="NormalWeb"/>
        <w:numPr>
          <w:ilvl w:val="0"/>
          <w:numId w:val="6"/>
        </w:numPr>
        <w:spacing w:before="0" w:beforeAutospacing="0" w:after="240" w:afterAutospacing="0" w:line="360" w:lineRule="auto"/>
      </w:pPr>
      <w:r>
        <w:t xml:space="preserve">Brewster, C., Chung, C. and Sparrow, P. (2020). </w:t>
      </w:r>
      <w:r>
        <w:rPr>
          <w:i/>
          <w:iCs/>
        </w:rPr>
        <w:t>Globalizing Human Resource Management</w:t>
      </w:r>
      <w:r>
        <w:t>. Routledge.</w:t>
      </w:r>
    </w:p>
    <w:p w14:paraId="705873AD" w14:textId="2F7043A5" w:rsidR="00C0721C" w:rsidRDefault="00C0721C" w:rsidP="00C0721C">
      <w:pPr>
        <w:pStyle w:val="NormalWeb"/>
        <w:numPr>
          <w:ilvl w:val="0"/>
          <w:numId w:val="6"/>
        </w:numPr>
        <w:spacing w:before="0" w:beforeAutospacing="0" w:after="240" w:afterAutospacing="0" w:line="360" w:lineRule="auto"/>
      </w:pPr>
      <w:r>
        <w:t>Guest, D. (2017). Human Resource Management systems, Employee well</w:t>
      </w:r>
      <w:r>
        <w:rPr>
          <w:rFonts w:ascii="Cambria Math" w:hAnsi="Cambria Math" w:cs="Cambria Math"/>
        </w:rPr>
        <w:t>‐</w:t>
      </w:r>
      <w:r>
        <w:t>being, and Firm Performance from the Mutual Gains and Critical perspectives: the Well</w:t>
      </w:r>
      <w:r>
        <w:rPr>
          <w:rFonts w:ascii="Cambria Math" w:hAnsi="Cambria Math" w:cs="Cambria Math"/>
        </w:rPr>
        <w:t>‐</w:t>
      </w:r>
      <w:r>
        <w:t xml:space="preserve">being Paradox. </w:t>
      </w:r>
      <w:r>
        <w:rPr>
          <w:i/>
          <w:iCs/>
        </w:rPr>
        <w:t>Human Resource Management</w:t>
      </w:r>
      <w:r>
        <w:t xml:space="preserve">, 59(3), pp.235–253. </w:t>
      </w:r>
    </w:p>
    <w:p w14:paraId="12B63A2F" w14:textId="0FC92EBE" w:rsidR="00BB10D4" w:rsidRDefault="00C0721C" w:rsidP="00C0721C">
      <w:pPr>
        <w:pStyle w:val="NormalWeb"/>
        <w:numPr>
          <w:ilvl w:val="0"/>
          <w:numId w:val="6"/>
        </w:numPr>
        <w:spacing w:before="0" w:beforeAutospacing="0" w:after="240" w:afterAutospacing="0" w:line="360" w:lineRule="auto"/>
      </w:pPr>
      <w:r w:rsidRPr="00C0721C">
        <w:t>Herzberg, F. (1968)</w:t>
      </w:r>
      <w:r>
        <w:t xml:space="preserve">. </w:t>
      </w:r>
      <w:r w:rsidRPr="00C0721C">
        <w:t xml:space="preserve">One more time: How do you motivate </w:t>
      </w:r>
      <w:r w:rsidRPr="00C0721C">
        <w:t>employees?</w:t>
      </w:r>
      <w:r w:rsidRPr="00C0721C">
        <w:t xml:space="preserve"> </w:t>
      </w:r>
      <w:r w:rsidRPr="00C0721C">
        <w:rPr>
          <w:i/>
          <w:iCs/>
        </w:rPr>
        <w:t>Harvard Business Review</w:t>
      </w:r>
      <w:r w:rsidRPr="00C0721C">
        <w:t>.</w:t>
      </w:r>
    </w:p>
    <w:p w14:paraId="42C6EB9E" w14:textId="5C990283" w:rsidR="00C0721C" w:rsidRDefault="00C0721C" w:rsidP="00C0721C">
      <w:pPr>
        <w:pStyle w:val="NormalWeb"/>
        <w:numPr>
          <w:ilvl w:val="0"/>
          <w:numId w:val="6"/>
        </w:numPr>
        <w:spacing w:before="0" w:beforeAutospacing="0" w:after="240" w:afterAutospacing="0" w:line="360" w:lineRule="auto"/>
      </w:pPr>
      <w:r w:rsidRPr="00C0721C">
        <w:t>Marler, J.H. and Boudreau, J.W. (2017)</w:t>
      </w:r>
      <w:r>
        <w:t xml:space="preserve">. </w:t>
      </w:r>
      <w:r w:rsidRPr="00C0721C">
        <w:t xml:space="preserve">An evidence-based review of HR Analytics, </w:t>
      </w:r>
      <w:r w:rsidRPr="00C0721C">
        <w:rPr>
          <w:i/>
          <w:iCs/>
        </w:rPr>
        <w:t>International Journal of Human Resource Management</w:t>
      </w:r>
      <w:r w:rsidRPr="00C0721C">
        <w:t>.</w:t>
      </w:r>
    </w:p>
    <w:p w14:paraId="03F6A45E" w14:textId="77777777" w:rsidR="00C0721C" w:rsidRDefault="00C0721C" w:rsidP="00C0721C">
      <w:pPr>
        <w:pStyle w:val="NormalWeb"/>
        <w:numPr>
          <w:ilvl w:val="0"/>
          <w:numId w:val="6"/>
        </w:numPr>
        <w:spacing w:before="0" w:beforeAutospacing="0" w:after="240" w:afterAutospacing="0" w:line="360" w:lineRule="auto"/>
      </w:pPr>
      <w:r>
        <w:t xml:space="preserve">Noe, R.A. (2020). </w:t>
      </w:r>
      <w:r>
        <w:rPr>
          <w:i/>
          <w:iCs/>
        </w:rPr>
        <w:t>Employee Training and Development</w:t>
      </w:r>
      <w:r>
        <w:t>. 9th ed. New York, NY: McGraw-Hill Education.</w:t>
      </w:r>
    </w:p>
    <w:p w14:paraId="2950FA47" w14:textId="77777777" w:rsidR="008354C1" w:rsidRDefault="008354C1" w:rsidP="008354C1">
      <w:pPr>
        <w:pStyle w:val="NormalWeb"/>
        <w:numPr>
          <w:ilvl w:val="0"/>
          <w:numId w:val="6"/>
        </w:numPr>
        <w:spacing w:before="0" w:beforeAutospacing="0" w:after="240" w:afterAutospacing="0" w:line="360" w:lineRule="auto"/>
      </w:pPr>
      <w:r>
        <w:t xml:space="preserve">Porter, M.E. (2020). </w:t>
      </w:r>
      <w:r>
        <w:rPr>
          <w:i/>
          <w:iCs/>
        </w:rPr>
        <w:t>Competitive Intelligence, Analysis and Strategy</w:t>
      </w:r>
      <w:r>
        <w:t>. Routledge.</w:t>
      </w:r>
    </w:p>
    <w:p w14:paraId="361AF79C" w14:textId="77777777" w:rsidR="008354C1" w:rsidRDefault="008354C1" w:rsidP="008354C1">
      <w:pPr>
        <w:pStyle w:val="NormalWeb"/>
        <w:numPr>
          <w:ilvl w:val="0"/>
          <w:numId w:val="6"/>
        </w:numPr>
        <w:spacing w:before="0" w:beforeAutospacing="0" w:after="240" w:afterAutospacing="0" w:line="360" w:lineRule="auto"/>
      </w:pPr>
      <w:r>
        <w:t xml:space="preserve">Storey, J. (2014). </w:t>
      </w:r>
      <w:r>
        <w:rPr>
          <w:i/>
          <w:iCs/>
        </w:rPr>
        <w:t>New Perspectives on Human Resource Management</w:t>
      </w:r>
      <w:r>
        <w:t>. London: Routledge, Taylor &amp; Francis Group.</w:t>
      </w:r>
    </w:p>
    <w:p w14:paraId="27B4FE0C" w14:textId="29C16AF0" w:rsidR="00C0721C" w:rsidRPr="00C0721C" w:rsidRDefault="008354C1" w:rsidP="00C0721C">
      <w:pPr>
        <w:pStyle w:val="NormalWeb"/>
        <w:numPr>
          <w:ilvl w:val="0"/>
          <w:numId w:val="6"/>
        </w:numPr>
        <w:spacing w:before="0" w:beforeAutospacing="0" w:after="240" w:afterAutospacing="0" w:line="360" w:lineRule="auto"/>
      </w:pPr>
      <w:r w:rsidRPr="008354C1">
        <w:t>Ulrich, D. (2017)</w:t>
      </w:r>
      <w:r>
        <w:t>.</w:t>
      </w:r>
      <w:r w:rsidRPr="008354C1">
        <w:t xml:space="preserve"> </w:t>
      </w:r>
      <w:r w:rsidRPr="008354C1">
        <w:rPr>
          <w:i/>
          <w:iCs/>
        </w:rPr>
        <w:t>Human Resource Champions. Boston:</w:t>
      </w:r>
      <w:r w:rsidRPr="008354C1">
        <w:t xml:space="preserve"> Harvard Business School Press.</w:t>
      </w:r>
    </w:p>
    <w:p w14:paraId="5343C3EA" w14:textId="77777777" w:rsidR="00263F55" w:rsidRPr="00263F55" w:rsidRDefault="00263F55" w:rsidP="00263F55">
      <w:pPr>
        <w:spacing w:line="360" w:lineRule="auto"/>
        <w:rPr>
          <w:rFonts w:ascii="Arial" w:hAnsi="Arial" w:cs="Arial"/>
        </w:rPr>
      </w:pPr>
    </w:p>
    <w:p w14:paraId="6D2CA1DC" w14:textId="77777777" w:rsidR="00263F55" w:rsidRPr="00263F55" w:rsidRDefault="00263F55" w:rsidP="00263F55">
      <w:pPr>
        <w:spacing w:line="360" w:lineRule="auto"/>
        <w:rPr>
          <w:rFonts w:ascii="Arial" w:hAnsi="Arial" w:cs="Arial"/>
        </w:rPr>
      </w:pPr>
    </w:p>
    <w:p w14:paraId="7811011D" w14:textId="77777777" w:rsidR="00263F55" w:rsidRPr="008E5B85" w:rsidRDefault="00263F55" w:rsidP="008E5B85">
      <w:pPr>
        <w:spacing w:line="360" w:lineRule="auto"/>
        <w:rPr>
          <w:rFonts w:ascii="Arial" w:hAnsi="Arial" w:cs="Arial"/>
        </w:rPr>
      </w:pPr>
    </w:p>
    <w:sectPr w:rsidR="00263F55" w:rsidRPr="008E5B8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6B6D9" w14:textId="77777777" w:rsidR="002A3018" w:rsidRDefault="002A3018" w:rsidP="00EF2D91">
      <w:pPr>
        <w:spacing w:after="0" w:line="240" w:lineRule="auto"/>
      </w:pPr>
      <w:r>
        <w:separator/>
      </w:r>
    </w:p>
  </w:endnote>
  <w:endnote w:type="continuationSeparator" w:id="0">
    <w:p w14:paraId="09DE08A1" w14:textId="77777777" w:rsidR="002A3018" w:rsidRDefault="002A3018" w:rsidP="00EF2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457911"/>
      <w:docPartObj>
        <w:docPartGallery w:val="Page Numbers (Bottom of Page)"/>
        <w:docPartUnique/>
      </w:docPartObj>
    </w:sdtPr>
    <w:sdtEndPr>
      <w:rPr>
        <w:noProof/>
      </w:rPr>
    </w:sdtEndPr>
    <w:sdtContent>
      <w:p w14:paraId="3BD1C844" w14:textId="6FD8AA6E" w:rsidR="00EF2D91" w:rsidRDefault="00EF2D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B17481" w14:textId="77777777" w:rsidR="00EF2D91" w:rsidRDefault="00EF2D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AD464" w14:textId="77777777" w:rsidR="002A3018" w:rsidRDefault="002A3018" w:rsidP="00EF2D91">
      <w:pPr>
        <w:spacing w:after="0" w:line="240" w:lineRule="auto"/>
      </w:pPr>
      <w:r>
        <w:separator/>
      </w:r>
    </w:p>
  </w:footnote>
  <w:footnote w:type="continuationSeparator" w:id="0">
    <w:p w14:paraId="531E3509" w14:textId="77777777" w:rsidR="002A3018" w:rsidRDefault="002A3018" w:rsidP="00EF2D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E6ED6"/>
    <w:multiLevelType w:val="hybridMultilevel"/>
    <w:tmpl w:val="4B822D40"/>
    <w:lvl w:ilvl="0" w:tplc="70D071A8">
      <w:start w:val="3"/>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21C0A"/>
    <w:multiLevelType w:val="multilevel"/>
    <w:tmpl w:val="326CB97E"/>
    <w:lvl w:ilvl="0">
      <w:start w:val="1"/>
      <w:numFmt w:val="decimal"/>
      <w:lvlText w:val="%1"/>
      <w:lvlJc w:val="left"/>
      <w:pPr>
        <w:ind w:left="468" w:hanging="468"/>
      </w:pPr>
      <w:rPr>
        <w:rFonts w:hint="default"/>
        <w:b/>
        <w:sz w:val="28"/>
      </w:rPr>
    </w:lvl>
    <w:lvl w:ilvl="1">
      <w:start w:val="1"/>
      <w:numFmt w:val="decimal"/>
      <w:lvlText w:val="%1.%2"/>
      <w:lvlJc w:val="left"/>
      <w:pPr>
        <w:ind w:left="720" w:hanging="720"/>
      </w:pPr>
      <w:rPr>
        <w:rFonts w:hint="default"/>
        <w:b/>
        <w:sz w:val="22"/>
        <w:szCs w:val="18"/>
      </w:rPr>
    </w:lvl>
    <w:lvl w:ilvl="2">
      <w:start w:val="1"/>
      <w:numFmt w:val="decimal"/>
      <w:lvlText w:val="%1.%2.%3"/>
      <w:lvlJc w:val="left"/>
      <w:pPr>
        <w:ind w:left="720" w:hanging="720"/>
      </w:pPr>
      <w:rPr>
        <w:rFonts w:hint="default"/>
        <w:b/>
        <w:sz w:val="28"/>
      </w:rPr>
    </w:lvl>
    <w:lvl w:ilvl="3">
      <w:start w:val="1"/>
      <w:numFmt w:val="decimal"/>
      <w:lvlText w:val="%1.%2.%3.%4"/>
      <w:lvlJc w:val="left"/>
      <w:pPr>
        <w:ind w:left="1080" w:hanging="1080"/>
      </w:pPr>
      <w:rPr>
        <w:rFonts w:hint="default"/>
        <w:b/>
        <w:sz w:val="28"/>
      </w:rPr>
    </w:lvl>
    <w:lvl w:ilvl="4">
      <w:start w:val="1"/>
      <w:numFmt w:val="decimal"/>
      <w:lvlText w:val="%1.%2.%3.%4.%5"/>
      <w:lvlJc w:val="left"/>
      <w:pPr>
        <w:ind w:left="1440" w:hanging="1440"/>
      </w:pPr>
      <w:rPr>
        <w:rFonts w:hint="default"/>
        <w:b/>
        <w:sz w:val="28"/>
      </w:rPr>
    </w:lvl>
    <w:lvl w:ilvl="5">
      <w:start w:val="1"/>
      <w:numFmt w:val="decimal"/>
      <w:lvlText w:val="%1.%2.%3.%4.%5.%6"/>
      <w:lvlJc w:val="left"/>
      <w:pPr>
        <w:ind w:left="1440" w:hanging="1440"/>
      </w:pPr>
      <w:rPr>
        <w:rFonts w:hint="default"/>
        <w:b/>
        <w:sz w:val="28"/>
      </w:rPr>
    </w:lvl>
    <w:lvl w:ilvl="6">
      <w:start w:val="1"/>
      <w:numFmt w:val="decimal"/>
      <w:lvlText w:val="%1.%2.%3.%4.%5.%6.%7"/>
      <w:lvlJc w:val="left"/>
      <w:pPr>
        <w:ind w:left="1800" w:hanging="1800"/>
      </w:pPr>
      <w:rPr>
        <w:rFonts w:hint="default"/>
        <w:b/>
        <w:sz w:val="28"/>
      </w:rPr>
    </w:lvl>
    <w:lvl w:ilvl="7">
      <w:start w:val="1"/>
      <w:numFmt w:val="decimal"/>
      <w:lvlText w:val="%1.%2.%3.%4.%5.%6.%7.%8"/>
      <w:lvlJc w:val="left"/>
      <w:pPr>
        <w:ind w:left="1800" w:hanging="1800"/>
      </w:pPr>
      <w:rPr>
        <w:rFonts w:hint="default"/>
        <w:b/>
        <w:sz w:val="28"/>
      </w:rPr>
    </w:lvl>
    <w:lvl w:ilvl="8">
      <w:start w:val="1"/>
      <w:numFmt w:val="decimal"/>
      <w:lvlText w:val="%1.%2.%3.%4.%5.%6.%7.%8.%9"/>
      <w:lvlJc w:val="left"/>
      <w:pPr>
        <w:ind w:left="2160" w:hanging="2160"/>
      </w:pPr>
      <w:rPr>
        <w:rFonts w:hint="default"/>
        <w:b/>
        <w:sz w:val="28"/>
      </w:rPr>
    </w:lvl>
  </w:abstractNum>
  <w:abstractNum w:abstractNumId="2" w15:restartNumberingAfterBreak="0">
    <w:nsid w:val="3EF90829"/>
    <w:multiLevelType w:val="multilevel"/>
    <w:tmpl w:val="2BFE020C"/>
    <w:lvl w:ilvl="0">
      <w:start w:val="1"/>
      <w:numFmt w:val="decimal"/>
      <w:lvlText w:val="%1."/>
      <w:lvlJc w:val="left"/>
      <w:pPr>
        <w:ind w:left="1080" w:hanging="360"/>
      </w:pPr>
      <w:rPr>
        <w:rFonts w:hint="default"/>
      </w:rPr>
    </w:lvl>
    <w:lvl w:ilvl="1">
      <w:start w:val="1"/>
      <w:numFmt w:val="decimal"/>
      <w:isLgl/>
      <w:lvlText w:val="%1.%2"/>
      <w:lvlJc w:val="left"/>
      <w:pPr>
        <w:ind w:left="1536" w:hanging="444"/>
      </w:pPr>
      <w:rPr>
        <w:rFonts w:hint="default"/>
      </w:rPr>
    </w:lvl>
    <w:lvl w:ilvl="2">
      <w:start w:val="1"/>
      <w:numFmt w:val="decimal"/>
      <w:isLgl/>
      <w:lvlText w:val="%1.%2.%3"/>
      <w:lvlJc w:val="left"/>
      <w:pPr>
        <w:ind w:left="2184" w:hanging="720"/>
      </w:pPr>
      <w:rPr>
        <w:rFonts w:hint="default"/>
      </w:rPr>
    </w:lvl>
    <w:lvl w:ilvl="3">
      <w:start w:val="1"/>
      <w:numFmt w:val="decimal"/>
      <w:isLgl/>
      <w:lvlText w:val="%1.%2.%3.%4"/>
      <w:lvlJc w:val="left"/>
      <w:pPr>
        <w:ind w:left="2556" w:hanging="720"/>
      </w:pPr>
      <w:rPr>
        <w:rFonts w:hint="default"/>
      </w:rPr>
    </w:lvl>
    <w:lvl w:ilvl="4">
      <w:start w:val="1"/>
      <w:numFmt w:val="decimal"/>
      <w:isLgl/>
      <w:lvlText w:val="%1.%2.%3.%4.%5"/>
      <w:lvlJc w:val="left"/>
      <w:pPr>
        <w:ind w:left="3288" w:hanging="1080"/>
      </w:pPr>
      <w:rPr>
        <w:rFonts w:hint="default"/>
      </w:rPr>
    </w:lvl>
    <w:lvl w:ilvl="5">
      <w:start w:val="1"/>
      <w:numFmt w:val="decimal"/>
      <w:isLgl/>
      <w:lvlText w:val="%1.%2.%3.%4.%5.%6"/>
      <w:lvlJc w:val="left"/>
      <w:pPr>
        <w:ind w:left="3660" w:hanging="1080"/>
      </w:pPr>
      <w:rPr>
        <w:rFonts w:hint="default"/>
      </w:rPr>
    </w:lvl>
    <w:lvl w:ilvl="6">
      <w:start w:val="1"/>
      <w:numFmt w:val="decimal"/>
      <w:isLgl/>
      <w:lvlText w:val="%1.%2.%3.%4.%5.%6.%7"/>
      <w:lvlJc w:val="left"/>
      <w:pPr>
        <w:ind w:left="4392" w:hanging="1440"/>
      </w:pPr>
      <w:rPr>
        <w:rFonts w:hint="default"/>
      </w:rPr>
    </w:lvl>
    <w:lvl w:ilvl="7">
      <w:start w:val="1"/>
      <w:numFmt w:val="decimal"/>
      <w:isLgl/>
      <w:lvlText w:val="%1.%2.%3.%4.%5.%6.%7.%8"/>
      <w:lvlJc w:val="left"/>
      <w:pPr>
        <w:ind w:left="4764" w:hanging="1440"/>
      </w:pPr>
      <w:rPr>
        <w:rFonts w:hint="default"/>
      </w:rPr>
    </w:lvl>
    <w:lvl w:ilvl="8">
      <w:start w:val="1"/>
      <w:numFmt w:val="decimal"/>
      <w:isLgl/>
      <w:lvlText w:val="%1.%2.%3.%4.%5.%6.%7.%8.%9"/>
      <w:lvlJc w:val="left"/>
      <w:pPr>
        <w:ind w:left="5496" w:hanging="1800"/>
      </w:pPr>
      <w:rPr>
        <w:rFonts w:hint="default"/>
      </w:rPr>
    </w:lvl>
  </w:abstractNum>
  <w:abstractNum w:abstractNumId="3" w15:restartNumberingAfterBreak="0">
    <w:nsid w:val="44B22E37"/>
    <w:multiLevelType w:val="hybridMultilevel"/>
    <w:tmpl w:val="3FEE0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DB77C2"/>
    <w:multiLevelType w:val="multilevel"/>
    <w:tmpl w:val="2BFE020C"/>
    <w:lvl w:ilvl="0">
      <w:start w:val="1"/>
      <w:numFmt w:val="decimal"/>
      <w:lvlText w:val="%1."/>
      <w:lvlJc w:val="left"/>
      <w:pPr>
        <w:ind w:left="1080" w:hanging="360"/>
      </w:pPr>
      <w:rPr>
        <w:rFonts w:hint="default"/>
      </w:rPr>
    </w:lvl>
    <w:lvl w:ilvl="1">
      <w:start w:val="1"/>
      <w:numFmt w:val="decimal"/>
      <w:isLgl/>
      <w:lvlText w:val="%1.%2"/>
      <w:lvlJc w:val="left"/>
      <w:pPr>
        <w:ind w:left="1536" w:hanging="444"/>
      </w:pPr>
      <w:rPr>
        <w:rFonts w:hint="default"/>
      </w:rPr>
    </w:lvl>
    <w:lvl w:ilvl="2">
      <w:start w:val="1"/>
      <w:numFmt w:val="decimal"/>
      <w:isLgl/>
      <w:lvlText w:val="%1.%2.%3"/>
      <w:lvlJc w:val="left"/>
      <w:pPr>
        <w:ind w:left="2184" w:hanging="720"/>
      </w:pPr>
      <w:rPr>
        <w:rFonts w:hint="default"/>
      </w:rPr>
    </w:lvl>
    <w:lvl w:ilvl="3">
      <w:start w:val="1"/>
      <w:numFmt w:val="decimal"/>
      <w:isLgl/>
      <w:lvlText w:val="%1.%2.%3.%4"/>
      <w:lvlJc w:val="left"/>
      <w:pPr>
        <w:ind w:left="2556" w:hanging="720"/>
      </w:pPr>
      <w:rPr>
        <w:rFonts w:hint="default"/>
      </w:rPr>
    </w:lvl>
    <w:lvl w:ilvl="4">
      <w:start w:val="1"/>
      <w:numFmt w:val="decimal"/>
      <w:isLgl/>
      <w:lvlText w:val="%1.%2.%3.%4.%5"/>
      <w:lvlJc w:val="left"/>
      <w:pPr>
        <w:ind w:left="3288" w:hanging="1080"/>
      </w:pPr>
      <w:rPr>
        <w:rFonts w:hint="default"/>
      </w:rPr>
    </w:lvl>
    <w:lvl w:ilvl="5">
      <w:start w:val="1"/>
      <w:numFmt w:val="decimal"/>
      <w:isLgl/>
      <w:lvlText w:val="%1.%2.%3.%4.%5.%6"/>
      <w:lvlJc w:val="left"/>
      <w:pPr>
        <w:ind w:left="3660" w:hanging="1080"/>
      </w:pPr>
      <w:rPr>
        <w:rFonts w:hint="default"/>
      </w:rPr>
    </w:lvl>
    <w:lvl w:ilvl="6">
      <w:start w:val="1"/>
      <w:numFmt w:val="decimal"/>
      <w:isLgl/>
      <w:lvlText w:val="%1.%2.%3.%4.%5.%6.%7"/>
      <w:lvlJc w:val="left"/>
      <w:pPr>
        <w:ind w:left="4392" w:hanging="1440"/>
      </w:pPr>
      <w:rPr>
        <w:rFonts w:hint="default"/>
      </w:rPr>
    </w:lvl>
    <w:lvl w:ilvl="7">
      <w:start w:val="1"/>
      <w:numFmt w:val="decimal"/>
      <w:isLgl/>
      <w:lvlText w:val="%1.%2.%3.%4.%5.%6.%7.%8"/>
      <w:lvlJc w:val="left"/>
      <w:pPr>
        <w:ind w:left="4764" w:hanging="1440"/>
      </w:pPr>
      <w:rPr>
        <w:rFonts w:hint="default"/>
      </w:rPr>
    </w:lvl>
    <w:lvl w:ilvl="8">
      <w:start w:val="1"/>
      <w:numFmt w:val="decimal"/>
      <w:isLgl/>
      <w:lvlText w:val="%1.%2.%3.%4.%5.%6.%7.%8.%9"/>
      <w:lvlJc w:val="left"/>
      <w:pPr>
        <w:ind w:left="5496" w:hanging="1800"/>
      </w:pPr>
      <w:rPr>
        <w:rFonts w:hint="default"/>
      </w:rPr>
    </w:lvl>
  </w:abstractNum>
  <w:abstractNum w:abstractNumId="5" w15:restartNumberingAfterBreak="0">
    <w:nsid w:val="6B846D97"/>
    <w:multiLevelType w:val="multilevel"/>
    <w:tmpl w:val="292A7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9043535">
    <w:abstractNumId w:val="3"/>
  </w:num>
  <w:num w:numId="2" w16cid:durableId="1071729771">
    <w:abstractNumId w:val="2"/>
  </w:num>
  <w:num w:numId="3" w16cid:durableId="1197887996">
    <w:abstractNumId w:val="1"/>
  </w:num>
  <w:num w:numId="4" w16cid:durableId="3213085">
    <w:abstractNumId w:val="0"/>
  </w:num>
  <w:num w:numId="5" w16cid:durableId="805779504">
    <w:abstractNumId w:val="5"/>
  </w:num>
  <w:num w:numId="6" w16cid:durableId="3794067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D91"/>
    <w:rsid w:val="00221AD8"/>
    <w:rsid w:val="00263F55"/>
    <w:rsid w:val="002A3018"/>
    <w:rsid w:val="006657B2"/>
    <w:rsid w:val="008354C1"/>
    <w:rsid w:val="008E5B85"/>
    <w:rsid w:val="00AC3682"/>
    <w:rsid w:val="00AD2C3D"/>
    <w:rsid w:val="00BB10D4"/>
    <w:rsid w:val="00C0721C"/>
    <w:rsid w:val="00C64F06"/>
    <w:rsid w:val="00EF2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EAE5"/>
  <w15:chartTrackingRefBased/>
  <w15:docId w15:val="{E8B4C9DB-DE8F-4EA0-856B-2A0333C67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D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D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D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D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D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D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D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D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D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D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D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D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D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D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D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D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D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D91"/>
    <w:rPr>
      <w:rFonts w:eastAsiaTheme="majorEastAsia" w:cstheme="majorBidi"/>
      <w:color w:val="272727" w:themeColor="text1" w:themeTint="D8"/>
    </w:rPr>
  </w:style>
  <w:style w:type="paragraph" w:styleId="Title">
    <w:name w:val="Title"/>
    <w:basedOn w:val="Normal"/>
    <w:next w:val="Normal"/>
    <w:link w:val="TitleChar"/>
    <w:uiPriority w:val="10"/>
    <w:qFormat/>
    <w:rsid w:val="00EF2D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D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D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D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D91"/>
    <w:pPr>
      <w:spacing w:before="160"/>
      <w:jc w:val="center"/>
    </w:pPr>
    <w:rPr>
      <w:i/>
      <w:iCs/>
      <w:color w:val="404040" w:themeColor="text1" w:themeTint="BF"/>
    </w:rPr>
  </w:style>
  <w:style w:type="character" w:customStyle="1" w:styleId="QuoteChar">
    <w:name w:val="Quote Char"/>
    <w:basedOn w:val="DefaultParagraphFont"/>
    <w:link w:val="Quote"/>
    <w:uiPriority w:val="29"/>
    <w:rsid w:val="00EF2D91"/>
    <w:rPr>
      <w:i/>
      <w:iCs/>
      <w:color w:val="404040" w:themeColor="text1" w:themeTint="BF"/>
    </w:rPr>
  </w:style>
  <w:style w:type="paragraph" w:styleId="ListParagraph">
    <w:name w:val="List Paragraph"/>
    <w:basedOn w:val="Normal"/>
    <w:uiPriority w:val="34"/>
    <w:qFormat/>
    <w:rsid w:val="00EF2D91"/>
    <w:pPr>
      <w:ind w:left="720"/>
      <w:contextualSpacing/>
    </w:pPr>
  </w:style>
  <w:style w:type="character" w:styleId="IntenseEmphasis">
    <w:name w:val="Intense Emphasis"/>
    <w:basedOn w:val="DefaultParagraphFont"/>
    <w:uiPriority w:val="21"/>
    <w:qFormat/>
    <w:rsid w:val="00EF2D91"/>
    <w:rPr>
      <w:i/>
      <w:iCs/>
      <w:color w:val="0F4761" w:themeColor="accent1" w:themeShade="BF"/>
    </w:rPr>
  </w:style>
  <w:style w:type="paragraph" w:styleId="IntenseQuote">
    <w:name w:val="Intense Quote"/>
    <w:basedOn w:val="Normal"/>
    <w:next w:val="Normal"/>
    <w:link w:val="IntenseQuoteChar"/>
    <w:uiPriority w:val="30"/>
    <w:qFormat/>
    <w:rsid w:val="00EF2D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D91"/>
    <w:rPr>
      <w:i/>
      <w:iCs/>
      <w:color w:val="0F4761" w:themeColor="accent1" w:themeShade="BF"/>
    </w:rPr>
  </w:style>
  <w:style w:type="character" w:styleId="IntenseReference">
    <w:name w:val="Intense Reference"/>
    <w:basedOn w:val="DefaultParagraphFont"/>
    <w:uiPriority w:val="32"/>
    <w:qFormat/>
    <w:rsid w:val="00EF2D91"/>
    <w:rPr>
      <w:b/>
      <w:bCs/>
      <w:smallCaps/>
      <w:color w:val="0F4761" w:themeColor="accent1" w:themeShade="BF"/>
      <w:spacing w:val="5"/>
    </w:rPr>
  </w:style>
  <w:style w:type="paragraph" w:styleId="Header">
    <w:name w:val="header"/>
    <w:basedOn w:val="Normal"/>
    <w:link w:val="HeaderChar"/>
    <w:uiPriority w:val="99"/>
    <w:unhideWhenUsed/>
    <w:rsid w:val="00EF2D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D91"/>
  </w:style>
  <w:style w:type="paragraph" w:styleId="Footer">
    <w:name w:val="footer"/>
    <w:basedOn w:val="Normal"/>
    <w:link w:val="FooterChar"/>
    <w:uiPriority w:val="99"/>
    <w:unhideWhenUsed/>
    <w:rsid w:val="00EF2D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D91"/>
  </w:style>
  <w:style w:type="paragraph" w:styleId="NormalWeb">
    <w:name w:val="Normal (Web)"/>
    <w:basedOn w:val="Normal"/>
    <w:uiPriority w:val="99"/>
    <w:unhideWhenUsed/>
    <w:rsid w:val="00C072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0721C"/>
    <w:rPr>
      <w:color w:val="467886" w:themeColor="hyperlink"/>
      <w:u w:val="single"/>
    </w:rPr>
  </w:style>
  <w:style w:type="character" w:styleId="UnresolvedMention">
    <w:name w:val="Unresolved Mention"/>
    <w:basedOn w:val="DefaultParagraphFont"/>
    <w:uiPriority w:val="99"/>
    <w:semiHidden/>
    <w:unhideWhenUsed/>
    <w:rsid w:val="00C07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2307/3590989"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11</Pages>
  <Words>2649</Words>
  <Characters>15102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1</cp:revision>
  <dcterms:created xsi:type="dcterms:W3CDTF">2026-06-18T22:12:00Z</dcterms:created>
  <dcterms:modified xsi:type="dcterms:W3CDTF">2026-06-18T23:46:00Z</dcterms:modified>
</cp:coreProperties>
</file>