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BA690D3" w14:textId="08567307" w:rsidR="00324C1D" w:rsidRDefault="00324C1D" w:rsidP="00324C1D">
      <w:pPr>
        <w:spacing w:line="360" w:lineRule="auto"/>
        <w:jc w:val="both"/>
      </w:pPr>
    </w:p>
    <w:p w14:paraId="689B37FA" w14:textId="77777777" w:rsidR="00324C1D" w:rsidRDefault="00324C1D" w:rsidP="00324C1D">
      <w:pPr>
        <w:pStyle w:val="Body"/>
        <w:jc w:val="both"/>
        <w:rPr>
          <w:rFonts w:ascii="Arial" w:hAnsi="Arial"/>
          <w:b/>
          <w:bCs/>
          <w:sz w:val="28"/>
          <w:szCs w:val="28"/>
          <w:u w:val="single"/>
        </w:rPr>
      </w:pPr>
      <w:r w:rsidRPr="00A406E5">
        <w:rPr>
          <w:rFonts w:ascii="Arial" w:hAnsi="Arial" w:cs="Arial"/>
          <w:noProof/>
        </w:rPr>
        <w:drawing>
          <wp:anchor distT="0" distB="0" distL="114300" distR="114300" simplePos="0" relativeHeight="251659264" behindDoc="0" locked="0" layoutInCell="1" allowOverlap="1" wp14:anchorId="3D61797E" wp14:editId="5F7EA380">
            <wp:simplePos x="0" y="0"/>
            <wp:positionH relativeFrom="column">
              <wp:posOffset>0</wp:posOffset>
            </wp:positionH>
            <wp:positionV relativeFrom="paragraph">
              <wp:posOffset>0</wp:posOffset>
            </wp:positionV>
            <wp:extent cx="3035300" cy="1243330"/>
            <wp:effectExtent l="0" t="0" r="0" b="0"/>
            <wp:wrapSquare wrapText="bothSides"/>
            <wp:docPr id="20" name="Picture 2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035300" cy="12433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5BF5ADF" w14:textId="77777777" w:rsidR="00324C1D" w:rsidRDefault="00324C1D" w:rsidP="00324C1D">
      <w:pPr>
        <w:spacing w:line="276" w:lineRule="auto"/>
        <w:jc w:val="center"/>
        <w:rPr>
          <w:rFonts w:ascii="Arial" w:hAnsi="Arial" w:cs="Arial"/>
          <w:b/>
          <w:bCs/>
          <w:sz w:val="36"/>
          <w:szCs w:val="36"/>
        </w:rPr>
      </w:pPr>
    </w:p>
    <w:p w14:paraId="390DE9D0" w14:textId="77777777" w:rsidR="00324C1D" w:rsidRDefault="00324C1D" w:rsidP="00324C1D">
      <w:pPr>
        <w:spacing w:line="276" w:lineRule="auto"/>
        <w:jc w:val="center"/>
        <w:rPr>
          <w:rFonts w:ascii="Arial" w:hAnsi="Arial" w:cs="Arial"/>
          <w:b/>
          <w:bCs/>
          <w:sz w:val="36"/>
          <w:szCs w:val="36"/>
        </w:rPr>
      </w:pPr>
    </w:p>
    <w:p w14:paraId="65CFB15E" w14:textId="77777777" w:rsidR="00324C1D" w:rsidRDefault="00324C1D" w:rsidP="00324C1D">
      <w:pPr>
        <w:spacing w:line="276" w:lineRule="auto"/>
        <w:jc w:val="center"/>
        <w:rPr>
          <w:rFonts w:ascii="Arial" w:hAnsi="Arial" w:cs="Arial"/>
          <w:b/>
          <w:bCs/>
          <w:sz w:val="36"/>
          <w:szCs w:val="36"/>
        </w:rPr>
      </w:pPr>
    </w:p>
    <w:p w14:paraId="6BD4570F" w14:textId="77777777" w:rsidR="00324C1D" w:rsidRDefault="00324C1D" w:rsidP="00324C1D">
      <w:pPr>
        <w:spacing w:line="276" w:lineRule="auto"/>
        <w:jc w:val="center"/>
        <w:rPr>
          <w:rFonts w:ascii="Arial" w:hAnsi="Arial" w:cs="Arial"/>
          <w:b/>
          <w:bCs/>
          <w:sz w:val="36"/>
          <w:szCs w:val="36"/>
        </w:rPr>
      </w:pPr>
    </w:p>
    <w:p w14:paraId="4C1CDA94" w14:textId="77777777" w:rsidR="00324C1D" w:rsidRDefault="00324C1D" w:rsidP="00324C1D">
      <w:pPr>
        <w:spacing w:line="276" w:lineRule="auto"/>
        <w:rPr>
          <w:rFonts w:ascii="Arial" w:hAnsi="Arial" w:cs="Arial"/>
          <w:b/>
          <w:bCs/>
          <w:sz w:val="36"/>
          <w:szCs w:val="36"/>
        </w:rPr>
      </w:pPr>
    </w:p>
    <w:p w14:paraId="09FA2A9F" w14:textId="77777777" w:rsidR="00324C1D" w:rsidRDefault="00324C1D" w:rsidP="00324C1D">
      <w:pPr>
        <w:spacing w:line="276" w:lineRule="auto"/>
        <w:jc w:val="center"/>
        <w:rPr>
          <w:rFonts w:ascii="Arial" w:hAnsi="Arial" w:cs="Arial"/>
          <w:b/>
          <w:bCs/>
          <w:sz w:val="36"/>
          <w:szCs w:val="36"/>
        </w:rPr>
      </w:pPr>
    </w:p>
    <w:p w14:paraId="5D41DAD8" w14:textId="77777777" w:rsidR="00324C1D" w:rsidRPr="00C136C1" w:rsidRDefault="00324C1D" w:rsidP="00324C1D">
      <w:pPr>
        <w:spacing w:line="276" w:lineRule="auto"/>
        <w:jc w:val="center"/>
        <w:rPr>
          <w:rFonts w:ascii="Arial" w:hAnsi="Arial" w:cs="Arial"/>
          <w:b/>
          <w:bCs/>
          <w:sz w:val="36"/>
          <w:szCs w:val="36"/>
        </w:rPr>
      </w:pPr>
      <w:r w:rsidRPr="00C136C1">
        <w:rPr>
          <w:rFonts w:ascii="Arial" w:hAnsi="Arial" w:cs="Arial"/>
          <w:b/>
          <w:bCs/>
          <w:sz w:val="36"/>
          <w:szCs w:val="36"/>
        </w:rPr>
        <w:t>UNIVERSITY OF WALES – TRINITY SAINT DAVID</w:t>
      </w:r>
    </w:p>
    <w:p w14:paraId="42757C71" w14:textId="77777777" w:rsidR="00324C1D" w:rsidRDefault="00324C1D" w:rsidP="00324C1D">
      <w:pPr>
        <w:spacing w:line="276" w:lineRule="auto"/>
        <w:jc w:val="center"/>
        <w:rPr>
          <w:rFonts w:ascii="Arial" w:hAnsi="Arial" w:cs="Arial"/>
          <w:b/>
          <w:bCs/>
          <w:sz w:val="48"/>
          <w:szCs w:val="48"/>
        </w:rPr>
      </w:pPr>
    </w:p>
    <w:p w14:paraId="3033CB13" w14:textId="77777777" w:rsidR="00324C1D" w:rsidRDefault="00324C1D" w:rsidP="00324C1D">
      <w:pPr>
        <w:spacing w:line="360" w:lineRule="auto"/>
        <w:jc w:val="center"/>
        <w:rPr>
          <w:rFonts w:ascii="Arial" w:hAnsi="Arial" w:cs="Arial"/>
          <w:b/>
          <w:bCs/>
          <w:sz w:val="32"/>
          <w:szCs w:val="32"/>
        </w:rPr>
      </w:pPr>
    </w:p>
    <w:p w14:paraId="4E027171" w14:textId="77777777" w:rsidR="00324C1D" w:rsidRPr="00C136C1" w:rsidRDefault="00324C1D" w:rsidP="00324C1D">
      <w:pPr>
        <w:spacing w:line="360" w:lineRule="auto"/>
        <w:jc w:val="center"/>
        <w:rPr>
          <w:rFonts w:ascii="Arial" w:hAnsi="Arial" w:cs="Arial"/>
          <w:b/>
          <w:bCs/>
          <w:sz w:val="32"/>
          <w:szCs w:val="32"/>
        </w:rPr>
      </w:pPr>
    </w:p>
    <w:p w14:paraId="4EC6D836" w14:textId="18533F57" w:rsidR="00324C1D" w:rsidRDefault="00324C1D" w:rsidP="00324C1D">
      <w:pPr>
        <w:spacing w:line="360" w:lineRule="auto"/>
        <w:jc w:val="center"/>
        <w:rPr>
          <w:rFonts w:ascii="Arial" w:hAnsi="Arial" w:cs="Arial"/>
          <w:sz w:val="32"/>
          <w:szCs w:val="32"/>
        </w:rPr>
      </w:pPr>
      <w:r w:rsidRPr="00C136C1">
        <w:rPr>
          <w:rFonts w:ascii="Arial" w:hAnsi="Arial" w:cs="Arial"/>
          <w:b/>
          <w:bCs/>
          <w:sz w:val="32"/>
          <w:szCs w:val="32"/>
        </w:rPr>
        <w:t xml:space="preserve">Student name: </w:t>
      </w:r>
      <w:r>
        <w:rPr>
          <w:rFonts w:ascii="Arial" w:hAnsi="Arial" w:cs="Arial"/>
          <w:sz w:val="32"/>
          <w:szCs w:val="32"/>
        </w:rPr>
        <w:t xml:space="preserve">Alexandru Danciuc </w:t>
      </w:r>
    </w:p>
    <w:p w14:paraId="4CB1BE47" w14:textId="59DD832E" w:rsidR="00324C1D" w:rsidRDefault="00324C1D" w:rsidP="00324C1D">
      <w:pPr>
        <w:spacing w:line="360" w:lineRule="auto"/>
        <w:jc w:val="center"/>
        <w:rPr>
          <w:rFonts w:ascii="Arial" w:hAnsi="Arial" w:cs="Arial"/>
          <w:sz w:val="32"/>
          <w:szCs w:val="32"/>
        </w:rPr>
      </w:pPr>
    </w:p>
    <w:p w14:paraId="21FE704D" w14:textId="337F3801" w:rsidR="00324C1D" w:rsidRDefault="00324C1D" w:rsidP="00324C1D">
      <w:pPr>
        <w:spacing w:line="360" w:lineRule="auto"/>
        <w:jc w:val="center"/>
        <w:rPr>
          <w:rFonts w:ascii="Arial" w:hAnsi="Arial" w:cs="Arial"/>
          <w:sz w:val="32"/>
          <w:szCs w:val="32"/>
        </w:rPr>
      </w:pPr>
      <w:r>
        <w:rPr>
          <w:rFonts w:ascii="Arial" w:hAnsi="Arial" w:cs="Arial"/>
          <w:sz w:val="32"/>
          <w:szCs w:val="32"/>
        </w:rPr>
        <w:t xml:space="preserve">Module Name: </w:t>
      </w:r>
      <w:r w:rsidRPr="00324C1D">
        <w:rPr>
          <w:rFonts w:ascii="Arial" w:hAnsi="Arial" w:cs="Arial"/>
          <w:b/>
          <w:bCs/>
          <w:sz w:val="32"/>
          <w:szCs w:val="32"/>
        </w:rPr>
        <w:t>Strategic Management for Business</w:t>
      </w:r>
    </w:p>
    <w:p w14:paraId="32945D13" w14:textId="77777777" w:rsidR="00324C1D" w:rsidRPr="00324C1D" w:rsidRDefault="00324C1D" w:rsidP="00324C1D">
      <w:pPr>
        <w:spacing w:line="360" w:lineRule="auto"/>
        <w:jc w:val="center"/>
        <w:rPr>
          <w:rFonts w:ascii="Arial" w:hAnsi="Arial" w:cs="Arial"/>
          <w:b/>
          <w:bCs/>
          <w:sz w:val="32"/>
          <w:szCs w:val="32"/>
        </w:rPr>
      </w:pPr>
    </w:p>
    <w:p w14:paraId="544D1F3C" w14:textId="0F57F8A3" w:rsidR="00324C1D" w:rsidRDefault="00324C1D" w:rsidP="00324C1D">
      <w:pPr>
        <w:spacing w:line="360" w:lineRule="auto"/>
        <w:jc w:val="center"/>
        <w:rPr>
          <w:rFonts w:ascii="Arial" w:hAnsi="Arial" w:cs="Arial"/>
          <w:sz w:val="32"/>
          <w:szCs w:val="32"/>
        </w:rPr>
      </w:pPr>
      <w:r w:rsidRPr="00324C1D">
        <w:rPr>
          <w:rFonts w:ascii="Arial" w:hAnsi="Arial" w:cs="Arial"/>
          <w:b/>
          <w:bCs/>
          <w:sz w:val="32"/>
          <w:szCs w:val="32"/>
        </w:rPr>
        <w:t>Component O</w:t>
      </w:r>
      <w:r>
        <w:rPr>
          <w:rFonts w:ascii="Arial" w:hAnsi="Arial" w:cs="Arial"/>
          <w:b/>
          <w:bCs/>
          <w:sz w:val="32"/>
          <w:szCs w:val="32"/>
        </w:rPr>
        <w:t>ne</w:t>
      </w:r>
      <w:r>
        <w:rPr>
          <w:rFonts w:ascii="Arial" w:hAnsi="Arial" w:cs="Arial"/>
          <w:sz w:val="32"/>
          <w:szCs w:val="32"/>
        </w:rPr>
        <w:t>: Scenario Based Report Vodafone UK</w:t>
      </w:r>
    </w:p>
    <w:p w14:paraId="682A22A0" w14:textId="77777777" w:rsidR="00324C1D" w:rsidRDefault="00324C1D" w:rsidP="00324C1D">
      <w:pPr>
        <w:spacing w:line="360" w:lineRule="auto"/>
        <w:jc w:val="center"/>
        <w:rPr>
          <w:rFonts w:ascii="Arial" w:hAnsi="Arial" w:cs="Arial"/>
          <w:sz w:val="32"/>
          <w:szCs w:val="32"/>
        </w:rPr>
      </w:pPr>
    </w:p>
    <w:p w14:paraId="7787775B" w14:textId="3CEA4CB2" w:rsidR="00324C1D" w:rsidRDefault="00324C1D" w:rsidP="00324C1D">
      <w:pPr>
        <w:spacing w:line="360" w:lineRule="auto"/>
        <w:jc w:val="both"/>
      </w:pPr>
    </w:p>
    <w:p w14:paraId="038D2D72" w14:textId="5A152DA7" w:rsidR="00324C1D" w:rsidRDefault="00324C1D" w:rsidP="00324C1D">
      <w:pPr>
        <w:spacing w:line="360" w:lineRule="auto"/>
        <w:jc w:val="both"/>
      </w:pPr>
    </w:p>
    <w:p w14:paraId="79854531" w14:textId="08BC6DBA" w:rsidR="00324C1D" w:rsidRDefault="00324C1D" w:rsidP="00324C1D">
      <w:pPr>
        <w:spacing w:line="360" w:lineRule="auto"/>
        <w:jc w:val="both"/>
      </w:pPr>
    </w:p>
    <w:p w14:paraId="3FCA350A" w14:textId="4B618A83" w:rsidR="00324C1D" w:rsidRDefault="00324C1D" w:rsidP="00324C1D">
      <w:pPr>
        <w:spacing w:line="360" w:lineRule="auto"/>
        <w:jc w:val="both"/>
      </w:pPr>
    </w:p>
    <w:p w14:paraId="780BA12C" w14:textId="7133102A" w:rsidR="00324C1D" w:rsidRDefault="00324C1D" w:rsidP="00324C1D">
      <w:pPr>
        <w:spacing w:line="360" w:lineRule="auto"/>
        <w:jc w:val="both"/>
      </w:pPr>
    </w:p>
    <w:p w14:paraId="4F000CC6" w14:textId="4FF6E8F6" w:rsidR="00324C1D" w:rsidRDefault="00324C1D" w:rsidP="00324C1D">
      <w:pPr>
        <w:spacing w:line="360" w:lineRule="auto"/>
        <w:jc w:val="both"/>
      </w:pPr>
    </w:p>
    <w:p w14:paraId="4E5407D3" w14:textId="77777777" w:rsidR="00324C1D" w:rsidRDefault="00324C1D" w:rsidP="00324C1D">
      <w:pPr>
        <w:spacing w:line="360" w:lineRule="auto"/>
        <w:jc w:val="both"/>
      </w:pPr>
    </w:p>
    <w:p w14:paraId="0C2ACDBB" w14:textId="61232C30" w:rsidR="00324C1D" w:rsidRDefault="00324C1D" w:rsidP="00324C1D">
      <w:pPr>
        <w:spacing w:line="360" w:lineRule="auto"/>
        <w:jc w:val="both"/>
      </w:pPr>
    </w:p>
    <w:p w14:paraId="5FB3878C" w14:textId="77777777" w:rsidR="00324C1D" w:rsidRDefault="00324C1D" w:rsidP="00324C1D">
      <w:pPr>
        <w:pStyle w:val="Heading1"/>
      </w:pPr>
      <w:r>
        <w:lastRenderedPageBreak/>
        <w:t>Executive Summary</w:t>
      </w:r>
    </w:p>
    <w:p w14:paraId="0563E71F" w14:textId="77777777" w:rsidR="00324C1D" w:rsidRDefault="00324C1D" w:rsidP="00324C1D">
      <w:pPr>
        <w:pStyle w:val="NormalWeb"/>
        <w:spacing w:line="360" w:lineRule="auto"/>
        <w:jc w:val="both"/>
      </w:pPr>
      <w:r>
        <w:t>This report evaluates Vodafone UK’s strategic transformation following the 2025 merger with Three UK, which created VodafoneThree. The merger gives the company greater scale, a stronger spectrum position and the opportunity to deliver an £11 billion network investment programme over ten years. However, the business also faces high integration risk, strong competition from BT/EE, Virgin Media O2 and MVNOs, regulatory scrutiny, and rising customer expectations around price, service quality and coverage.</w:t>
      </w:r>
    </w:p>
    <w:p w14:paraId="64A63AE5" w14:textId="314F6176" w:rsidR="00324C1D" w:rsidRDefault="00324C1D" w:rsidP="00324C1D">
      <w:pPr>
        <w:pStyle w:val="NormalWeb"/>
        <w:spacing w:line="360" w:lineRule="auto"/>
        <w:jc w:val="both"/>
      </w:pPr>
      <w:r>
        <w:t>The PESTLE and SWOT analysis show that VodafoneThree’s strongest opportunity is not simple price competition but using its enlarged network and digital capabilities to build long-term advantage. The recommended strategy is an ecosystem-led product and market development strategy focused on premium 5G services, SME digital packages, private 5G, IoT, cybersecurity and public-sector partnerships. This approach supports Vodafone’s mission of connecting people and businesses while also responding to UK needs around digital inclusion, rural coverage and enterprise transformation.</w:t>
      </w:r>
    </w:p>
    <w:p w14:paraId="582E4A97" w14:textId="77777777" w:rsidR="00324C1D" w:rsidRDefault="00324C1D" w:rsidP="00324C1D">
      <w:pPr>
        <w:pStyle w:val="NormalWeb"/>
        <w:spacing w:line="360" w:lineRule="auto"/>
        <w:jc w:val="both"/>
      </w:pPr>
      <w:r>
        <w:t>Using SFA evaluation, the strategy is suitable, feasible and acceptable if implemented carefully. It should be delivered in phases, beginning with network integration and customer experience improvement, followed by enterprise pilots and national scaling. Success should be monitored through KPIs including 5G coverage, churn, customer satisfaction, enterprise revenue, synergy delivery and regulatory compliance.</w:t>
      </w:r>
    </w:p>
    <w:p w14:paraId="1D63228E" w14:textId="77777777" w:rsidR="00324C1D" w:rsidRDefault="00324C1D" w:rsidP="00324C1D">
      <w:pPr>
        <w:spacing w:line="360" w:lineRule="auto"/>
        <w:jc w:val="both"/>
      </w:pPr>
    </w:p>
    <w:p w14:paraId="41A225D7" w14:textId="08BCF70F" w:rsidR="00324C1D" w:rsidRDefault="00324C1D" w:rsidP="00324C1D">
      <w:pPr>
        <w:spacing w:line="360" w:lineRule="auto"/>
        <w:jc w:val="both"/>
      </w:pPr>
    </w:p>
    <w:p w14:paraId="545E9FEA" w14:textId="4D29A6F4" w:rsidR="00324C1D" w:rsidRDefault="00324C1D" w:rsidP="00324C1D">
      <w:pPr>
        <w:spacing w:line="360" w:lineRule="auto"/>
        <w:jc w:val="both"/>
      </w:pPr>
    </w:p>
    <w:p w14:paraId="51F6BB67" w14:textId="01803351" w:rsidR="00324C1D" w:rsidRDefault="00324C1D" w:rsidP="00324C1D">
      <w:pPr>
        <w:spacing w:line="360" w:lineRule="auto"/>
        <w:jc w:val="both"/>
      </w:pPr>
    </w:p>
    <w:p w14:paraId="2E3D562F" w14:textId="022025EA" w:rsidR="00324C1D" w:rsidRDefault="00324C1D" w:rsidP="00324C1D">
      <w:pPr>
        <w:spacing w:line="360" w:lineRule="auto"/>
        <w:jc w:val="both"/>
      </w:pPr>
    </w:p>
    <w:p w14:paraId="265B4303" w14:textId="16268061" w:rsidR="00324C1D" w:rsidRDefault="00324C1D" w:rsidP="00324C1D">
      <w:pPr>
        <w:spacing w:line="360" w:lineRule="auto"/>
        <w:jc w:val="both"/>
      </w:pPr>
    </w:p>
    <w:p w14:paraId="5E17D780" w14:textId="53B32BEB" w:rsidR="00324C1D" w:rsidRDefault="00324C1D" w:rsidP="00324C1D">
      <w:pPr>
        <w:spacing w:line="360" w:lineRule="auto"/>
        <w:jc w:val="both"/>
      </w:pPr>
    </w:p>
    <w:p w14:paraId="1BA8B36F" w14:textId="31F873BB" w:rsidR="00324C1D" w:rsidRDefault="00324C1D" w:rsidP="00324C1D">
      <w:pPr>
        <w:spacing w:line="360" w:lineRule="auto"/>
        <w:jc w:val="both"/>
      </w:pPr>
    </w:p>
    <w:p w14:paraId="237C8E93" w14:textId="77777777" w:rsidR="00324C1D" w:rsidRDefault="00324C1D" w:rsidP="00324C1D">
      <w:pPr>
        <w:spacing w:line="360" w:lineRule="auto"/>
        <w:jc w:val="both"/>
      </w:pPr>
    </w:p>
    <w:sdt>
      <w:sdtPr>
        <w:rPr>
          <w:rFonts w:asciiTheme="minorHAnsi" w:eastAsiaTheme="minorHAnsi" w:hAnsiTheme="minorHAnsi" w:cstheme="minorBidi"/>
          <w:b w:val="0"/>
          <w:bCs w:val="0"/>
          <w:color w:val="auto"/>
          <w:sz w:val="24"/>
          <w:szCs w:val="24"/>
          <w:lang w:val="en-GB"/>
        </w:rPr>
        <w:id w:val="-925268173"/>
        <w:docPartObj>
          <w:docPartGallery w:val="Table of Contents"/>
          <w:docPartUnique/>
        </w:docPartObj>
      </w:sdtPr>
      <w:sdtEndPr>
        <w:rPr>
          <w:noProof/>
        </w:rPr>
      </w:sdtEndPr>
      <w:sdtContent>
        <w:p w14:paraId="24E0A936" w14:textId="47535EE9" w:rsidR="00324C1D" w:rsidRDefault="00324C1D">
          <w:pPr>
            <w:pStyle w:val="TOCHeading"/>
          </w:pPr>
          <w:r>
            <w:t>Table of Contents</w:t>
          </w:r>
        </w:p>
        <w:p w14:paraId="17F5B27F" w14:textId="5B575B7A" w:rsidR="00324C1D" w:rsidRDefault="00324C1D">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34470606" w:history="1">
            <w:r w:rsidRPr="00174CB8">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_Toc234470606 \h </w:instrText>
            </w:r>
            <w:r>
              <w:rPr>
                <w:noProof/>
                <w:webHidden/>
              </w:rPr>
            </w:r>
            <w:r>
              <w:rPr>
                <w:noProof/>
                <w:webHidden/>
              </w:rPr>
              <w:fldChar w:fldCharType="separate"/>
            </w:r>
            <w:r>
              <w:rPr>
                <w:noProof/>
                <w:webHidden/>
              </w:rPr>
              <w:t>1</w:t>
            </w:r>
            <w:r>
              <w:rPr>
                <w:noProof/>
                <w:webHidden/>
              </w:rPr>
              <w:fldChar w:fldCharType="end"/>
            </w:r>
          </w:hyperlink>
        </w:p>
        <w:p w14:paraId="47CD6024" w14:textId="215FE998" w:rsidR="00324C1D" w:rsidRDefault="00324C1D">
          <w:pPr>
            <w:pStyle w:val="TOC1"/>
            <w:tabs>
              <w:tab w:val="right" w:leader="dot" w:pos="9016"/>
            </w:tabs>
            <w:rPr>
              <w:noProof/>
            </w:rPr>
          </w:pPr>
          <w:hyperlink w:anchor="_Toc234470607" w:history="1">
            <w:r w:rsidRPr="00174CB8">
              <w:rPr>
                <w:rStyle w:val="Hyperlink"/>
                <w:rFonts w:eastAsia="Times New Roman"/>
                <w:noProof/>
                <w:lang w:eastAsia="en-GB"/>
              </w:rPr>
              <w:t>Evaluation of Current Market Situation</w:t>
            </w:r>
            <w:r>
              <w:rPr>
                <w:noProof/>
                <w:webHidden/>
              </w:rPr>
              <w:tab/>
            </w:r>
            <w:r>
              <w:rPr>
                <w:noProof/>
                <w:webHidden/>
              </w:rPr>
              <w:fldChar w:fldCharType="begin"/>
            </w:r>
            <w:r>
              <w:rPr>
                <w:noProof/>
                <w:webHidden/>
              </w:rPr>
              <w:instrText xml:space="preserve"> PAGEREF _Toc234470607 \h </w:instrText>
            </w:r>
            <w:r>
              <w:rPr>
                <w:noProof/>
                <w:webHidden/>
              </w:rPr>
            </w:r>
            <w:r>
              <w:rPr>
                <w:noProof/>
                <w:webHidden/>
              </w:rPr>
              <w:fldChar w:fldCharType="separate"/>
            </w:r>
            <w:r>
              <w:rPr>
                <w:noProof/>
                <w:webHidden/>
              </w:rPr>
              <w:t>2</w:t>
            </w:r>
            <w:r>
              <w:rPr>
                <w:noProof/>
                <w:webHidden/>
              </w:rPr>
              <w:fldChar w:fldCharType="end"/>
            </w:r>
          </w:hyperlink>
        </w:p>
        <w:p w14:paraId="2CEE3326" w14:textId="53DF6FFD" w:rsidR="00324C1D" w:rsidRDefault="00324C1D">
          <w:pPr>
            <w:pStyle w:val="TOC1"/>
            <w:tabs>
              <w:tab w:val="right" w:leader="dot" w:pos="9016"/>
            </w:tabs>
            <w:rPr>
              <w:noProof/>
            </w:rPr>
          </w:pPr>
          <w:hyperlink w:anchor="_Toc234470608" w:history="1">
            <w:r w:rsidRPr="00174CB8">
              <w:rPr>
                <w:rStyle w:val="Hyperlink"/>
                <w:rFonts w:eastAsia="Times New Roman"/>
                <w:noProof/>
                <w:lang w:eastAsia="en-GB"/>
              </w:rPr>
              <w:t>Strategic Growth Options and Proposed Strategy</w:t>
            </w:r>
            <w:r>
              <w:rPr>
                <w:noProof/>
                <w:webHidden/>
              </w:rPr>
              <w:tab/>
            </w:r>
            <w:r>
              <w:rPr>
                <w:noProof/>
                <w:webHidden/>
              </w:rPr>
              <w:fldChar w:fldCharType="begin"/>
            </w:r>
            <w:r>
              <w:rPr>
                <w:noProof/>
                <w:webHidden/>
              </w:rPr>
              <w:instrText xml:space="preserve"> PAGEREF _Toc234470608 \h </w:instrText>
            </w:r>
            <w:r>
              <w:rPr>
                <w:noProof/>
                <w:webHidden/>
              </w:rPr>
            </w:r>
            <w:r>
              <w:rPr>
                <w:noProof/>
                <w:webHidden/>
              </w:rPr>
              <w:fldChar w:fldCharType="separate"/>
            </w:r>
            <w:r>
              <w:rPr>
                <w:noProof/>
                <w:webHidden/>
              </w:rPr>
              <w:t>4</w:t>
            </w:r>
            <w:r>
              <w:rPr>
                <w:noProof/>
                <w:webHidden/>
              </w:rPr>
              <w:fldChar w:fldCharType="end"/>
            </w:r>
          </w:hyperlink>
        </w:p>
        <w:p w14:paraId="492D0C20" w14:textId="27144EE3" w:rsidR="00324C1D" w:rsidRDefault="00324C1D">
          <w:pPr>
            <w:pStyle w:val="TOC1"/>
            <w:tabs>
              <w:tab w:val="right" w:leader="dot" w:pos="9016"/>
            </w:tabs>
            <w:rPr>
              <w:noProof/>
            </w:rPr>
          </w:pPr>
          <w:hyperlink w:anchor="_Toc234470609" w:history="1">
            <w:r w:rsidRPr="00174CB8">
              <w:rPr>
                <w:rStyle w:val="Hyperlink"/>
                <w:noProof/>
              </w:rPr>
              <w:t>Strategy Evaluation</w:t>
            </w:r>
            <w:r>
              <w:rPr>
                <w:noProof/>
                <w:webHidden/>
              </w:rPr>
              <w:tab/>
            </w:r>
            <w:r>
              <w:rPr>
                <w:noProof/>
                <w:webHidden/>
              </w:rPr>
              <w:fldChar w:fldCharType="begin"/>
            </w:r>
            <w:r>
              <w:rPr>
                <w:noProof/>
                <w:webHidden/>
              </w:rPr>
              <w:instrText xml:space="preserve"> PAGEREF _Toc234470609 \h </w:instrText>
            </w:r>
            <w:r>
              <w:rPr>
                <w:noProof/>
                <w:webHidden/>
              </w:rPr>
            </w:r>
            <w:r>
              <w:rPr>
                <w:noProof/>
                <w:webHidden/>
              </w:rPr>
              <w:fldChar w:fldCharType="separate"/>
            </w:r>
            <w:r>
              <w:rPr>
                <w:noProof/>
                <w:webHidden/>
              </w:rPr>
              <w:t>6</w:t>
            </w:r>
            <w:r>
              <w:rPr>
                <w:noProof/>
                <w:webHidden/>
              </w:rPr>
              <w:fldChar w:fldCharType="end"/>
            </w:r>
          </w:hyperlink>
        </w:p>
        <w:p w14:paraId="603700DD" w14:textId="6CE3AFAD" w:rsidR="00324C1D" w:rsidRDefault="00324C1D">
          <w:pPr>
            <w:pStyle w:val="TOC1"/>
            <w:tabs>
              <w:tab w:val="right" w:leader="dot" w:pos="9016"/>
            </w:tabs>
            <w:rPr>
              <w:noProof/>
            </w:rPr>
          </w:pPr>
          <w:hyperlink w:anchor="_Toc234470610" w:history="1">
            <w:r w:rsidRPr="00174CB8">
              <w:rPr>
                <w:rStyle w:val="Hyperlink"/>
                <w:noProof/>
              </w:rPr>
              <w:t>Stakeholder Analysis</w:t>
            </w:r>
            <w:r>
              <w:rPr>
                <w:noProof/>
                <w:webHidden/>
              </w:rPr>
              <w:tab/>
            </w:r>
            <w:r>
              <w:rPr>
                <w:noProof/>
                <w:webHidden/>
              </w:rPr>
              <w:fldChar w:fldCharType="begin"/>
            </w:r>
            <w:r>
              <w:rPr>
                <w:noProof/>
                <w:webHidden/>
              </w:rPr>
              <w:instrText xml:space="preserve"> PAGEREF _Toc234470610 \h </w:instrText>
            </w:r>
            <w:r>
              <w:rPr>
                <w:noProof/>
                <w:webHidden/>
              </w:rPr>
            </w:r>
            <w:r>
              <w:rPr>
                <w:noProof/>
                <w:webHidden/>
              </w:rPr>
              <w:fldChar w:fldCharType="separate"/>
            </w:r>
            <w:r>
              <w:rPr>
                <w:noProof/>
                <w:webHidden/>
              </w:rPr>
              <w:t>7</w:t>
            </w:r>
            <w:r>
              <w:rPr>
                <w:noProof/>
                <w:webHidden/>
              </w:rPr>
              <w:fldChar w:fldCharType="end"/>
            </w:r>
          </w:hyperlink>
        </w:p>
        <w:p w14:paraId="392904F0" w14:textId="45A7ED55" w:rsidR="00324C1D" w:rsidRDefault="00324C1D">
          <w:pPr>
            <w:pStyle w:val="TOC1"/>
            <w:tabs>
              <w:tab w:val="right" w:leader="dot" w:pos="9016"/>
            </w:tabs>
            <w:rPr>
              <w:noProof/>
            </w:rPr>
          </w:pPr>
          <w:hyperlink w:anchor="_Toc234470611" w:history="1">
            <w:r w:rsidRPr="00174CB8">
              <w:rPr>
                <w:rStyle w:val="Hyperlink"/>
                <w:noProof/>
              </w:rPr>
              <w:t>Implementation and Monitoring</w:t>
            </w:r>
            <w:r>
              <w:rPr>
                <w:noProof/>
                <w:webHidden/>
              </w:rPr>
              <w:tab/>
            </w:r>
            <w:r>
              <w:rPr>
                <w:noProof/>
                <w:webHidden/>
              </w:rPr>
              <w:fldChar w:fldCharType="begin"/>
            </w:r>
            <w:r>
              <w:rPr>
                <w:noProof/>
                <w:webHidden/>
              </w:rPr>
              <w:instrText xml:space="preserve"> PAGEREF _Toc234470611 \h </w:instrText>
            </w:r>
            <w:r>
              <w:rPr>
                <w:noProof/>
                <w:webHidden/>
              </w:rPr>
            </w:r>
            <w:r>
              <w:rPr>
                <w:noProof/>
                <w:webHidden/>
              </w:rPr>
              <w:fldChar w:fldCharType="separate"/>
            </w:r>
            <w:r>
              <w:rPr>
                <w:noProof/>
                <w:webHidden/>
              </w:rPr>
              <w:t>8</w:t>
            </w:r>
            <w:r>
              <w:rPr>
                <w:noProof/>
                <w:webHidden/>
              </w:rPr>
              <w:fldChar w:fldCharType="end"/>
            </w:r>
          </w:hyperlink>
        </w:p>
        <w:p w14:paraId="75AF3F2E" w14:textId="683C75C0" w:rsidR="00324C1D" w:rsidRDefault="00324C1D">
          <w:pPr>
            <w:pStyle w:val="TOC1"/>
            <w:tabs>
              <w:tab w:val="right" w:leader="dot" w:pos="9016"/>
            </w:tabs>
            <w:rPr>
              <w:noProof/>
            </w:rPr>
          </w:pPr>
          <w:hyperlink w:anchor="_Toc234470612" w:history="1">
            <w:r w:rsidRPr="00174CB8">
              <w:rPr>
                <w:rStyle w:val="Hyperlink"/>
                <w:noProof/>
              </w:rPr>
              <w:t>Conclusion</w:t>
            </w:r>
            <w:r>
              <w:rPr>
                <w:noProof/>
                <w:webHidden/>
              </w:rPr>
              <w:tab/>
            </w:r>
            <w:r>
              <w:rPr>
                <w:noProof/>
                <w:webHidden/>
              </w:rPr>
              <w:fldChar w:fldCharType="begin"/>
            </w:r>
            <w:r>
              <w:rPr>
                <w:noProof/>
                <w:webHidden/>
              </w:rPr>
              <w:instrText xml:space="preserve"> PAGEREF _Toc234470612 \h </w:instrText>
            </w:r>
            <w:r>
              <w:rPr>
                <w:noProof/>
                <w:webHidden/>
              </w:rPr>
            </w:r>
            <w:r>
              <w:rPr>
                <w:noProof/>
                <w:webHidden/>
              </w:rPr>
              <w:fldChar w:fldCharType="separate"/>
            </w:r>
            <w:r>
              <w:rPr>
                <w:noProof/>
                <w:webHidden/>
              </w:rPr>
              <w:t>9</w:t>
            </w:r>
            <w:r>
              <w:rPr>
                <w:noProof/>
                <w:webHidden/>
              </w:rPr>
              <w:fldChar w:fldCharType="end"/>
            </w:r>
          </w:hyperlink>
        </w:p>
        <w:p w14:paraId="5F17B94D" w14:textId="22336C72" w:rsidR="00324C1D" w:rsidRDefault="00324C1D">
          <w:pPr>
            <w:pStyle w:val="TOC2"/>
            <w:tabs>
              <w:tab w:val="right" w:leader="dot" w:pos="9016"/>
            </w:tabs>
            <w:rPr>
              <w:noProof/>
            </w:rPr>
          </w:pPr>
          <w:hyperlink w:anchor="_Toc234470613" w:history="1">
            <w:r w:rsidRPr="00174CB8">
              <w:rPr>
                <w:rStyle w:val="Hyperlink"/>
                <w:noProof/>
              </w:rPr>
              <w:t>Reference List</w:t>
            </w:r>
            <w:r>
              <w:rPr>
                <w:noProof/>
                <w:webHidden/>
              </w:rPr>
              <w:tab/>
            </w:r>
            <w:r>
              <w:rPr>
                <w:noProof/>
                <w:webHidden/>
              </w:rPr>
              <w:fldChar w:fldCharType="begin"/>
            </w:r>
            <w:r>
              <w:rPr>
                <w:noProof/>
                <w:webHidden/>
              </w:rPr>
              <w:instrText xml:space="preserve"> PAGEREF _Toc234470613 \h </w:instrText>
            </w:r>
            <w:r>
              <w:rPr>
                <w:noProof/>
                <w:webHidden/>
              </w:rPr>
            </w:r>
            <w:r>
              <w:rPr>
                <w:noProof/>
                <w:webHidden/>
              </w:rPr>
              <w:fldChar w:fldCharType="separate"/>
            </w:r>
            <w:r>
              <w:rPr>
                <w:noProof/>
                <w:webHidden/>
              </w:rPr>
              <w:t>10</w:t>
            </w:r>
            <w:r>
              <w:rPr>
                <w:noProof/>
                <w:webHidden/>
              </w:rPr>
              <w:fldChar w:fldCharType="end"/>
            </w:r>
          </w:hyperlink>
        </w:p>
        <w:p w14:paraId="59C8516F" w14:textId="29D40F15" w:rsidR="00324C1D" w:rsidRDefault="00324C1D">
          <w:r>
            <w:rPr>
              <w:b/>
              <w:bCs/>
              <w:noProof/>
            </w:rPr>
            <w:fldChar w:fldCharType="end"/>
          </w:r>
        </w:p>
      </w:sdtContent>
    </w:sdt>
    <w:p w14:paraId="01776975" w14:textId="7C76555F" w:rsidR="00324C1D" w:rsidRDefault="00324C1D" w:rsidP="00324C1D">
      <w:pPr>
        <w:spacing w:line="360" w:lineRule="auto"/>
        <w:jc w:val="both"/>
      </w:pPr>
    </w:p>
    <w:p w14:paraId="62B611A6" w14:textId="7DCFFC1F" w:rsidR="00324C1D" w:rsidRDefault="00324C1D" w:rsidP="00324C1D">
      <w:pPr>
        <w:spacing w:line="360" w:lineRule="auto"/>
        <w:jc w:val="both"/>
      </w:pPr>
    </w:p>
    <w:p w14:paraId="2F0823E7" w14:textId="66562B75" w:rsidR="00324C1D" w:rsidRDefault="00324C1D" w:rsidP="00324C1D">
      <w:pPr>
        <w:spacing w:line="360" w:lineRule="auto"/>
        <w:jc w:val="both"/>
      </w:pPr>
    </w:p>
    <w:p w14:paraId="12CE1FD8" w14:textId="08A84A02" w:rsidR="00324C1D" w:rsidRDefault="00324C1D" w:rsidP="00324C1D">
      <w:pPr>
        <w:spacing w:line="360" w:lineRule="auto"/>
        <w:jc w:val="both"/>
      </w:pPr>
    </w:p>
    <w:p w14:paraId="3B2BEC78" w14:textId="1F1B84D9" w:rsidR="00324C1D" w:rsidRDefault="00324C1D" w:rsidP="00324C1D">
      <w:pPr>
        <w:spacing w:line="360" w:lineRule="auto"/>
        <w:jc w:val="both"/>
      </w:pPr>
    </w:p>
    <w:p w14:paraId="7DC436B8" w14:textId="6B743264" w:rsidR="00324C1D" w:rsidRDefault="00324C1D" w:rsidP="00324C1D">
      <w:pPr>
        <w:spacing w:line="360" w:lineRule="auto"/>
        <w:jc w:val="both"/>
      </w:pPr>
    </w:p>
    <w:p w14:paraId="63BE28C7" w14:textId="112F3D47" w:rsidR="00324C1D" w:rsidRDefault="00324C1D" w:rsidP="00324C1D">
      <w:pPr>
        <w:spacing w:line="360" w:lineRule="auto"/>
        <w:jc w:val="both"/>
      </w:pPr>
    </w:p>
    <w:p w14:paraId="5C4E7E3F" w14:textId="4A4E0C3B" w:rsidR="00324C1D" w:rsidRDefault="00324C1D" w:rsidP="00324C1D">
      <w:pPr>
        <w:spacing w:line="360" w:lineRule="auto"/>
        <w:jc w:val="both"/>
      </w:pPr>
    </w:p>
    <w:p w14:paraId="2F380901" w14:textId="13BE2F7A" w:rsidR="00324C1D" w:rsidRDefault="00324C1D" w:rsidP="00324C1D">
      <w:pPr>
        <w:spacing w:line="360" w:lineRule="auto"/>
        <w:jc w:val="both"/>
      </w:pPr>
    </w:p>
    <w:p w14:paraId="02301312" w14:textId="0958526A" w:rsidR="00324C1D" w:rsidRDefault="00324C1D" w:rsidP="00324C1D">
      <w:pPr>
        <w:spacing w:line="360" w:lineRule="auto"/>
        <w:jc w:val="both"/>
      </w:pPr>
    </w:p>
    <w:p w14:paraId="1C5E5AD1" w14:textId="6ACED822" w:rsidR="00324C1D" w:rsidRDefault="00324C1D" w:rsidP="00324C1D">
      <w:pPr>
        <w:spacing w:line="360" w:lineRule="auto"/>
        <w:jc w:val="both"/>
      </w:pPr>
    </w:p>
    <w:p w14:paraId="1C46879A" w14:textId="58CCE8C0" w:rsidR="00324C1D" w:rsidRDefault="00324C1D" w:rsidP="00324C1D">
      <w:pPr>
        <w:spacing w:line="360" w:lineRule="auto"/>
        <w:jc w:val="both"/>
      </w:pPr>
    </w:p>
    <w:p w14:paraId="4809E45E" w14:textId="3E8AC317" w:rsidR="00324C1D" w:rsidRDefault="00324C1D" w:rsidP="00324C1D">
      <w:pPr>
        <w:spacing w:line="360" w:lineRule="auto"/>
        <w:jc w:val="both"/>
      </w:pPr>
    </w:p>
    <w:p w14:paraId="6C6B1422" w14:textId="62F040D4" w:rsidR="00324C1D" w:rsidRDefault="00324C1D" w:rsidP="00324C1D">
      <w:pPr>
        <w:spacing w:line="360" w:lineRule="auto"/>
        <w:jc w:val="both"/>
      </w:pPr>
    </w:p>
    <w:p w14:paraId="35F3F52F" w14:textId="6B11E2B0" w:rsidR="00324C1D" w:rsidRDefault="00324C1D" w:rsidP="00324C1D">
      <w:pPr>
        <w:spacing w:line="360" w:lineRule="auto"/>
        <w:jc w:val="both"/>
      </w:pPr>
    </w:p>
    <w:p w14:paraId="2832793E" w14:textId="33620A61" w:rsidR="00324C1D" w:rsidRDefault="00324C1D" w:rsidP="00324C1D">
      <w:pPr>
        <w:spacing w:line="360" w:lineRule="auto"/>
        <w:jc w:val="both"/>
      </w:pPr>
    </w:p>
    <w:p w14:paraId="5334F052" w14:textId="30F465C3" w:rsidR="00324C1D" w:rsidRDefault="00324C1D" w:rsidP="00324C1D">
      <w:pPr>
        <w:spacing w:line="360" w:lineRule="auto"/>
        <w:jc w:val="both"/>
      </w:pPr>
    </w:p>
    <w:p w14:paraId="2AF0B9DD" w14:textId="70172CD2" w:rsidR="00324C1D" w:rsidRDefault="00324C1D" w:rsidP="00324C1D">
      <w:pPr>
        <w:spacing w:line="360" w:lineRule="auto"/>
        <w:jc w:val="both"/>
      </w:pPr>
    </w:p>
    <w:p w14:paraId="441F76D0" w14:textId="77777777" w:rsidR="00324C1D" w:rsidRDefault="00324C1D" w:rsidP="00324C1D">
      <w:pPr>
        <w:spacing w:line="360" w:lineRule="auto"/>
        <w:jc w:val="both"/>
      </w:pPr>
    </w:p>
    <w:p w14:paraId="67A7CEAB" w14:textId="2BB0568E" w:rsidR="00324C1D" w:rsidRDefault="00324C1D" w:rsidP="00324C1D">
      <w:pPr>
        <w:spacing w:line="360" w:lineRule="auto"/>
        <w:jc w:val="both"/>
      </w:pPr>
    </w:p>
    <w:p w14:paraId="181BCAFB" w14:textId="49076D0C" w:rsidR="00324C1D" w:rsidRPr="00324C1D" w:rsidRDefault="00324C1D" w:rsidP="00324C1D">
      <w:pPr>
        <w:pStyle w:val="Heading1"/>
        <w:rPr>
          <w:rFonts w:eastAsia="Times New Roman"/>
          <w:lang w:eastAsia="en-GB"/>
        </w:rPr>
      </w:pPr>
      <w:bookmarkStart w:id="0" w:name="_Toc234470606"/>
      <w:r w:rsidRPr="00324C1D">
        <w:rPr>
          <w:rFonts w:eastAsia="Times New Roman"/>
          <w:lang w:eastAsia="en-GB"/>
        </w:rPr>
        <w:lastRenderedPageBreak/>
        <w:t>Introduction</w:t>
      </w:r>
      <w:bookmarkEnd w:id="0"/>
      <w:r w:rsidRPr="00324C1D">
        <w:rPr>
          <w:rFonts w:eastAsia="Times New Roman"/>
          <w:lang w:eastAsia="en-GB"/>
        </w:rPr>
        <w:t xml:space="preserve"> </w:t>
      </w:r>
    </w:p>
    <w:p w14:paraId="6BBD5D5B" w14:textId="1B43770F" w:rsidR="00324C1D" w:rsidRPr="00324C1D" w:rsidRDefault="00324C1D" w:rsidP="00324C1D">
      <w:pPr>
        <w:spacing w:before="100" w:beforeAutospacing="1" w:after="100" w:afterAutospacing="1" w:line="360" w:lineRule="auto"/>
        <w:jc w:val="both"/>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 xml:space="preserve">Vodafone UK is currently experiencing a major phase of organisational and strategic change. The business has faced sustained pressure from established competitors such as BT/EE and Virgin Media O2, as well as from low-cost mobile virtual network operators that compete strongly on price. A key turning point was the merger between Vodafone UK and Three UK, completed </w:t>
      </w:r>
      <w:proofErr w:type="gramStart"/>
      <w:r w:rsidRPr="00324C1D">
        <w:rPr>
          <w:rFonts w:ascii="Times New Roman" w:eastAsia="Times New Roman" w:hAnsi="Times New Roman" w:cs="Times New Roman"/>
          <w:lang w:eastAsia="en-GB"/>
        </w:rPr>
        <w:t>on</w:t>
      </w:r>
      <w:proofErr w:type="gramEnd"/>
      <w:r w:rsidRPr="00324C1D">
        <w:rPr>
          <w:rFonts w:ascii="Times New Roman" w:eastAsia="Times New Roman" w:hAnsi="Times New Roman" w:cs="Times New Roman"/>
          <w:lang w:eastAsia="en-GB"/>
        </w:rPr>
        <w:t xml:space="preserve"> May 2025, which formed VodafoneThree. Under this structure, Vodafone holds a 51% stake and CK Hutchison owns 49%, while the new organisation has committed to investing £11 billion over the next decade in expanding and improving the UK’s 5G infrastructure (Vodafone, 2025). This change reflects a wider shift in the telecommunications industry, where competitive advantage increasingly depends not only on affordable tariffs, but also on network reliability, digital innovation, customer service and the ability to support business connectivity.</w:t>
      </w:r>
    </w:p>
    <w:p w14:paraId="1F5FEB1E" w14:textId="77777777" w:rsidR="00324C1D" w:rsidRPr="00324C1D" w:rsidRDefault="00324C1D" w:rsidP="00324C1D">
      <w:pPr>
        <w:spacing w:before="100" w:beforeAutospacing="1" w:after="100" w:afterAutospacing="1" w:line="360" w:lineRule="auto"/>
        <w:jc w:val="both"/>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Vodafone’s mission is to connect people and businesses through reliable digital technology, while its purpose focuses on creating an inclusive digital society and supporting environmental responsibility (Vodafone, 2025). Its values are reflected in customer focus, innovation, trust, simplicity and responsible connectivity. These are relevant because VodafoneThree must prove that the merger delivers public and customer benefits, not just greater market power. The Competition and Markets Authority approved the merger only after legally binding commitments, including network investment, consumer price protections and wholesale safeguards (CMA, 2024).</w:t>
      </w:r>
    </w:p>
    <w:p w14:paraId="3DCB962C" w14:textId="77777777" w:rsidR="00324C1D" w:rsidRPr="00324C1D" w:rsidRDefault="00324C1D" w:rsidP="00324C1D">
      <w:pPr>
        <w:spacing w:before="100" w:beforeAutospacing="1" w:after="100" w:afterAutospacing="1" w:line="360" w:lineRule="auto"/>
        <w:jc w:val="both"/>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The scope of this assignment is to advise the VodafoneThree board on growth strategies that can restore competitiveness and support sustainable long-term performance. The report evaluates the current market situation using PESTLE and SWOT analysis, then assesses growth options using Ansoff’s Matrix and a weighted decision matrix. The final recommendation is based on real-world market conditions, including regulation, 5G demand, rural coverage gaps, customer expectations and enterprise digital transformation.</w:t>
      </w:r>
    </w:p>
    <w:p w14:paraId="464CD945" w14:textId="343126AC" w:rsidR="00324C1D" w:rsidRPr="00324C1D" w:rsidRDefault="00324C1D" w:rsidP="00324C1D">
      <w:pPr>
        <w:pStyle w:val="Heading1"/>
        <w:rPr>
          <w:rFonts w:eastAsia="Times New Roman"/>
          <w:lang w:eastAsia="en-GB"/>
        </w:rPr>
      </w:pPr>
      <w:bookmarkStart w:id="1" w:name="_Toc234470607"/>
      <w:r w:rsidRPr="00324C1D">
        <w:rPr>
          <w:rFonts w:eastAsia="Times New Roman"/>
          <w:lang w:eastAsia="en-GB"/>
        </w:rPr>
        <w:t>Evaluation of Current Market Situation</w:t>
      </w:r>
      <w:bookmarkEnd w:id="1"/>
      <w:r w:rsidRPr="00324C1D">
        <w:rPr>
          <w:rFonts w:eastAsia="Times New Roman"/>
          <w:lang w:eastAsia="en-GB"/>
        </w:rPr>
        <w:t xml:space="preserve"> </w:t>
      </w:r>
    </w:p>
    <w:p w14:paraId="0D380A41" w14:textId="77777777" w:rsidR="00324C1D" w:rsidRPr="00324C1D" w:rsidRDefault="00324C1D" w:rsidP="00324C1D">
      <w:pPr>
        <w:spacing w:before="100" w:beforeAutospacing="1" w:after="100" w:afterAutospacing="1" w:line="360" w:lineRule="auto"/>
        <w:jc w:val="both"/>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 xml:space="preserve">The UK telecommunications market offers strong growth potential, but it is highly regulated, capital-intensive and competitive. Politically, telecoms infrastructure is treated as essential national infrastructure because mobile and broadband networks support productivity, digital </w:t>
      </w:r>
      <w:r w:rsidRPr="00324C1D">
        <w:rPr>
          <w:rFonts w:ascii="Times New Roman" w:eastAsia="Times New Roman" w:hAnsi="Times New Roman" w:cs="Times New Roman"/>
          <w:lang w:eastAsia="en-GB"/>
        </w:rPr>
        <w:lastRenderedPageBreak/>
        <w:t>inclusion, emergency communications and public services. The Vodafone–Three merger was approved by the Competition and Markets Authority only after binding commitments designed to protect consumers and wholesale customers (CMA, 2024). These included an eight-year network investment plan, retail price protections and safeguards for mobile virtual network operators. Therefore, VodafoneThree has political support for network investment, but it must demonstrate that consolidation improves service quality and does not weaken competition.</w:t>
      </w:r>
    </w:p>
    <w:p w14:paraId="39EE1F74" w14:textId="77777777" w:rsidR="00324C1D" w:rsidRPr="00324C1D" w:rsidRDefault="00324C1D" w:rsidP="00324C1D">
      <w:pPr>
        <w:spacing w:before="100" w:beforeAutospacing="1" w:after="100" w:afterAutospacing="1" w:line="360" w:lineRule="auto"/>
        <w:jc w:val="both"/>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Economically, the UK mobile market is mature, meaning growth from new consumer subscriptions is limited. Ofcom data shows that most UK premises already have strong mobile availability, while 96% of UK landmass has good outdoor 4G coverage from at least one operator (Ofcom, 2025). However, competition has reduced margins because customers can compare SIM-only deals and switch providers more easily. Vodafone Group reported FY25 revenue of €37.4 billion and organic service revenue growth of 5.1%, but also an operating loss of €0.4 billion, showing that telecom scale does not automatically create profitability (Vodafone, 2025). The merger is expected to generate around £700 million of annual cost and capital expenditure synergies by year five, which is vital for improving return on investment (Vodafone, 2025). However, inflation, high energy costs, spectrum costs and integration spending may reduce short-term financial flexibility.</w:t>
      </w:r>
    </w:p>
    <w:p w14:paraId="7F3975AF" w14:textId="77777777" w:rsidR="00324C1D" w:rsidRPr="00324C1D" w:rsidRDefault="00324C1D" w:rsidP="00324C1D">
      <w:pPr>
        <w:spacing w:before="100" w:beforeAutospacing="1" w:after="100" w:afterAutospacing="1" w:line="360" w:lineRule="auto"/>
        <w:jc w:val="both"/>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Socially, customer expectations are rising. Mobile connectivity is now viewed as a basic requirement for work, education, banking, travel and family life. Poor coverage, slow speeds and weak customer service can quickly damage brand reputation. Consumer organisations have argued that the UK still performs poorly compared with other advanced economies on mobile coverage and network consistency, despite relatively affordable pricing (</w:t>
      </w:r>
      <w:proofErr w:type="gramStart"/>
      <w:r w:rsidRPr="00324C1D">
        <w:rPr>
          <w:rFonts w:ascii="Times New Roman" w:eastAsia="Times New Roman" w:hAnsi="Times New Roman" w:cs="Times New Roman"/>
          <w:lang w:eastAsia="en-GB"/>
        </w:rPr>
        <w:t>Which?,</w:t>
      </w:r>
      <w:proofErr w:type="gramEnd"/>
      <w:r w:rsidRPr="00324C1D">
        <w:rPr>
          <w:rFonts w:ascii="Times New Roman" w:eastAsia="Times New Roman" w:hAnsi="Times New Roman" w:cs="Times New Roman"/>
          <w:lang w:eastAsia="en-GB"/>
        </w:rPr>
        <w:t xml:space="preserve"> 2026). This creates an opportunity for VodafoneThree to compete on reliability rather than only price. At the same time, social pressure around affordability remains important because many households remain cost-conscious. The company must therefore balance premium 5G propositions with fair pricing and clear value.</w:t>
      </w:r>
    </w:p>
    <w:p w14:paraId="5A64C4E4" w14:textId="77777777" w:rsidR="00324C1D" w:rsidRPr="00324C1D" w:rsidRDefault="00324C1D" w:rsidP="00324C1D">
      <w:pPr>
        <w:spacing w:before="100" w:beforeAutospacing="1" w:after="100" w:afterAutospacing="1" w:line="360" w:lineRule="auto"/>
        <w:jc w:val="both"/>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 xml:space="preserve">Technologically, 5G is the major growth driver. Standalone 5G enables lower latency, higher capacity and more reliable connectivity than earlier mobile technologies. The GSMA argues that 5G will support industrial digitalisation, IoT, smart transport, healthcare innovation and private enterprise networks (GSMA, 2024). VodafoneThree’s £11 billion investment plan is therefore strategically significant because it can support both consumer performance and enterprise services. Ofcom reported that high-confidence outdoor 5G coverage continues to </w:t>
      </w:r>
      <w:r w:rsidRPr="00324C1D">
        <w:rPr>
          <w:rFonts w:ascii="Times New Roman" w:eastAsia="Times New Roman" w:hAnsi="Times New Roman" w:cs="Times New Roman"/>
          <w:lang w:eastAsia="en-GB"/>
        </w:rPr>
        <w:lastRenderedPageBreak/>
        <w:t>vary by operator and location, meaning network quality remains an important competitive differentiator (Ofcom, 2025). VodafoneThree has stated that early integration has already improved network access for millions of customers and reduced not-spots (VodafoneThree, 2026). However, network integration is complex and creates risks around service disruption, IT compatibility, cyber resilience and customer migration.</w:t>
      </w:r>
    </w:p>
    <w:p w14:paraId="66E244A7" w14:textId="77777777" w:rsidR="00324C1D" w:rsidRPr="00324C1D" w:rsidRDefault="00324C1D" w:rsidP="00324C1D">
      <w:pPr>
        <w:spacing w:before="100" w:beforeAutospacing="1" w:after="100" w:afterAutospacing="1" w:line="360" w:lineRule="auto"/>
        <w:jc w:val="both"/>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Legally, VodafoneThree faces strict regulatory obligations. The CMA’s merger conditions restrict the company’s ability to raise prices in the short term and require it to deliver the promised network plan (CMA, 2024). Ofcom also regulates spectrum use, switching, complaints, contract transparency and security obligations. This matters because UK telecoms providers have faced increasing scrutiny over customer service and contract practices. Ofcom’s enforcement action against major operators demonstrates that consumer harm can result in reputational and financial penalties (Ofcom, 2026). As VodafoneThree expands into IoT, smart cities and enterprise connectivity, data protection and cybersecurity compliance will become even more important.</w:t>
      </w:r>
    </w:p>
    <w:p w14:paraId="1170B51B" w14:textId="77777777" w:rsidR="00324C1D" w:rsidRPr="00324C1D" w:rsidRDefault="00324C1D" w:rsidP="00324C1D">
      <w:pPr>
        <w:spacing w:before="100" w:beforeAutospacing="1" w:after="100" w:afterAutospacing="1" w:line="360" w:lineRule="auto"/>
        <w:jc w:val="both"/>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Environmentally, telecoms operators are under pressure to reduce emissions, energy use and electronic waste. 5G networks can be more energy-efficient per unit of data, but wider network densification and rising data demand can still increase total energy consumption. Vodafone Group has set sustainability targets linked to net zero, circular economy activity and energy efficiency (Vodafone, 2025). This creates both risk and opportunity. VodafoneThree can reduce duplicated infrastructure after the merger, modernise equipment and use digital services to help customers reduce emissions. However, environmental claims must be credible because regulators and customers increasingly challenge greenwashing.</w:t>
      </w:r>
    </w:p>
    <w:p w14:paraId="2BE078A5" w14:textId="77777777" w:rsidR="00324C1D" w:rsidRPr="00324C1D" w:rsidRDefault="00324C1D" w:rsidP="00324C1D">
      <w:pPr>
        <w:spacing w:before="100" w:beforeAutospacing="1" w:after="100" w:afterAutospacing="1" w:line="360" w:lineRule="auto"/>
        <w:jc w:val="both"/>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The SWOT analysis shows that VodafoneThree has several important strengths. It has greater scale after the merger, around 27 million mobile customers, a stronger spectrum position, an £11 billion investment programme and expected annual synergies of about £700 million (Vodafone, 2025). It also has enterprise relationships and experience in IoT, cloud connectivity and global business services. These strengths position it to challenge BT/EE and Virgin Media O2 more effectively.</w:t>
      </w:r>
    </w:p>
    <w:p w14:paraId="3B37FA58" w14:textId="77777777" w:rsidR="00324C1D" w:rsidRPr="00324C1D" w:rsidRDefault="00324C1D" w:rsidP="00324C1D">
      <w:pPr>
        <w:spacing w:before="100" w:beforeAutospacing="1" w:after="100" w:afterAutospacing="1" w:line="360" w:lineRule="auto"/>
        <w:jc w:val="both"/>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 xml:space="preserve">Opportunities include premium 5G plans, fixed wireless access, private 5G, IoT, cybersecurity, SME digital services, smart-city partnerships and rural connectivity. Research by Deloitte suggests that enterprise 5G and edge computing can support productivity in manufacturing, </w:t>
      </w:r>
      <w:r w:rsidRPr="00324C1D">
        <w:rPr>
          <w:rFonts w:ascii="Times New Roman" w:eastAsia="Times New Roman" w:hAnsi="Times New Roman" w:cs="Times New Roman"/>
          <w:lang w:eastAsia="en-GB"/>
        </w:rPr>
        <w:lastRenderedPageBreak/>
        <w:t>transport, healthcare and logistics by enabling automation, monitoring and real-time data use (Deloitte, 2024). These opportunities align strongly with VodafoneThree’s network investment plan.</w:t>
      </w:r>
    </w:p>
    <w:p w14:paraId="6D8BD057" w14:textId="77777777" w:rsidR="00324C1D" w:rsidRPr="00324C1D" w:rsidRDefault="00324C1D" w:rsidP="00324C1D">
      <w:pPr>
        <w:spacing w:before="100" w:beforeAutospacing="1" w:after="100" w:afterAutospacing="1" w:line="360" w:lineRule="auto"/>
        <w:jc w:val="both"/>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Threats include aggressive price competition from MVNOs, bundled offers from BT/EE and Virgin Media O2, regulatory intervention, cyberattacks, public resistance to mast deployment and integration delays. Overall, PESTLE and SWOT show that VodafoneThree should avoid relying on basic price competition. Its best opportunity is to convert merger scale into superior coverage, lower operating costs, stronger customer experience and higher-value enterprise digital services.</w:t>
      </w:r>
    </w:p>
    <w:p w14:paraId="27C499A9" w14:textId="6C3414DA" w:rsidR="00324C1D" w:rsidRPr="00324C1D" w:rsidRDefault="00324C1D" w:rsidP="00324C1D">
      <w:pPr>
        <w:pStyle w:val="Heading1"/>
        <w:rPr>
          <w:rFonts w:eastAsia="Times New Roman"/>
          <w:lang w:eastAsia="en-GB"/>
        </w:rPr>
      </w:pPr>
      <w:bookmarkStart w:id="2" w:name="_Toc234470608"/>
      <w:r w:rsidRPr="00324C1D">
        <w:rPr>
          <w:rFonts w:eastAsia="Times New Roman"/>
          <w:lang w:eastAsia="en-GB"/>
        </w:rPr>
        <w:t>Strategic Growth Options and Proposed Strategy</w:t>
      </w:r>
      <w:bookmarkEnd w:id="2"/>
    </w:p>
    <w:p w14:paraId="3C47AC35" w14:textId="77777777" w:rsidR="00324C1D" w:rsidRPr="00324C1D" w:rsidRDefault="00324C1D" w:rsidP="00324C1D">
      <w:pPr>
        <w:spacing w:before="100" w:beforeAutospacing="1" w:after="100" w:afterAutospacing="1" w:line="360" w:lineRule="auto"/>
        <w:jc w:val="both"/>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Ansoff’s Matrix is useful for evaluating VodafoneThree’s growth options because it separates lower-risk growth in existing markets from higher-risk growth through new products or new markets (Ansoff, 1957). The first option is market penetration, where VodafoneThree would increase share in the existing UK mobile and broadband market. This could involve improved retention offers, family plans, converged broadband-mobile bundles, better complaints handling and clearer pricing. This option is feasible because the company already serves UK consumers and can use its enlarged network footprint. However, Ofcom’s pricing research shows that UK telecoms customers are highly price-aware, while switching reforms such as One Touch Switch increase customer mobility (Ofcom, 2025). Therefore, market penetration may protect share but is unlikely to create strong differentiation on its own.</w:t>
      </w:r>
    </w:p>
    <w:p w14:paraId="24A62F7E" w14:textId="77777777" w:rsidR="00324C1D" w:rsidRPr="00324C1D" w:rsidRDefault="00324C1D" w:rsidP="00324C1D">
      <w:pPr>
        <w:spacing w:before="100" w:beforeAutospacing="1" w:after="100" w:afterAutospacing="1" w:line="360" w:lineRule="auto"/>
        <w:jc w:val="both"/>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The second option is product development. VodafoneThree could sell new services to existing consumer and business customers, including standalone 5G premium plans, fixed wireless access, IoT subscriptions, cybersecurity, cloud connectivity, smart-home services and private 5G. This option fits the technological opportunity identified in the PESTLE analysis. GSMA (2024) argues that 5G creates value beyond mobile data because it enables industrial IoT, automation and low-latency business applications. It also fits the SWOT analysis because VodafoneThree has greater spectrum capacity, network scale and expected synergies after the merger. Product development is therefore attractive because it shifts competition away from basic SIM pricing towards higher-value digital services.</w:t>
      </w:r>
    </w:p>
    <w:p w14:paraId="1678BE22" w14:textId="77777777" w:rsidR="00324C1D" w:rsidRPr="00324C1D" w:rsidRDefault="00324C1D" w:rsidP="00324C1D">
      <w:pPr>
        <w:spacing w:before="100" w:beforeAutospacing="1" w:after="100" w:afterAutospacing="1" w:line="360" w:lineRule="auto"/>
        <w:jc w:val="both"/>
        <w:rPr>
          <w:rFonts w:ascii="Times New Roman" w:eastAsia="Times New Roman" w:hAnsi="Times New Roman" w:cs="Times New Roman"/>
          <w:lang w:eastAsia="en-GB"/>
        </w:rPr>
      </w:pPr>
      <w:r w:rsidRPr="00324C1D">
        <w:rPr>
          <w:rFonts w:ascii="Times New Roman" w:eastAsia="Times New Roman" w:hAnsi="Times New Roman" w:cs="Times New Roman"/>
          <w:lang w:eastAsia="en-GB"/>
        </w:rPr>
        <w:lastRenderedPageBreak/>
        <w:t xml:space="preserve">The third option is market development. VodafoneThree could target new segments such as SMEs, rural communities, logistics companies, healthcare providers, manufacturers, local authorities and transport networks. This responds to the political and social issues identified in PESTLE, particularly digital inclusion, rural not-spots and demand for more reliable connectivity. Ofcom’s Connected Nations data shows that coverage quality still varies by geography, especially for </w:t>
      </w:r>
      <w:proofErr w:type="gramStart"/>
      <w:r w:rsidRPr="00324C1D">
        <w:rPr>
          <w:rFonts w:ascii="Times New Roman" w:eastAsia="Times New Roman" w:hAnsi="Times New Roman" w:cs="Times New Roman"/>
          <w:lang w:eastAsia="en-GB"/>
        </w:rPr>
        <w:t>high-confidence</w:t>
      </w:r>
      <w:proofErr w:type="gramEnd"/>
      <w:r w:rsidRPr="00324C1D">
        <w:rPr>
          <w:rFonts w:ascii="Times New Roman" w:eastAsia="Times New Roman" w:hAnsi="Times New Roman" w:cs="Times New Roman"/>
          <w:lang w:eastAsia="en-GB"/>
        </w:rPr>
        <w:t xml:space="preserve"> 5G (Ofcom, 2025). Market development would allow VodafoneThree to use improved coverage as a route into underserved regions and public-sector partnerships. However, this option requires strong local engagement and sector-specific solutions.</w:t>
      </w:r>
    </w:p>
    <w:p w14:paraId="3122CB29" w14:textId="77777777" w:rsidR="00324C1D" w:rsidRPr="00324C1D" w:rsidRDefault="00324C1D" w:rsidP="00324C1D">
      <w:pPr>
        <w:spacing w:before="100" w:beforeAutospacing="1" w:after="100" w:afterAutospacing="1" w:line="360" w:lineRule="auto"/>
        <w:jc w:val="both"/>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The fourth option is diversification. VodafoneThree could move into smart-city platforms, data analytics, managed security, autonomous vehicle infrastructure and digital health ecosystems. Although this has long-term potential, it is the highest-risk option because it requires new capabilities and complex partnerships. Johnson, Scholes and Whittington (2017) argue that diversification increases strategic risk when firms move beyond their existing competences. Given the scale of post-merger integration, major diversification should be delayed until the core network and customer experience are stabilised.</w:t>
      </w:r>
    </w:p>
    <w:p w14:paraId="1ED8AF33" w14:textId="77777777" w:rsidR="00324C1D" w:rsidRPr="00324C1D" w:rsidRDefault="00324C1D" w:rsidP="00324C1D">
      <w:pPr>
        <w:spacing w:before="100" w:beforeAutospacing="1" w:after="100" w:afterAutospacing="1" w:line="360" w:lineRule="auto"/>
        <w:jc w:val="both"/>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A weighted decision matrix can evaluate these options against five criteria: market attractiveness, fit with VodafoneThree’s strengths, regulatory alignment, financial return and execution risk. Market penetration scores well for feasibility but lower for differentiation. Diversification scores well for future potential but poorly for risk. Product development and market development score highest because they use the merger’s strengths, respond to external opportunities and create value beyond price-based competition.</w:t>
      </w:r>
    </w:p>
    <w:p w14:paraId="79C6000E" w14:textId="77777777" w:rsidR="00324C1D" w:rsidRPr="00324C1D" w:rsidRDefault="00324C1D" w:rsidP="00324C1D">
      <w:pPr>
        <w:spacing w:before="100" w:beforeAutospacing="1" w:after="100" w:afterAutospacing="1" w:line="360" w:lineRule="auto"/>
        <w:jc w:val="both"/>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The proposed strategy is therefore an ecosystem-led product and market development strategy. VodafoneThree should position itself as the UK’s leading digital infrastructure and enterprise connectivity partner, not simply the largest mobile operator. The strategy should have three pillars. First, VodafoneThree should monetise improved 5G coverage through premium consumer plans, fixed wireless access and transparent service guarantees. Second, it should build packaged SME and enterprise solutions in private 5G, IoT, cybersecurity and cloud networking. Third, it should form public-sector and smart-city partnerships in transport, healthcare, energy management and local government.</w:t>
      </w:r>
    </w:p>
    <w:p w14:paraId="3BFD12B2" w14:textId="77777777" w:rsidR="00324C1D" w:rsidRPr="00324C1D" w:rsidRDefault="00324C1D" w:rsidP="00324C1D">
      <w:pPr>
        <w:spacing w:before="100" w:beforeAutospacing="1" w:after="100" w:afterAutospacing="1" w:line="360" w:lineRule="auto"/>
        <w:jc w:val="both"/>
        <w:rPr>
          <w:rFonts w:ascii="Times New Roman" w:eastAsia="Times New Roman" w:hAnsi="Times New Roman" w:cs="Times New Roman"/>
          <w:lang w:eastAsia="en-GB"/>
        </w:rPr>
      </w:pPr>
      <w:r w:rsidRPr="00324C1D">
        <w:rPr>
          <w:rFonts w:ascii="Times New Roman" w:eastAsia="Times New Roman" w:hAnsi="Times New Roman" w:cs="Times New Roman"/>
          <w:lang w:eastAsia="en-GB"/>
        </w:rPr>
        <w:lastRenderedPageBreak/>
        <w:t>This recommendation directly follows the PESTLE and SWOT findings. It uses merger scale, spectrum strength and cost synergies while addressing technological change, rural coverage gaps and enterprise digital transformation. It also reduces the threat of MVNO price competition because enterprise ecosystems are harder to copy than low-cost SIM-only offers. Implementation should be phased: year one should focus on integration, customer experience and pilots; year two should commercialise successful enterprise packages; and year three should scale partnerships nationally. Performance should be measured through 5G coverage, churn, NPS, enterprise revenue, synergy delivery, complaints, regulatory compliance and return on invested capital.</w:t>
      </w:r>
    </w:p>
    <w:p w14:paraId="476C9957" w14:textId="1753CDF3" w:rsidR="00324C1D" w:rsidRDefault="00324C1D" w:rsidP="00324C1D">
      <w:pPr>
        <w:pStyle w:val="Heading1"/>
      </w:pPr>
      <w:bookmarkStart w:id="3" w:name="_Toc234470609"/>
      <w:r>
        <w:t>Strategy Evaluation</w:t>
      </w:r>
      <w:bookmarkEnd w:id="3"/>
      <w:r>
        <w:t xml:space="preserve"> </w:t>
      </w:r>
    </w:p>
    <w:p w14:paraId="2C437B98" w14:textId="77777777" w:rsidR="00324C1D" w:rsidRDefault="00324C1D" w:rsidP="00324C1D">
      <w:pPr>
        <w:pStyle w:val="NormalWeb"/>
        <w:spacing w:line="360" w:lineRule="auto"/>
        <w:jc w:val="both"/>
      </w:pPr>
      <w:r>
        <w:t>The proposed strategy is an ecosystem-led product and market development strategy, focused on monetising VodafoneThree’s enlarged 5G network through premium consumer services, SME digital packages, private 5G, IoT, cybersecurity and public-sector partnerships. This strategy can be evaluated using the SFA framework: suitability, feasibility and acceptability.</w:t>
      </w:r>
    </w:p>
    <w:p w14:paraId="33E939A8" w14:textId="77777777" w:rsidR="00324C1D" w:rsidRDefault="00324C1D" w:rsidP="00324C1D">
      <w:pPr>
        <w:pStyle w:val="NormalWeb"/>
        <w:spacing w:line="360" w:lineRule="auto"/>
        <w:jc w:val="both"/>
      </w:pPr>
      <w:r>
        <w:t>In terms of suitability, the strategy fits the external and internal analysis. The PESTLE analysis showed that UK telecoms is politically important, highly regulated, technology-driven and affected by customer demand for better coverage and reliability. The Vodafone–Three merger was approved because the Competition and Markets Authority accepted that network investment and consumer protections could address competition concerns (CMA, 2024). The merged company has committed to an £11 billion investment programme over ten years, which supports the proposed focus on network-led growth (Vodafone, 2025). This also responds to wider market evidence that UK mobile coverage and performance remain weaker than many comparable economies, creating a clear opportunity for differentiation through reliability and 5G quality (</w:t>
      </w:r>
      <w:proofErr w:type="gramStart"/>
      <w:r>
        <w:t>Which?,</w:t>
      </w:r>
      <w:proofErr w:type="gramEnd"/>
      <w:r>
        <w:t xml:space="preserve"> 2026). Therefore, the strategy is suitable because it uses VodafoneThree’s scale to address real market weaknesses rather than competing only on price.</w:t>
      </w:r>
    </w:p>
    <w:p w14:paraId="1555A7CB" w14:textId="77777777" w:rsidR="00324C1D" w:rsidRDefault="00324C1D" w:rsidP="00324C1D">
      <w:pPr>
        <w:pStyle w:val="NormalWeb"/>
        <w:spacing w:line="360" w:lineRule="auto"/>
        <w:jc w:val="both"/>
      </w:pPr>
      <w:r>
        <w:t xml:space="preserve">The strategy is also suitable from a SWOT perspective. VodafoneThree’s strengths include around 27 million customers, increased spectrum capacity, larger network scale and expected synergies. Its opportunities include enterprise 5G, IoT, smart cities and rural connectivity. Ansoff’s Matrix supports this direction because product development and market development allow VodafoneThree to use existing capabilities while reducing dependence on basic mobile tariffs (Ansoff, 1957). Research on 5G also shows that next-generation networks can create </w:t>
      </w:r>
      <w:r>
        <w:lastRenderedPageBreak/>
        <w:t>new business models around automation, data, industrial connectivity and sector-specific services, especially where firms move beyond simple connectivity provision (Patwary et al., 2019).</w:t>
      </w:r>
    </w:p>
    <w:p w14:paraId="1212CE59" w14:textId="77777777" w:rsidR="00324C1D" w:rsidRDefault="00324C1D" w:rsidP="00324C1D">
      <w:pPr>
        <w:pStyle w:val="NormalWeb"/>
        <w:spacing w:line="360" w:lineRule="auto"/>
        <w:jc w:val="both"/>
      </w:pPr>
      <w:r>
        <w:t>In terms of feasibility, VodafoneThree has the resources to pursue the strategy, but execution risk is significant. The merger gives the company greater financial and network capacity, and Vodafone has stated that the business expects approximately £700 million of annual cost and capital expenditure synergies by year five (Vodafone, 2025). However, integration of two networks, brands, systems and customer bases is complex. The strategy is feasible only if VodafoneThree phases implementation carefully, beginning with integration, service improvement and pilot projects before national scaling. An assumption made here is that the company can ring-fence part of the synergy benefits to fund enterprise product development and customer service improvements.</w:t>
      </w:r>
    </w:p>
    <w:p w14:paraId="7682D743" w14:textId="77777777" w:rsidR="00324C1D" w:rsidRDefault="00324C1D" w:rsidP="00324C1D">
      <w:pPr>
        <w:pStyle w:val="NormalWeb"/>
        <w:spacing w:line="360" w:lineRule="auto"/>
        <w:jc w:val="both"/>
      </w:pPr>
      <w:r>
        <w:t>In terms of acceptability, the strategy should be acceptable to shareholders because it aims to improve margins and create higher-value revenue streams. It should also be acceptable to regulators if VodafoneThree can show measurable improvements in coverage, price fairness and wholesale access. Customers may accept premium 5G and digital services if service quality improves visibly. However, the strategy would be unacceptable if it leads to higher prices without clear benefits. Overall, the SFA evaluation supports the proposed strategy, provided VodafoneThree balances commercial growth with transparent delivery of merger commitments.</w:t>
      </w:r>
    </w:p>
    <w:p w14:paraId="1489289E" w14:textId="5379FACD" w:rsidR="00324C1D" w:rsidRDefault="00324C1D" w:rsidP="00324C1D">
      <w:pPr>
        <w:pStyle w:val="Heading1"/>
      </w:pPr>
      <w:bookmarkStart w:id="4" w:name="_Toc234470610"/>
      <w:r>
        <w:t>Stakeholder Analysis</w:t>
      </w:r>
      <w:bookmarkEnd w:id="4"/>
      <w:r>
        <w:t xml:space="preserve"> </w:t>
      </w:r>
    </w:p>
    <w:p w14:paraId="6CE7F1DD" w14:textId="77777777" w:rsidR="00324C1D" w:rsidRDefault="00324C1D" w:rsidP="00324C1D">
      <w:pPr>
        <w:pStyle w:val="NormalWeb"/>
        <w:spacing w:line="360" w:lineRule="auto"/>
        <w:jc w:val="both"/>
      </w:pPr>
      <w:r>
        <w:t>VodafoneThree’s strategy will affect several stakeholder groups, so stakeholder management is essential. Freeman’s stakeholder theory argues that firms must consider the interests of groups that can affect or are affected by business decisions (Freeman, 1984). Mendelow’s matrix can be used to prioritise stakeholders according to their power and level of interest.</w:t>
      </w:r>
    </w:p>
    <w:p w14:paraId="19369B88" w14:textId="01575505" w:rsidR="00324C1D" w:rsidRDefault="00324C1D" w:rsidP="00324C1D">
      <w:pPr>
        <w:pStyle w:val="NormalWeb"/>
        <w:spacing w:line="360" w:lineRule="auto"/>
        <w:jc w:val="both"/>
      </w:pPr>
      <w:r>
        <w:t xml:space="preserve">The highest-power, highest-interest stakeholders are regulators, shareholders, senior management and major enterprise customers. The Competition and Markets Authority and Ofcom have strong influence because VodafoneThree must comply with merger commitments, spectrum rules, consumer protections and network obligations (CMA, 2024). These stakeholders should be managed closely through regular reporting, compliance updates and </w:t>
      </w:r>
      <w:r>
        <w:lastRenderedPageBreak/>
        <w:t>evidence of network investment delivery. Shareholders also need close management because the strategy requires continued investment before full returns are visible. They should receive clear updates on synergy delivery, enterprise revenue growth and return on invested capital.</w:t>
      </w:r>
    </w:p>
    <w:p w14:paraId="5EF967C7" w14:textId="77777777" w:rsidR="00324C1D" w:rsidRDefault="00324C1D" w:rsidP="00324C1D">
      <w:pPr>
        <w:pStyle w:val="NormalWeb"/>
        <w:spacing w:line="360" w:lineRule="auto"/>
        <w:jc w:val="both"/>
      </w:pPr>
      <w:r>
        <w:t>Customers have high interest but individually lower power. However, collectively they have major reputational power through complaints, churn and switching. The proposed strategy should benefit customers through better coverage, faster 5G, improved reliability and broader digital services. VodafoneThree should keep customers satisfied through transparent pricing, service guarantees, simple communication and better complaint handling. This is important because the CMA allowed the merger partly on the basis that customers would benefit from stronger network investment (CMA, 2024).</w:t>
      </w:r>
    </w:p>
    <w:p w14:paraId="210F200D" w14:textId="77777777" w:rsidR="00324C1D" w:rsidRDefault="00324C1D" w:rsidP="00324C1D">
      <w:pPr>
        <w:pStyle w:val="NormalWeb"/>
        <w:spacing w:line="360" w:lineRule="auto"/>
        <w:jc w:val="both"/>
      </w:pPr>
      <w:r>
        <w:t>Employees are also important because integration may create uncertainty around roles, systems and culture. They should be kept informed and involved through internal communication, training and consultation. Enterprise partners, local authorities, suppliers and technology vendors should be kept engaged because the strategy depends on collaboration in private 5G, IoT, cybersecurity and smart-city projects.</w:t>
      </w:r>
    </w:p>
    <w:p w14:paraId="5C4D55A2" w14:textId="4BCC8D58" w:rsidR="00324C1D" w:rsidRDefault="00324C1D" w:rsidP="00324C1D">
      <w:pPr>
        <w:pStyle w:val="NormalWeb"/>
        <w:spacing w:line="360" w:lineRule="auto"/>
        <w:jc w:val="both"/>
      </w:pPr>
      <w:r>
        <w:t>A brief engagement plan should therefore include close management of regulators and investors; active partnership with enterprise customers and public-sector bodies; regular communication with employees; and customer engagement through service updates, pricing clarity and feedback channels. This approach reduces resistance and increases trust in the strategic transformation.</w:t>
      </w:r>
    </w:p>
    <w:p w14:paraId="1DDB098F" w14:textId="0F4C4A1C" w:rsidR="00324C1D" w:rsidRDefault="00324C1D" w:rsidP="00324C1D">
      <w:pPr>
        <w:pStyle w:val="Heading1"/>
      </w:pPr>
      <w:bookmarkStart w:id="5" w:name="_Toc234470611"/>
      <w:r>
        <w:t>Implementation and Monitoring</w:t>
      </w:r>
      <w:bookmarkEnd w:id="5"/>
      <w:r>
        <w:t xml:space="preserve"> </w:t>
      </w:r>
    </w:p>
    <w:p w14:paraId="770A8764" w14:textId="77777777" w:rsidR="00324C1D" w:rsidRDefault="00324C1D" w:rsidP="00324C1D">
      <w:pPr>
        <w:pStyle w:val="NormalWeb"/>
        <w:spacing w:line="360" w:lineRule="auto"/>
        <w:jc w:val="both"/>
      </w:pPr>
      <w:r>
        <w:t>The proposed ecosystem-led growth strategy should be implemented over three years to reduce risk and allow VodafoneThree to learn from early projects before national rollout.</w:t>
      </w:r>
    </w:p>
    <w:p w14:paraId="69F8FC5D" w14:textId="77777777" w:rsidR="00324C1D" w:rsidRDefault="00324C1D" w:rsidP="00324C1D">
      <w:pPr>
        <w:pStyle w:val="NormalWeb"/>
        <w:spacing w:line="360" w:lineRule="auto"/>
        <w:jc w:val="both"/>
      </w:pPr>
      <w:r>
        <w:t xml:space="preserve">In Year 1, the objective should be to stabilise integration and create the foundation for growth. VodafoneThree should prioritise network integration, customer service improvement and operational simplification. It should also establish a dedicated Digital Infrastructure and Enterprise Solutions Unit focused on private 5G, IoT, cybersecurity, cloud connectivity and SME digital services. Pilot projects should be launched with selected local authorities and business customers in sectors such as logistics, healthcare, manufacturing, transport and local government. Key performance indicators should include network integration milestones, 5G </w:t>
      </w:r>
      <w:r>
        <w:lastRenderedPageBreak/>
        <w:t>population coverage, customer complaints, churn, Net Promoter Score, pilot completion rates and employee engagement.</w:t>
      </w:r>
    </w:p>
    <w:p w14:paraId="0FF67180" w14:textId="77777777" w:rsidR="00324C1D" w:rsidRDefault="00324C1D" w:rsidP="00324C1D">
      <w:pPr>
        <w:pStyle w:val="NormalWeb"/>
        <w:spacing w:line="360" w:lineRule="auto"/>
        <w:jc w:val="both"/>
      </w:pPr>
      <w:r>
        <w:t>In Year 2, the objective should be to commercialise successful pilots. VodafoneThree should launch packaged SME and enterprise solutions, including private 5G bundles, managed cybersecurity, IoT monitoring and fixed wireless access. It should also use improved network coverage to target rural communities and business parks where connectivity is currently weaker. This aligns with Ofcom evidence that coverage quality still varies by operator and location (Ofcom, 2025). KPIs should include enterprise revenue growth, number of SME customers, average revenue per account, pilot-to-contract conversion rate, 5G usage growth and synergy savings delivered.</w:t>
      </w:r>
    </w:p>
    <w:p w14:paraId="7C6CFCAF" w14:textId="77777777" w:rsidR="00324C1D" w:rsidRDefault="00324C1D" w:rsidP="00324C1D">
      <w:pPr>
        <w:pStyle w:val="NormalWeb"/>
        <w:spacing w:line="360" w:lineRule="auto"/>
        <w:jc w:val="both"/>
      </w:pPr>
      <w:r>
        <w:t>In Year 3, the objective should be to scale the ecosystem nationally. VodafoneThree should expand successful partnerships into smart-city, transport, healthcare and energy-management programmes. It should also refine consumer propositions around premium 5G, reliability guarantees and converged mobile-broadband offers. KPIs should include market share, enterprise customer retention, return on invested capital, regulatory compliance, network availability, carbon reduction from network rationalisation and annual synergy delivery.</w:t>
      </w:r>
    </w:p>
    <w:p w14:paraId="7C26C6D2" w14:textId="77777777" w:rsidR="00324C1D" w:rsidRDefault="00324C1D" w:rsidP="00324C1D">
      <w:pPr>
        <w:pStyle w:val="NormalWeb"/>
        <w:spacing w:line="360" w:lineRule="auto"/>
        <w:jc w:val="both"/>
      </w:pPr>
      <w:r>
        <w:t>Monitoring should be led by a board-level transformation committee. Progress should be reviewed quarterly against financial, customer, operational, regulatory and sustainability KPIs. If targets are missed, corrective action should include reallocating investment, redesigning products, improving service processes or slowing expansion until integration risks are controlled. This phased approach makes the strategy actionable while protecting customer trust and regulatory confidence.</w:t>
      </w:r>
    </w:p>
    <w:p w14:paraId="76A6733A" w14:textId="7E72D59A" w:rsidR="00324C1D" w:rsidRDefault="00324C1D" w:rsidP="00324C1D">
      <w:pPr>
        <w:pStyle w:val="Heading1"/>
      </w:pPr>
      <w:bookmarkStart w:id="6" w:name="_Toc234470612"/>
      <w:r>
        <w:t>Conclusion</w:t>
      </w:r>
      <w:bookmarkEnd w:id="6"/>
      <w:r>
        <w:t xml:space="preserve"> </w:t>
      </w:r>
    </w:p>
    <w:p w14:paraId="6A9F6B88" w14:textId="77777777" w:rsidR="00324C1D" w:rsidRDefault="00324C1D" w:rsidP="00324C1D">
      <w:pPr>
        <w:pStyle w:val="NormalWeb"/>
        <w:spacing w:line="360" w:lineRule="auto"/>
        <w:jc w:val="both"/>
      </w:pPr>
      <w:r>
        <w:t>VodafoneThree has a major opportunity to reshape its competitive position in the UK telecommunications market. The PESTLE and SWOT analysis showed that the company operates in a regulated, competitive and technology-driven environment, but also has stronger strategic resources after the Vodafone–Three merger. Its enlarged customer base, spectrum position, £11 billion investment plan and expected synergies provide a platform for growth, but only if integration is managed carefully and customer outcomes improve.</w:t>
      </w:r>
    </w:p>
    <w:p w14:paraId="00ED3D2B" w14:textId="77777777" w:rsidR="00324C1D" w:rsidRDefault="00324C1D" w:rsidP="00324C1D">
      <w:pPr>
        <w:pStyle w:val="NormalWeb"/>
        <w:spacing w:line="360" w:lineRule="auto"/>
        <w:jc w:val="both"/>
      </w:pPr>
      <w:r>
        <w:lastRenderedPageBreak/>
        <w:t>The recommended strategy is an ecosystem-led product and market development strategy. Rather than relying mainly on price competition, VodafoneThree should use 5G leadership, enterprise services, SME digital solutions and public-sector partnerships to create higher-value growth. The SFA evaluation shows that this strategy is suitable, feasible and acceptable if implemented in phases and monitored through clear KPIs. Overall, VodafoneThree should position itself as a trusted digital infrastructure partner for consumers, businesses and communities across the UK.</w:t>
      </w:r>
    </w:p>
    <w:p w14:paraId="26F556A9" w14:textId="061DF397" w:rsidR="00324C1D" w:rsidRDefault="00324C1D"/>
    <w:p w14:paraId="46169C28" w14:textId="6C717C20" w:rsidR="00324C1D" w:rsidRDefault="00324C1D"/>
    <w:p w14:paraId="58B3D069" w14:textId="054F1E7F" w:rsidR="00324C1D" w:rsidRDefault="00324C1D"/>
    <w:p w14:paraId="47519327" w14:textId="1F870EAB" w:rsidR="00324C1D" w:rsidRDefault="00324C1D"/>
    <w:p w14:paraId="1B4A853F" w14:textId="14E69489" w:rsidR="00324C1D" w:rsidRDefault="00324C1D"/>
    <w:p w14:paraId="6CDD0CA8" w14:textId="773B6E68" w:rsidR="00324C1D" w:rsidRDefault="00324C1D"/>
    <w:p w14:paraId="3E0782D8" w14:textId="41336412" w:rsidR="00324C1D" w:rsidRDefault="00324C1D"/>
    <w:p w14:paraId="6B92EAF1" w14:textId="7E4C08AC" w:rsidR="00324C1D" w:rsidRDefault="00324C1D"/>
    <w:p w14:paraId="45F5A8B1" w14:textId="7C557207" w:rsidR="00324C1D" w:rsidRDefault="00324C1D"/>
    <w:p w14:paraId="75046DAD" w14:textId="45F07EDB" w:rsidR="00324C1D" w:rsidRDefault="00324C1D"/>
    <w:p w14:paraId="363F7EE3" w14:textId="3CF39073" w:rsidR="00324C1D" w:rsidRDefault="00324C1D"/>
    <w:p w14:paraId="66F95847" w14:textId="06BC8718" w:rsidR="00324C1D" w:rsidRDefault="00324C1D"/>
    <w:p w14:paraId="09975B65" w14:textId="0E99E399" w:rsidR="00324C1D" w:rsidRDefault="00324C1D"/>
    <w:p w14:paraId="40BD1702" w14:textId="31288AEF" w:rsidR="00324C1D" w:rsidRDefault="00324C1D"/>
    <w:p w14:paraId="7B66B92E" w14:textId="2EDB090E" w:rsidR="00324C1D" w:rsidRDefault="00324C1D"/>
    <w:p w14:paraId="23F734EE" w14:textId="5DB655F1" w:rsidR="00324C1D" w:rsidRDefault="00324C1D"/>
    <w:p w14:paraId="370BE355" w14:textId="5E1CF31E" w:rsidR="00324C1D" w:rsidRDefault="00324C1D"/>
    <w:p w14:paraId="17A7AB6E" w14:textId="16685329" w:rsidR="00324C1D" w:rsidRDefault="00324C1D"/>
    <w:p w14:paraId="3B4B0836" w14:textId="4886E1EC" w:rsidR="00324C1D" w:rsidRDefault="00324C1D"/>
    <w:p w14:paraId="7996008F" w14:textId="0AA06863" w:rsidR="00324C1D" w:rsidRDefault="00324C1D"/>
    <w:p w14:paraId="46D149F3" w14:textId="660EBAA7" w:rsidR="00324C1D" w:rsidRDefault="00324C1D"/>
    <w:p w14:paraId="5E1B8E87" w14:textId="6237C687" w:rsidR="00324C1D" w:rsidRDefault="00324C1D"/>
    <w:p w14:paraId="10C8220E" w14:textId="68CF33F9" w:rsidR="00324C1D" w:rsidRDefault="00324C1D"/>
    <w:p w14:paraId="7009BCD5" w14:textId="409E2E5E" w:rsidR="00324C1D" w:rsidRDefault="00324C1D"/>
    <w:p w14:paraId="0F6590B6" w14:textId="466D514F" w:rsidR="00324C1D" w:rsidRDefault="00324C1D"/>
    <w:p w14:paraId="6AD53091" w14:textId="0FB527F6" w:rsidR="00324C1D" w:rsidRDefault="00324C1D"/>
    <w:p w14:paraId="33CAB074" w14:textId="01E032CD" w:rsidR="00324C1D" w:rsidRDefault="00324C1D"/>
    <w:p w14:paraId="1109A217" w14:textId="399C0800" w:rsidR="00324C1D" w:rsidRDefault="00324C1D"/>
    <w:p w14:paraId="31EBC8F5" w14:textId="3D893A7E" w:rsidR="00324C1D" w:rsidRDefault="00324C1D"/>
    <w:p w14:paraId="5495C54B" w14:textId="10BEC011" w:rsidR="00324C1D" w:rsidRDefault="00324C1D"/>
    <w:p w14:paraId="00DAFC49" w14:textId="6C0D2128" w:rsidR="00324C1D" w:rsidRDefault="00324C1D"/>
    <w:p w14:paraId="4EBDF4EA" w14:textId="77777777" w:rsidR="00324C1D" w:rsidRDefault="00324C1D"/>
    <w:p w14:paraId="282125FA" w14:textId="4169C316" w:rsidR="00324C1D" w:rsidRDefault="00324C1D"/>
    <w:p w14:paraId="2FCD24DD" w14:textId="77777777" w:rsidR="00324C1D" w:rsidRDefault="00324C1D" w:rsidP="00324C1D">
      <w:pPr>
        <w:pStyle w:val="Heading1"/>
      </w:pPr>
      <w:bookmarkStart w:id="7" w:name="_Toc234470613"/>
      <w:r>
        <w:lastRenderedPageBreak/>
        <w:t>Reference List</w:t>
      </w:r>
      <w:bookmarkEnd w:id="7"/>
    </w:p>
    <w:p w14:paraId="6C0BECF4" w14:textId="77777777" w:rsidR="00324C1D" w:rsidRDefault="00324C1D" w:rsidP="00324C1D">
      <w:pPr>
        <w:pStyle w:val="NormalWeb"/>
      </w:pPr>
      <w:r>
        <w:t xml:space="preserve">Ansoff, H.I. (1957) ‘Strategies for diversification’, </w:t>
      </w:r>
      <w:r>
        <w:rPr>
          <w:rStyle w:val="Emphasis"/>
        </w:rPr>
        <w:t>Harvard Business Review</w:t>
      </w:r>
      <w:r>
        <w:t>, 35(5), pp. 113–124.</w:t>
      </w:r>
    </w:p>
    <w:p w14:paraId="208E2F19" w14:textId="77777777" w:rsidR="00324C1D" w:rsidRDefault="00324C1D" w:rsidP="00324C1D">
      <w:pPr>
        <w:pStyle w:val="NormalWeb"/>
      </w:pPr>
      <w:r>
        <w:t xml:space="preserve">Competition and Markets Authority (2024) </w:t>
      </w:r>
      <w:r>
        <w:rPr>
          <w:rStyle w:val="Emphasis"/>
        </w:rPr>
        <w:t>CMA clears Vodafone / Three merger, subject to legally binding commitments</w:t>
      </w:r>
      <w:r>
        <w:t xml:space="preserve">. Available at: GOV.UK. The CMA confirmed the merger could proceed with commitments covering network investment, customer protections and wholesale safeguards. </w:t>
      </w:r>
    </w:p>
    <w:p w14:paraId="09B19FA3" w14:textId="77777777" w:rsidR="00324C1D" w:rsidRDefault="00324C1D" w:rsidP="00324C1D">
      <w:pPr>
        <w:pStyle w:val="NormalWeb"/>
      </w:pPr>
      <w:r>
        <w:t xml:space="preserve">Deloitte (2024) </w:t>
      </w:r>
      <w:r>
        <w:rPr>
          <w:rStyle w:val="Emphasis"/>
        </w:rPr>
        <w:t>5G use cases: Transformation via 5G and edge computing</w:t>
      </w:r>
      <w:r>
        <w:t xml:space="preserve">. Available at: Deloitte. Deloitte highlights how 5G and edge computing can support enterprise transformation and accelerate return on investment. </w:t>
      </w:r>
    </w:p>
    <w:p w14:paraId="7E45E39D" w14:textId="77777777" w:rsidR="00324C1D" w:rsidRDefault="00324C1D" w:rsidP="00324C1D">
      <w:pPr>
        <w:pStyle w:val="NormalWeb"/>
      </w:pPr>
      <w:r>
        <w:t xml:space="preserve">Freeman, R.E. (1984) </w:t>
      </w:r>
      <w:r>
        <w:rPr>
          <w:rStyle w:val="Emphasis"/>
        </w:rPr>
        <w:t>Strategic Management: A Stakeholder Approach</w:t>
      </w:r>
      <w:r>
        <w:t>. Boston: Pitman.</w:t>
      </w:r>
    </w:p>
    <w:p w14:paraId="5A39EF1A" w14:textId="77777777" w:rsidR="00324C1D" w:rsidRDefault="00324C1D" w:rsidP="00324C1D">
      <w:pPr>
        <w:pStyle w:val="NormalWeb"/>
      </w:pPr>
      <w:r>
        <w:t xml:space="preserve">GSMA (2024) </w:t>
      </w:r>
      <w:r>
        <w:rPr>
          <w:rStyle w:val="Emphasis"/>
        </w:rPr>
        <w:t>The Mobile Economy 2024</w:t>
      </w:r>
      <w:r>
        <w:t xml:space="preserve">. London: GSMA. The report discusses global mobile trends, including 5G standalone, 5G-Advanced, network APIs, </w:t>
      </w:r>
      <w:proofErr w:type="spellStart"/>
      <w:r>
        <w:t>eSIM</w:t>
      </w:r>
      <w:proofErr w:type="spellEnd"/>
      <w:r>
        <w:t xml:space="preserve"> and mobile’s role in digital transformation. </w:t>
      </w:r>
    </w:p>
    <w:p w14:paraId="7B969607" w14:textId="77777777" w:rsidR="00324C1D" w:rsidRDefault="00324C1D" w:rsidP="00324C1D">
      <w:pPr>
        <w:pStyle w:val="NormalWeb"/>
      </w:pPr>
      <w:r>
        <w:t xml:space="preserve">GSMA (2026) </w:t>
      </w:r>
      <w:r>
        <w:rPr>
          <w:rStyle w:val="Emphasis"/>
        </w:rPr>
        <w:t>The Mobile Economy Europe 2026</w:t>
      </w:r>
      <w:r>
        <w:t xml:space="preserve">. London: GSMA. The report focuses on European mobile trends, including 5G, investment, AI, security, resilience and environmental sustainability. </w:t>
      </w:r>
    </w:p>
    <w:p w14:paraId="5B0685B9" w14:textId="77777777" w:rsidR="00324C1D" w:rsidRDefault="00324C1D" w:rsidP="00324C1D">
      <w:pPr>
        <w:pStyle w:val="NormalWeb"/>
      </w:pPr>
      <w:r>
        <w:t xml:space="preserve">Johnson, G., Scholes, K. and Whittington, R. (2017) </w:t>
      </w:r>
      <w:r>
        <w:rPr>
          <w:rStyle w:val="Emphasis"/>
        </w:rPr>
        <w:t>Exploring Strategy: Text and Cases</w:t>
      </w:r>
      <w:r>
        <w:t xml:space="preserve">. 11th </w:t>
      </w:r>
      <w:proofErr w:type="spellStart"/>
      <w:r>
        <w:t>edn</w:t>
      </w:r>
      <w:proofErr w:type="spellEnd"/>
      <w:r>
        <w:t>. Harlow: Pearson.</w:t>
      </w:r>
    </w:p>
    <w:p w14:paraId="2444FBBA" w14:textId="77777777" w:rsidR="00324C1D" w:rsidRDefault="00324C1D" w:rsidP="00324C1D">
      <w:pPr>
        <w:pStyle w:val="NormalWeb"/>
      </w:pPr>
      <w:r>
        <w:t xml:space="preserve">Ofcom (2025) </w:t>
      </w:r>
      <w:r>
        <w:rPr>
          <w:rStyle w:val="Emphasis"/>
        </w:rPr>
        <w:t>Connected Nations 2025: UK report</w:t>
      </w:r>
      <w:r>
        <w:t xml:space="preserve">. London: Ofcom. The report provides updated data on UK fixed broadband and mobile network coverage and usage. </w:t>
      </w:r>
    </w:p>
    <w:p w14:paraId="0579C92B" w14:textId="77777777" w:rsidR="00324C1D" w:rsidRDefault="00324C1D" w:rsidP="00324C1D">
      <w:pPr>
        <w:pStyle w:val="NormalWeb"/>
      </w:pPr>
      <w:r>
        <w:t xml:space="preserve">Ofcom (2025) </w:t>
      </w:r>
      <w:r>
        <w:rPr>
          <w:rStyle w:val="Emphasis"/>
        </w:rPr>
        <w:t>Connected Nations update: Spring 2025</w:t>
      </w:r>
      <w:r>
        <w:t xml:space="preserve">. London: Ofcom. The report provides a snapshot of UK mobile coverage and fixed broadband availability as of January 2025. </w:t>
      </w:r>
    </w:p>
    <w:p w14:paraId="2C272BBF" w14:textId="77777777" w:rsidR="00324C1D" w:rsidRDefault="00324C1D" w:rsidP="00324C1D">
      <w:pPr>
        <w:pStyle w:val="NormalWeb"/>
      </w:pPr>
      <w:r>
        <w:t xml:space="preserve">Patwary, M.N., Nawaz, S.J., Rahman, M.A., Sharma, S.K., Rashid, M.M. and Barnes, S.J. (2019) ‘The potential short- and long-term disruptions and transformative impacts of 5G and beyond wireless networks: Lessons learnt from the development of a 5G testbed environment’. Available at: </w:t>
      </w:r>
      <w:proofErr w:type="spellStart"/>
      <w:r>
        <w:t>arXiv</w:t>
      </w:r>
      <w:proofErr w:type="spellEnd"/>
      <w:r>
        <w:t xml:space="preserve">. </w:t>
      </w:r>
    </w:p>
    <w:p w14:paraId="75C60FE8" w14:textId="77777777" w:rsidR="00324C1D" w:rsidRDefault="00324C1D" w:rsidP="00324C1D">
      <w:pPr>
        <w:pStyle w:val="NormalWeb"/>
      </w:pPr>
      <w:r>
        <w:t xml:space="preserve">Sachs, J. and </w:t>
      </w:r>
      <w:proofErr w:type="spellStart"/>
      <w:r>
        <w:t>Landernäs</w:t>
      </w:r>
      <w:proofErr w:type="spellEnd"/>
      <w:r>
        <w:t xml:space="preserve">, K. (2022) ‘Review of 5G capabilities for smart manufacturing’. Available at: </w:t>
      </w:r>
      <w:proofErr w:type="spellStart"/>
      <w:r>
        <w:t>arXiv</w:t>
      </w:r>
      <w:proofErr w:type="spellEnd"/>
      <w:r>
        <w:t xml:space="preserve">. The paper explains how 5G can support industrial IoT, wireless industrial networking and smart manufacturing automation. </w:t>
      </w:r>
    </w:p>
    <w:p w14:paraId="4A5D2919" w14:textId="77777777" w:rsidR="00324C1D" w:rsidRDefault="00324C1D" w:rsidP="00324C1D">
      <w:pPr>
        <w:pStyle w:val="NormalWeb"/>
      </w:pPr>
      <w:r>
        <w:t xml:space="preserve">Vodafone (2024) </w:t>
      </w:r>
      <w:r>
        <w:rPr>
          <w:rStyle w:val="Emphasis"/>
        </w:rPr>
        <w:t>Annual Report 2024</w:t>
      </w:r>
      <w:r>
        <w:t xml:space="preserve">. Vodafone Group Plc. The report states Vodafone’s purpose as connecting for a better future and building an inclusive, sustainable and trusted digital society. </w:t>
      </w:r>
    </w:p>
    <w:p w14:paraId="72FE7A9F" w14:textId="77777777" w:rsidR="00324C1D" w:rsidRDefault="00324C1D" w:rsidP="00324C1D">
      <w:pPr>
        <w:pStyle w:val="NormalWeb"/>
      </w:pPr>
      <w:r>
        <w:t xml:space="preserve">Vodafone (2025) </w:t>
      </w:r>
      <w:r>
        <w:rPr>
          <w:rStyle w:val="Emphasis"/>
        </w:rPr>
        <w:t>Annual Report 2025</w:t>
      </w:r>
      <w:r>
        <w:t xml:space="preserve">. Vodafone Group Plc. The report confirms total revenue growth of 2.0% to €37.4 billion and organic service revenue growth of 5.1%. </w:t>
      </w:r>
    </w:p>
    <w:p w14:paraId="27B31E19" w14:textId="77777777" w:rsidR="00324C1D" w:rsidRDefault="00324C1D" w:rsidP="00324C1D">
      <w:pPr>
        <w:pStyle w:val="NormalWeb"/>
      </w:pPr>
      <w:r>
        <w:lastRenderedPageBreak/>
        <w:t xml:space="preserve">Vodafone (2025) </w:t>
      </w:r>
      <w:r>
        <w:rPr>
          <w:rStyle w:val="Emphasis"/>
        </w:rPr>
        <w:t>Completion of Vodafone and Three merger in the UK</w:t>
      </w:r>
      <w:r>
        <w:t xml:space="preserve">. Vodafone Group Plc. The source confirms that the merger completed on 31 May 2025 and that VodafoneThree is 51% owned by Vodafone and 49% by CK Hutchison. </w:t>
      </w:r>
    </w:p>
    <w:p w14:paraId="1D967422" w14:textId="77777777" w:rsidR="00324C1D" w:rsidRDefault="00324C1D" w:rsidP="00324C1D">
      <w:pPr>
        <w:pStyle w:val="NormalWeb"/>
      </w:pPr>
      <w:r>
        <w:t xml:space="preserve">Vodafone (2025) </w:t>
      </w:r>
      <w:r>
        <w:rPr>
          <w:rStyle w:val="Emphasis"/>
        </w:rPr>
        <w:t>Completion of Vodafone and Three merger in the UK</w:t>
      </w:r>
      <w:r>
        <w:t xml:space="preserve">. Vodafone Group Plc. The source also confirms the planned £11 billion investment over ten years to build one of Europe’s most advanced 5G networks. </w:t>
      </w:r>
    </w:p>
    <w:p w14:paraId="2FF20808" w14:textId="77777777" w:rsidR="00324C1D" w:rsidRDefault="00324C1D" w:rsidP="00324C1D">
      <w:pPr>
        <w:pStyle w:val="NormalWeb"/>
      </w:pPr>
      <w:r>
        <w:t xml:space="preserve">Vodafone (2026) </w:t>
      </w:r>
      <w:r>
        <w:rPr>
          <w:rStyle w:val="Emphasis"/>
        </w:rPr>
        <w:t>Sustainable business</w:t>
      </w:r>
      <w:r>
        <w:t xml:space="preserve">. Vodafone Group Plc. Vodafone states that its mission is to connect everyone and use technology to improve lives while building a trusted, inclusive and sustainable digital society. </w:t>
      </w:r>
    </w:p>
    <w:p w14:paraId="732ADFEA" w14:textId="77777777" w:rsidR="00324C1D" w:rsidRDefault="00324C1D" w:rsidP="00324C1D">
      <w:pPr>
        <w:pStyle w:val="NormalWeb"/>
      </w:pPr>
      <w:r>
        <w:t xml:space="preserve">VodafoneThree (2025) </w:t>
      </w:r>
      <w:r>
        <w:rPr>
          <w:rStyle w:val="Emphasis"/>
        </w:rPr>
        <w:t>VodafoneThree begins a new era of connectivity for the UK</w:t>
      </w:r>
      <w:r>
        <w:t xml:space="preserve">. VodafoneThree. The source reports that network sharing would remove 16,500 square kilometres of not-spots and benefit Vodafone and Three customers. </w:t>
      </w:r>
    </w:p>
    <w:p w14:paraId="4EDCF903" w14:textId="77777777" w:rsidR="00324C1D" w:rsidRDefault="00324C1D" w:rsidP="00324C1D">
      <w:pPr>
        <w:pStyle w:val="NormalWeb"/>
      </w:pPr>
      <w:r>
        <w:t xml:space="preserve">Ericsson (2026) </w:t>
      </w:r>
      <w:r>
        <w:rPr>
          <w:rStyle w:val="Emphasis"/>
        </w:rPr>
        <w:t>Ericsson and VodafoneThree complete world-first network upgrade, unlocking fastest 5G speeds for up to 50 million people</w:t>
      </w:r>
      <w:r>
        <w:t xml:space="preserve">. Ericsson. The source reports that 28.6 million customers can connect to the best available network and that up to 50 million people can access VodafoneThree’s fastest 5G speeds. </w:t>
      </w:r>
    </w:p>
    <w:p w14:paraId="0E49BC3D" w14:textId="77777777" w:rsidR="00324C1D" w:rsidRDefault="00324C1D" w:rsidP="00324C1D">
      <w:pPr>
        <w:pStyle w:val="NormalWeb"/>
      </w:pPr>
      <w:r>
        <w:t xml:space="preserve">Which? (2026) </w:t>
      </w:r>
      <w:r>
        <w:rPr>
          <w:rStyle w:val="Emphasis"/>
        </w:rPr>
        <w:t>Mobile internet coverage in UK worse than any EU or G7 country</w:t>
      </w:r>
      <w:r>
        <w:t xml:space="preserve">. Reported in </w:t>
      </w:r>
      <w:r>
        <w:rPr>
          <w:rStyle w:val="Emphasis"/>
        </w:rPr>
        <w:t>The Guardian</w:t>
      </w:r>
      <w:r>
        <w:t xml:space="preserve">. The report states that the UK ranks poorly for mobile internet coverage and consistency compared with EU and G7 countries. </w:t>
      </w:r>
    </w:p>
    <w:p w14:paraId="116E0527" w14:textId="44C85AB2" w:rsidR="00324C1D" w:rsidRDefault="00324C1D"/>
    <w:p w14:paraId="554C3AFA" w14:textId="3D543912" w:rsidR="00324C1D" w:rsidRDefault="00324C1D"/>
    <w:p w14:paraId="631E468C" w14:textId="1B854EFD" w:rsidR="00324C1D" w:rsidRDefault="00324C1D"/>
    <w:p w14:paraId="6434097D" w14:textId="3B5CE87C" w:rsidR="00324C1D" w:rsidRDefault="00324C1D"/>
    <w:p w14:paraId="764FC259" w14:textId="6CDFC059" w:rsidR="00324C1D" w:rsidRDefault="00324C1D"/>
    <w:p w14:paraId="5EE30573" w14:textId="4654F501" w:rsidR="00324C1D" w:rsidRDefault="00324C1D"/>
    <w:p w14:paraId="4447F43D" w14:textId="1771AFF0" w:rsidR="00324C1D" w:rsidRDefault="00324C1D"/>
    <w:p w14:paraId="7F77539D" w14:textId="1FCFAE8A" w:rsidR="00324C1D" w:rsidRDefault="00324C1D"/>
    <w:p w14:paraId="7D67AB63" w14:textId="0D26EB35" w:rsidR="00324C1D" w:rsidRDefault="00324C1D"/>
    <w:p w14:paraId="2919F5A5" w14:textId="63F186EB" w:rsidR="00324C1D" w:rsidRDefault="00324C1D"/>
    <w:p w14:paraId="43D1C641" w14:textId="61AF8021" w:rsidR="00324C1D" w:rsidRDefault="00324C1D"/>
    <w:p w14:paraId="24D36DFF" w14:textId="5E2F9AB7" w:rsidR="00324C1D" w:rsidRDefault="00324C1D"/>
    <w:p w14:paraId="634F3878" w14:textId="71363333" w:rsidR="00324C1D" w:rsidRDefault="00324C1D"/>
    <w:p w14:paraId="4757230A" w14:textId="74E805AE" w:rsidR="00324C1D" w:rsidRDefault="00324C1D"/>
    <w:p w14:paraId="042ED641" w14:textId="13DE40C6" w:rsidR="00324C1D" w:rsidRDefault="00324C1D"/>
    <w:p w14:paraId="5067B881" w14:textId="361E1F21" w:rsidR="00324C1D" w:rsidRDefault="00324C1D"/>
    <w:p w14:paraId="3C9D0EE7" w14:textId="292394A5" w:rsidR="00324C1D" w:rsidRDefault="00324C1D"/>
    <w:p w14:paraId="550A49B1" w14:textId="77777777" w:rsidR="00324C1D" w:rsidRDefault="00324C1D"/>
    <w:p w14:paraId="038A1F39" w14:textId="64DC7617" w:rsidR="00324C1D" w:rsidRDefault="00324C1D"/>
    <w:p w14:paraId="78AB4CE2" w14:textId="5EB175F5" w:rsidR="00324C1D" w:rsidRDefault="00324C1D"/>
    <w:p w14:paraId="59071B95" w14:textId="00BA0C55" w:rsidR="00324C1D" w:rsidRDefault="00324C1D"/>
    <w:p w14:paraId="7C77CD40" w14:textId="1B0A0F2F" w:rsidR="00324C1D" w:rsidRDefault="00324C1D"/>
    <w:p w14:paraId="168CFDB4" w14:textId="3A214367" w:rsidR="00324C1D" w:rsidRDefault="00324C1D" w:rsidP="00324C1D">
      <w:pPr>
        <w:pStyle w:val="Heading1"/>
      </w:pPr>
      <w:r>
        <w:lastRenderedPageBreak/>
        <w:t xml:space="preserve">APPENDICES </w:t>
      </w:r>
    </w:p>
    <w:p w14:paraId="69CF2080" w14:textId="77777777" w:rsidR="00324C1D" w:rsidRDefault="00324C1D"/>
    <w:p w14:paraId="78B6CD8C" w14:textId="77777777" w:rsidR="00324C1D" w:rsidRDefault="00324C1D"/>
    <w:p w14:paraId="07D29705" w14:textId="34F85D47" w:rsidR="00324C1D" w:rsidRDefault="00324C1D"/>
    <w:tbl>
      <w:tblPr>
        <w:tblStyle w:val="TableGrid"/>
        <w:tblW w:w="0" w:type="auto"/>
        <w:tblLook w:val="04A0" w:firstRow="1" w:lastRow="0" w:firstColumn="1" w:lastColumn="0" w:noHBand="0" w:noVBand="1"/>
      </w:tblPr>
      <w:tblGrid>
        <w:gridCol w:w="1763"/>
        <w:gridCol w:w="7253"/>
      </w:tblGrid>
      <w:tr w:rsidR="00324C1D" w:rsidRPr="00324C1D" w14:paraId="37A1E1B1" w14:textId="77777777" w:rsidTr="00324C1D">
        <w:tc>
          <w:tcPr>
            <w:tcW w:w="0" w:type="auto"/>
            <w:hideMark/>
          </w:tcPr>
          <w:p w14:paraId="73BC2402" w14:textId="77777777" w:rsidR="00324C1D" w:rsidRPr="00324C1D" w:rsidRDefault="00324C1D" w:rsidP="00324C1D">
            <w:pPr>
              <w:spacing w:line="360" w:lineRule="auto"/>
              <w:jc w:val="center"/>
              <w:rPr>
                <w:rFonts w:ascii="Times New Roman" w:eastAsia="Times New Roman" w:hAnsi="Times New Roman" w:cs="Times New Roman"/>
                <w:b/>
                <w:bCs/>
                <w:lang w:eastAsia="en-GB"/>
              </w:rPr>
            </w:pPr>
            <w:r w:rsidRPr="00324C1D">
              <w:rPr>
                <w:rFonts w:ascii="Times New Roman" w:eastAsia="Times New Roman" w:hAnsi="Times New Roman" w:cs="Times New Roman"/>
                <w:b/>
                <w:bCs/>
                <w:lang w:eastAsia="en-GB"/>
              </w:rPr>
              <w:t>Factor</w:t>
            </w:r>
          </w:p>
        </w:tc>
        <w:tc>
          <w:tcPr>
            <w:tcW w:w="0" w:type="auto"/>
            <w:hideMark/>
          </w:tcPr>
          <w:p w14:paraId="13BE5BB0" w14:textId="77777777" w:rsidR="00324C1D" w:rsidRPr="00324C1D" w:rsidRDefault="00324C1D" w:rsidP="00324C1D">
            <w:pPr>
              <w:spacing w:line="360" w:lineRule="auto"/>
              <w:jc w:val="center"/>
              <w:rPr>
                <w:rFonts w:ascii="Times New Roman" w:eastAsia="Times New Roman" w:hAnsi="Times New Roman" w:cs="Times New Roman"/>
                <w:b/>
                <w:bCs/>
                <w:lang w:eastAsia="en-GB"/>
              </w:rPr>
            </w:pPr>
            <w:r w:rsidRPr="00324C1D">
              <w:rPr>
                <w:rFonts w:ascii="Times New Roman" w:eastAsia="Times New Roman" w:hAnsi="Times New Roman" w:cs="Times New Roman"/>
                <w:b/>
                <w:bCs/>
                <w:lang w:eastAsia="en-GB"/>
              </w:rPr>
              <w:t>Key points</w:t>
            </w:r>
          </w:p>
        </w:tc>
      </w:tr>
      <w:tr w:rsidR="00324C1D" w:rsidRPr="00324C1D" w14:paraId="76C790F3" w14:textId="77777777" w:rsidTr="00324C1D">
        <w:tc>
          <w:tcPr>
            <w:tcW w:w="0" w:type="auto"/>
            <w:hideMark/>
          </w:tcPr>
          <w:p w14:paraId="585C1E7D" w14:textId="77777777" w:rsidR="00324C1D" w:rsidRPr="00324C1D" w:rsidRDefault="00324C1D" w:rsidP="00324C1D">
            <w:pPr>
              <w:spacing w:line="360" w:lineRule="auto"/>
              <w:rPr>
                <w:rFonts w:ascii="Times New Roman" w:eastAsia="Times New Roman" w:hAnsi="Times New Roman" w:cs="Times New Roman"/>
                <w:lang w:eastAsia="en-GB"/>
              </w:rPr>
            </w:pPr>
            <w:r w:rsidRPr="00324C1D">
              <w:rPr>
                <w:rFonts w:ascii="Times New Roman" w:eastAsia="Times New Roman" w:hAnsi="Times New Roman" w:cs="Times New Roman"/>
                <w:b/>
                <w:bCs/>
                <w:lang w:eastAsia="en-GB"/>
              </w:rPr>
              <w:t>Political</w:t>
            </w:r>
          </w:p>
        </w:tc>
        <w:tc>
          <w:tcPr>
            <w:tcW w:w="0" w:type="auto"/>
            <w:hideMark/>
          </w:tcPr>
          <w:p w14:paraId="610A7D6C" w14:textId="77777777" w:rsidR="00324C1D" w:rsidRPr="00324C1D" w:rsidRDefault="00324C1D" w:rsidP="00324C1D">
            <w:pPr>
              <w:spacing w:line="360" w:lineRule="auto"/>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UK telecoms is viewed as important national infrastructure. The Vodafone–Three merger was approved with CMA conditions, including network investment, price protections and wholesale safeguards (CMA, 2024).</w:t>
            </w:r>
          </w:p>
        </w:tc>
      </w:tr>
      <w:tr w:rsidR="00324C1D" w:rsidRPr="00324C1D" w14:paraId="11DD3FDE" w14:textId="77777777" w:rsidTr="00324C1D">
        <w:tc>
          <w:tcPr>
            <w:tcW w:w="0" w:type="auto"/>
            <w:hideMark/>
          </w:tcPr>
          <w:p w14:paraId="6110B9BB" w14:textId="77777777" w:rsidR="00324C1D" w:rsidRPr="00324C1D" w:rsidRDefault="00324C1D" w:rsidP="00324C1D">
            <w:pPr>
              <w:spacing w:line="360" w:lineRule="auto"/>
              <w:rPr>
                <w:rFonts w:ascii="Times New Roman" w:eastAsia="Times New Roman" w:hAnsi="Times New Roman" w:cs="Times New Roman"/>
                <w:lang w:eastAsia="en-GB"/>
              </w:rPr>
            </w:pPr>
            <w:r w:rsidRPr="00324C1D">
              <w:rPr>
                <w:rFonts w:ascii="Times New Roman" w:eastAsia="Times New Roman" w:hAnsi="Times New Roman" w:cs="Times New Roman"/>
                <w:b/>
                <w:bCs/>
                <w:lang w:eastAsia="en-GB"/>
              </w:rPr>
              <w:t>Economic</w:t>
            </w:r>
          </w:p>
        </w:tc>
        <w:tc>
          <w:tcPr>
            <w:tcW w:w="0" w:type="auto"/>
            <w:hideMark/>
          </w:tcPr>
          <w:p w14:paraId="59B213B9" w14:textId="77777777" w:rsidR="00324C1D" w:rsidRPr="00324C1D" w:rsidRDefault="00324C1D" w:rsidP="00324C1D">
            <w:pPr>
              <w:spacing w:line="360" w:lineRule="auto"/>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The UK mobile market is mature and price competitive. Vodafone Group reported FY25 revenue of €37.4 billion, while the merger is expected to deliver around £700 million in annual synergies by year five (Vodafone, 2025).</w:t>
            </w:r>
          </w:p>
        </w:tc>
      </w:tr>
      <w:tr w:rsidR="00324C1D" w:rsidRPr="00324C1D" w14:paraId="76D64D49" w14:textId="77777777" w:rsidTr="00324C1D">
        <w:tc>
          <w:tcPr>
            <w:tcW w:w="0" w:type="auto"/>
            <w:hideMark/>
          </w:tcPr>
          <w:p w14:paraId="6FE7F0A0" w14:textId="77777777" w:rsidR="00324C1D" w:rsidRPr="00324C1D" w:rsidRDefault="00324C1D" w:rsidP="00324C1D">
            <w:pPr>
              <w:spacing w:line="360" w:lineRule="auto"/>
              <w:rPr>
                <w:rFonts w:ascii="Times New Roman" w:eastAsia="Times New Roman" w:hAnsi="Times New Roman" w:cs="Times New Roman"/>
                <w:lang w:eastAsia="en-GB"/>
              </w:rPr>
            </w:pPr>
            <w:r w:rsidRPr="00324C1D">
              <w:rPr>
                <w:rFonts w:ascii="Times New Roman" w:eastAsia="Times New Roman" w:hAnsi="Times New Roman" w:cs="Times New Roman"/>
                <w:b/>
                <w:bCs/>
                <w:lang w:eastAsia="en-GB"/>
              </w:rPr>
              <w:t>Social</w:t>
            </w:r>
          </w:p>
        </w:tc>
        <w:tc>
          <w:tcPr>
            <w:tcW w:w="0" w:type="auto"/>
            <w:hideMark/>
          </w:tcPr>
          <w:p w14:paraId="3007272E" w14:textId="77777777" w:rsidR="00324C1D" w:rsidRPr="00324C1D" w:rsidRDefault="00324C1D" w:rsidP="00324C1D">
            <w:pPr>
              <w:spacing w:line="360" w:lineRule="auto"/>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Customers expect reliable mobile coverage, fair prices and better customer service. Rural not-spots and inconsistent 5G coverage remain concerns (Ofcom, 2025).</w:t>
            </w:r>
          </w:p>
        </w:tc>
      </w:tr>
      <w:tr w:rsidR="00324C1D" w:rsidRPr="00324C1D" w14:paraId="21D390E9" w14:textId="77777777" w:rsidTr="00324C1D">
        <w:tc>
          <w:tcPr>
            <w:tcW w:w="0" w:type="auto"/>
            <w:hideMark/>
          </w:tcPr>
          <w:p w14:paraId="165FF09E" w14:textId="77777777" w:rsidR="00324C1D" w:rsidRPr="00324C1D" w:rsidRDefault="00324C1D" w:rsidP="00324C1D">
            <w:pPr>
              <w:spacing w:line="360" w:lineRule="auto"/>
              <w:rPr>
                <w:rFonts w:ascii="Times New Roman" w:eastAsia="Times New Roman" w:hAnsi="Times New Roman" w:cs="Times New Roman"/>
                <w:lang w:eastAsia="en-GB"/>
              </w:rPr>
            </w:pPr>
            <w:r w:rsidRPr="00324C1D">
              <w:rPr>
                <w:rFonts w:ascii="Times New Roman" w:eastAsia="Times New Roman" w:hAnsi="Times New Roman" w:cs="Times New Roman"/>
                <w:b/>
                <w:bCs/>
                <w:lang w:eastAsia="en-GB"/>
              </w:rPr>
              <w:t>Technological</w:t>
            </w:r>
          </w:p>
        </w:tc>
        <w:tc>
          <w:tcPr>
            <w:tcW w:w="0" w:type="auto"/>
            <w:hideMark/>
          </w:tcPr>
          <w:p w14:paraId="799EA40D" w14:textId="77777777" w:rsidR="00324C1D" w:rsidRPr="00324C1D" w:rsidRDefault="00324C1D" w:rsidP="00324C1D">
            <w:pPr>
              <w:spacing w:line="360" w:lineRule="auto"/>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Standalone 5G, IoT, private networks, cybersecurity and smart-city services are major growth areas. GSMA (2024) highlights 5G as an enabler of industrial digitalisation.</w:t>
            </w:r>
          </w:p>
        </w:tc>
      </w:tr>
      <w:tr w:rsidR="00324C1D" w:rsidRPr="00324C1D" w14:paraId="48670466" w14:textId="77777777" w:rsidTr="00324C1D">
        <w:tc>
          <w:tcPr>
            <w:tcW w:w="0" w:type="auto"/>
            <w:hideMark/>
          </w:tcPr>
          <w:p w14:paraId="4C6B03A0" w14:textId="77777777" w:rsidR="00324C1D" w:rsidRPr="00324C1D" w:rsidRDefault="00324C1D" w:rsidP="00324C1D">
            <w:pPr>
              <w:spacing w:line="360" w:lineRule="auto"/>
              <w:rPr>
                <w:rFonts w:ascii="Times New Roman" w:eastAsia="Times New Roman" w:hAnsi="Times New Roman" w:cs="Times New Roman"/>
                <w:lang w:eastAsia="en-GB"/>
              </w:rPr>
            </w:pPr>
            <w:r w:rsidRPr="00324C1D">
              <w:rPr>
                <w:rFonts w:ascii="Times New Roman" w:eastAsia="Times New Roman" w:hAnsi="Times New Roman" w:cs="Times New Roman"/>
                <w:b/>
                <w:bCs/>
                <w:lang w:eastAsia="en-GB"/>
              </w:rPr>
              <w:t>Legal</w:t>
            </w:r>
          </w:p>
        </w:tc>
        <w:tc>
          <w:tcPr>
            <w:tcW w:w="0" w:type="auto"/>
            <w:hideMark/>
          </w:tcPr>
          <w:p w14:paraId="4076E7D1" w14:textId="77777777" w:rsidR="00324C1D" w:rsidRPr="00324C1D" w:rsidRDefault="00324C1D" w:rsidP="00324C1D">
            <w:pPr>
              <w:spacing w:line="360" w:lineRule="auto"/>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The company must comply with CMA merger commitments, Ofcom rules, consumer protection law, data protection and cybersecurity obligations.</w:t>
            </w:r>
          </w:p>
        </w:tc>
      </w:tr>
      <w:tr w:rsidR="00324C1D" w:rsidRPr="00324C1D" w14:paraId="4B4423E1" w14:textId="77777777" w:rsidTr="00324C1D">
        <w:tc>
          <w:tcPr>
            <w:tcW w:w="0" w:type="auto"/>
            <w:hideMark/>
          </w:tcPr>
          <w:p w14:paraId="3320A1E9" w14:textId="77777777" w:rsidR="00324C1D" w:rsidRPr="00324C1D" w:rsidRDefault="00324C1D" w:rsidP="00324C1D">
            <w:pPr>
              <w:spacing w:line="360" w:lineRule="auto"/>
              <w:rPr>
                <w:rFonts w:ascii="Times New Roman" w:eastAsia="Times New Roman" w:hAnsi="Times New Roman" w:cs="Times New Roman"/>
                <w:lang w:eastAsia="en-GB"/>
              </w:rPr>
            </w:pPr>
            <w:r w:rsidRPr="00324C1D">
              <w:rPr>
                <w:rFonts w:ascii="Times New Roman" w:eastAsia="Times New Roman" w:hAnsi="Times New Roman" w:cs="Times New Roman"/>
                <w:b/>
                <w:bCs/>
                <w:lang w:eastAsia="en-GB"/>
              </w:rPr>
              <w:t>Environmental</w:t>
            </w:r>
          </w:p>
        </w:tc>
        <w:tc>
          <w:tcPr>
            <w:tcW w:w="0" w:type="auto"/>
            <w:hideMark/>
          </w:tcPr>
          <w:p w14:paraId="05F02DDB" w14:textId="77777777" w:rsidR="00324C1D" w:rsidRPr="00324C1D" w:rsidRDefault="00324C1D" w:rsidP="00324C1D">
            <w:pPr>
              <w:spacing w:line="360" w:lineRule="auto"/>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Telecoms operators face pressure to cut emissions, reduce energy use and manage e-waste. Network integration can remove duplicated infrastructure.</w:t>
            </w:r>
          </w:p>
        </w:tc>
      </w:tr>
    </w:tbl>
    <w:p w14:paraId="371F4B0E" w14:textId="0247B352" w:rsidR="00324C1D" w:rsidRDefault="00324C1D"/>
    <w:p w14:paraId="13B7132E" w14:textId="4BC19076" w:rsidR="00324C1D" w:rsidRDefault="00324C1D"/>
    <w:p w14:paraId="5BCFDC60" w14:textId="50464317" w:rsidR="00324C1D" w:rsidRDefault="00324C1D"/>
    <w:p w14:paraId="328898A1" w14:textId="77777777" w:rsidR="00324C1D" w:rsidRDefault="00324C1D"/>
    <w:p w14:paraId="2A258183" w14:textId="7BE641A6" w:rsidR="00324C1D" w:rsidRDefault="00324C1D"/>
    <w:tbl>
      <w:tblPr>
        <w:tblStyle w:val="TableGrid"/>
        <w:tblW w:w="0" w:type="auto"/>
        <w:tblLook w:val="04A0" w:firstRow="1" w:lastRow="0" w:firstColumn="1" w:lastColumn="0" w:noHBand="0" w:noVBand="1"/>
      </w:tblPr>
      <w:tblGrid>
        <w:gridCol w:w="4638"/>
        <w:gridCol w:w="4378"/>
      </w:tblGrid>
      <w:tr w:rsidR="00324C1D" w:rsidRPr="00324C1D" w14:paraId="02956A75" w14:textId="77777777" w:rsidTr="00324C1D">
        <w:tc>
          <w:tcPr>
            <w:tcW w:w="0" w:type="auto"/>
            <w:hideMark/>
          </w:tcPr>
          <w:p w14:paraId="443C0172" w14:textId="77777777" w:rsidR="00324C1D" w:rsidRPr="00324C1D" w:rsidRDefault="00324C1D" w:rsidP="00324C1D">
            <w:pPr>
              <w:spacing w:line="360" w:lineRule="auto"/>
              <w:jc w:val="center"/>
              <w:rPr>
                <w:rFonts w:ascii="Times New Roman" w:eastAsia="Times New Roman" w:hAnsi="Times New Roman" w:cs="Times New Roman"/>
                <w:b/>
                <w:bCs/>
                <w:lang w:eastAsia="en-GB"/>
              </w:rPr>
            </w:pPr>
            <w:r w:rsidRPr="00324C1D">
              <w:rPr>
                <w:rFonts w:ascii="Times New Roman" w:eastAsia="Times New Roman" w:hAnsi="Times New Roman" w:cs="Times New Roman"/>
                <w:b/>
                <w:bCs/>
                <w:lang w:eastAsia="en-GB"/>
              </w:rPr>
              <w:t>Strengths</w:t>
            </w:r>
          </w:p>
        </w:tc>
        <w:tc>
          <w:tcPr>
            <w:tcW w:w="0" w:type="auto"/>
            <w:hideMark/>
          </w:tcPr>
          <w:p w14:paraId="4D103A32" w14:textId="77777777" w:rsidR="00324C1D" w:rsidRPr="00324C1D" w:rsidRDefault="00324C1D" w:rsidP="00324C1D">
            <w:pPr>
              <w:spacing w:line="360" w:lineRule="auto"/>
              <w:jc w:val="center"/>
              <w:rPr>
                <w:rFonts w:ascii="Times New Roman" w:eastAsia="Times New Roman" w:hAnsi="Times New Roman" w:cs="Times New Roman"/>
                <w:b/>
                <w:bCs/>
                <w:lang w:eastAsia="en-GB"/>
              </w:rPr>
            </w:pPr>
            <w:r w:rsidRPr="00324C1D">
              <w:rPr>
                <w:rFonts w:ascii="Times New Roman" w:eastAsia="Times New Roman" w:hAnsi="Times New Roman" w:cs="Times New Roman"/>
                <w:b/>
                <w:bCs/>
                <w:lang w:eastAsia="en-GB"/>
              </w:rPr>
              <w:t>Weaknesses</w:t>
            </w:r>
          </w:p>
        </w:tc>
      </w:tr>
      <w:tr w:rsidR="00324C1D" w:rsidRPr="00324C1D" w14:paraId="1C860DD7" w14:textId="77777777" w:rsidTr="00324C1D">
        <w:tc>
          <w:tcPr>
            <w:tcW w:w="0" w:type="auto"/>
            <w:hideMark/>
          </w:tcPr>
          <w:p w14:paraId="3921B943" w14:textId="77777777" w:rsidR="00324C1D" w:rsidRPr="00324C1D" w:rsidRDefault="00324C1D" w:rsidP="00324C1D">
            <w:pPr>
              <w:spacing w:line="360" w:lineRule="auto"/>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Larger scale after the Vodafone–Three merger, with around 27 million customers (Vodafone, 2025).</w:t>
            </w:r>
          </w:p>
        </w:tc>
        <w:tc>
          <w:tcPr>
            <w:tcW w:w="0" w:type="auto"/>
            <w:hideMark/>
          </w:tcPr>
          <w:p w14:paraId="5DCD0001" w14:textId="77777777" w:rsidR="00324C1D" w:rsidRPr="00324C1D" w:rsidRDefault="00324C1D" w:rsidP="00324C1D">
            <w:pPr>
              <w:spacing w:line="360" w:lineRule="auto"/>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High integration risk from combining networks, systems, staff and customer bases.</w:t>
            </w:r>
          </w:p>
        </w:tc>
      </w:tr>
      <w:tr w:rsidR="00324C1D" w:rsidRPr="00324C1D" w14:paraId="0810E186" w14:textId="77777777" w:rsidTr="00324C1D">
        <w:tc>
          <w:tcPr>
            <w:tcW w:w="0" w:type="auto"/>
            <w:hideMark/>
          </w:tcPr>
          <w:p w14:paraId="5DCDC506" w14:textId="77777777" w:rsidR="00324C1D" w:rsidRPr="00324C1D" w:rsidRDefault="00324C1D" w:rsidP="00324C1D">
            <w:pPr>
              <w:spacing w:line="360" w:lineRule="auto"/>
              <w:rPr>
                <w:rFonts w:ascii="Times New Roman" w:eastAsia="Times New Roman" w:hAnsi="Times New Roman" w:cs="Times New Roman"/>
                <w:lang w:eastAsia="en-GB"/>
              </w:rPr>
            </w:pPr>
            <w:r w:rsidRPr="00324C1D">
              <w:rPr>
                <w:rFonts w:ascii="Times New Roman" w:eastAsia="Times New Roman" w:hAnsi="Times New Roman" w:cs="Times New Roman"/>
                <w:lang w:eastAsia="en-GB"/>
              </w:rPr>
              <w:lastRenderedPageBreak/>
              <w:t>£11 billion planned network investment over ten years (Vodafone, 2025).</w:t>
            </w:r>
          </w:p>
        </w:tc>
        <w:tc>
          <w:tcPr>
            <w:tcW w:w="0" w:type="auto"/>
            <w:hideMark/>
          </w:tcPr>
          <w:p w14:paraId="3A0C61CE" w14:textId="77777777" w:rsidR="00324C1D" w:rsidRPr="00324C1D" w:rsidRDefault="00324C1D" w:rsidP="00324C1D">
            <w:pPr>
              <w:spacing w:line="360" w:lineRule="auto"/>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Heavy capital expenditure and pressure to deliver returns quickly.</w:t>
            </w:r>
          </w:p>
        </w:tc>
      </w:tr>
      <w:tr w:rsidR="00324C1D" w:rsidRPr="00324C1D" w14:paraId="60D7E96F" w14:textId="77777777" w:rsidTr="00324C1D">
        <w:tc>
          <w:tcPr>
            <w:tcW w:w="0" w:type="auto"/>
            <w:hideMark/>
          </w:tcPr>
          <w:p w14:paraId="0AA88250" w14:textId="77777777" w:rsidR="00324C1D" w:rsidRPr="00324C1D" w:rsidRDefault="00324C1D" w:rsidP="00324C1D">
            <w:pPr>
              <w:spacing w:line="360" w:lineRule="auto"/>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Stronger spectrum position and improved ability to compete with BT/EE and Virgin Media O2.</w:t>
            </w:r>
          </w:p>
        </w:tc>
        <w:tc>
          <w:tcPr>
            <w:tcW w:w="0" w:type="auto"/>
            <w:hideMark/>
          </w:tcPr>
          <w:p w14:paraId="7D9BE61D" w14:textId="77777777" w:rsidR="00324C1D" w:rsidRPr="00324C1D" w:rsidRDefault="00324C1D" w:rsidP="00324C1D">
            <w:pPr>
              <w:spacing w:line="360" w:lineRule="auto"/>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Historic customer service and brand perception challenges.</w:t>
            </w:r>
          </w:p>
        </w:tc>
      </w:tr>
      <w:tr w:rsidR="00324C1D" w:rsidRPr="00324C1D" w14:paraId="5571167B" w14:textId="77777777" w:rsidTr="00324C1D">
        <w:tc>
          <w:tcPr>
            <w:tcW w:w="0" w:type="auto"/>
            <w:hideMark/>
          </w:tcPr>
          <w:p w14:paraId="56232DC0" w14:textId="77777777" w:rsidR="00324C1D" w:rsidRPr="00324C1D" w:rsidRDefault="00324C1D" w:rsidP="00324C1D">
            <w:pPr>
              <w:spacing w:line="360" w:lineRule="auto"/>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Expected annual cost and capex synergies of around £700 million by year five (Vodafone, 2025).</w:t>
            </w:r>
          </w:p>
        </w:tc>
        <w:tc>
          <w:tcPr>
            <w:tcW w:w="0" w:type="auto"/>
            <w:hideMark/>
          </w:tcPr>
          <w:p w14:paraId="1E9F0435" w14:textId="77777777" w:rsidR="00324C1D" w:rsidRPr="00324C1D" w:rsidRDefault="00324C1D" w:rsidP="00324C1D">
            <w:pPr>
              <w:spacing w:line="360" w:lineRule="auto"/>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Merger benefits may take time to become visible to customers.</w:t>
            </w:r>
          </w:p>
        </w:tc>
      </w:tr>
      <w:tr w:rsidR="00324C1D" w:rsidRPr="00324C1D" w14:paraId="1FE4693F" w14:textId="77777777" w:rsidTr="00324C1D">
        <w:tc>
          <w:tcPr>
            <w:tcW w:w="0" w:type="auto"/>
            <w:hideMark/>
          </w:tcPr>
          <w:p w14:paraId="6E78537C" w14:textId="77777777" w:rsidR="00324C1D" w:rsidRPr="00324C1D" w:rsidRDefault="00324C1D" w:rsidP="00324C1D">
            <w:pPr>
              <w:spacing w:line="360" w:lineRule="auto"/>
              <w:jc w:val="center"/>
              <w:rPr>
                <w:rFonts w:ascii="Times New Roman" w:eastAsia="Times New Roman" w:hAnsi="Times New Roman" w:cs="Times New Roman"/>
                <w:b/>
                <w:bCs/>
                <w:lang w:eastAsia="en-GB"/>
              </w:rPr>
            </w:pPr>
            <w:r w:rsidRPr="00324C1D">
              <w:rPr>
                <w:rFonts w:ascii="Times New Roman" w:eastAsia="Times New Roman" w:hAnsi="Times New Roman" w:cs="Times New Roman"/>
                <w:b/>
                <w:bCs/>
                <w:lang w:eastAsia="en-GB"/>
              </w:rPr>
              <w:t>Opportunities</w:t>
            </w:r>
          </w:p>
        </w:tc>
        <w:tc>
          <w:tcPr>
            <w:tcW w:w="0" w:type="auto"/>
            <w:hideMark/>
          </w:tcPr>
          <w:p w14:paraId="19279DFB" w14:textId="77777777" w:rsidR="00324C1D" w:rsidRPr="00324C1D" w:rsidRDefault="00324C1D" w:rsidP="00324C1D">
            <w:pPr>
              <w:spacing w:line="360" w:lineRule="auto"/>
              <w:jc w:val="center"/>
              <w:rPr>
                <w:rFonts w:ascii="Times New Roman" w:eastAsia="Times New Roman" w:hAnsi="Times New Roman" w:cs="Times New Roman"/>
                <w:b/>
                <w:bCs/>
                <w:lang w:eastAsia="en-GB"/>
              </w:rPr>
            </w:pPr>
            <w:r w:rsidRPr="00324C1D">
              <w:rPr>
                <w:rFonts w:ascii="Times New Roman" w:eastAsia="Times New Roman" w:hAnsi="Times New Roman" w:cs="Times New Roman"/>
                <w:b/>
                <w:bCs/>
                <w:lang w:eastAsia="en-GB"/>
              </w:rPr>
              <w:t>Threats</w:t>
            </w:r>
          </w:p>
        </w:tc>
      </w:tr>
      <w:tr w:rsidR="00324C1D" w:rsidRPr="00324C1D" w14:paraId="5BFB2E13" w14:textId="77777777" w:rsidTr="00324C1D">
        <w:tc>
          <w:tcPr>
            <w:tcW w:w="0" w:type="auto"/>
            <w:hideMark/>
          </w:tcPr>
          <w:p w14:paraId="18A65F2B" w14:textId="77777777" w:rsidR="00324C1D" w:rsidRPr="00324C1D" w:rsidRDefault="00324C1D" w:rsidP="00324C1D">
            <w:pPr>
              <w:spacing w:line="360" w:lineRule="auto"/>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Growth in standalone 5G, IoT, private 5G, cybersecurity and SME digital services.</w:t>
            </w:r>
          </w:p>
        </w:tc>
        <w:tc>
          <w:tcPr>
            <w:tcW w:w="0" w:type="auto"/>
            <w:hideMark/>
          </w:tcPr>
          <w:p w14:paraId="419DC0D3" w14:textId="77777777" w:rsidR="00324C1D" w:rsidRPr="00324C1D" w:rsidRDefault="00324C1D" w:rsidP="00324C1D">
            <w:pPr>
              <w:spacing w:line="360" w:lineRule="auto"/>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Strong price competition from MVNOs and bundled offers from BT/EE and Virgin Media O2.</w:t>
            </w:r>
          </w:p>
        </w:tc>
      </w:tr>
      <w:tr w:rsidR="00324C1D" w:rsidRPr="00324C1D" w14:paraId="13A239E1" w14:textId="77777777" w:rsidTr="00324C1D">
        <w:tc>
          <w:tcPr>
            <w:tcW w:w="0" w:type="auto"/>
            <w:hideMark/>
          </w:tcPr>
          <w:p w14:paraId="4E237D6C" w14:textId="77777777" w:rsidR="00324C1D" w:rsidRPr="00324C1D" w:rsidRDefault="00324C1D" w:rsidP="00324C1D">
            <w:pPr>
              <w:spacing w:line="360" w:lineRule="auto"/>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Public-sector and smart-city partnerships in transport, healthcare and local government.</w:t>
            </w:r>
          </w:p>
        </w:tc>
        <w:tc>
          <w:tcPr>
            <w:tcW w:w="0" w:type="auto"/>
            <w:hideMark/>
          </w:tcPr>
          <w:p w14:paraId="428F6F00" w14:textId="77777777" w:rsidR="00324C1D" w:rsidRPr="00324C1D" w:rsidRDefault="00324C1D" w:rsidP="00324C1D">
            <w:pPr>
              <w:spacing w:line="360" w:lineRule="auto"/>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Regulatory scrutiny if merger commitments are not delivered (CMA, 2024).</w:t>
            </w:r>
          </w:p>
        </w:tc>
      </w:tr>
      <w:tr w:rsidR="00324C1D" w:rsidRPr="00324C1D" w14:paraId="32739715" w14:textId="77777777" w:rsidTr="00324C1D">
        <w:tc>
          <w:tcPr>
            <w:tcW w:w="0" w:type="auto"/>
            <w:hideMark/>
          </w:tcPr>
          <w:p w14:paraId="51932F46" w14:textId="77777777" w:rsidR="00324C1D" w:rsidRPr="00324C1D" w:rsidRDefault="00324C1D" w:rsidP="00324C1D">
            <w:pPr>
              <w:spacing w:line="360" w:lineRule="auto"/>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Improved rural and transport coverage to reduce not-spots.</w:t>
            </w:r>
          </w:p>
        </w:tc>
        <w:tc>
          <w:tcPr>
            <w:tcW w:w="0" w:type="auto"/>
            <w:hideMark/>
          </w:tcPr>
          <w:p w14:paraId="168975A9" w14:textId="77777777" w:rsidR="00324C1D" w:rsidRPr="00324C1D" w:rsidRDefault="00324C1D" w:rsidP="00324C1D">
            <w:pPr>
              <w:spacing w:line="360" w:lineRule="auto"/>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Customer churn if prices rise or service quality does not improve.</w:t>
            </w:r>
          </w:p>
        </w:tc>
      </w:tr>
      <w:tr w:rsidR="00324C1D" w:rsidRPr="00324C1D" w14:paraId="22E5B41F" w14:textId="77777777" w:rsidTr="00324C1D">
        <w:tc>
          <w:tcPr>
            <w:tcW w:w="0" w:type="auto"/>
            <w:hideMark/>
          </w:tcPr>
          <w:p w14:paraId="1777CD6F" w14:textId="77777777" w:rsidR="00324C1D" w:rsidRPr="00324C1D" w:rsidRDefault="00324C1D" w:rsidP="00324C1D">
            <w:pPr>
              <w:spacing w:line="360" w:lineRule="auto"/>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Enterprise digital transformation demand supported by 5G and cloud connectivity (GSMA, 2024).</w:t>
            </w:r>
          </w:p>
        </w:tc>
        <w:tc>
          <w:tcPr>
            <w:tcW w:w="0" w:type="auto"/>
            <w:hideMark/>
          </w:tcPr>
          <w:p w14:paraId="6A10D5C4" w14:textId="77777777" w:rsidR="00324C1D" w:rsidRPr="00324C1D" w:rsidRDefault="00324C1D" w:rsidP="00324C1D">
            <w:pPr>
              <w:spacing w:line="360" w:lineRule="auto"/>
              <w:rPr>
                <w:rFonts w:ascii="Times New Roman" w:eastAsia="Times New Roman" w:hAnsi="Times New Roman" w:cs="Times New Roman"/>
                <w:lang w:eastAsia="en-GB"/>
              </w:rPr>
            </w:pPr>
            <w:r w:rsidRPr="00324C1D">
              <w:rPr>
                <w:rFonts w:ascii="Times New Roman" w:eastAsia="Times New Roman" w:hAnsi="Times New Roman" w:cs="Times New Roman"/>
                <w:lang w:eastAsia="en-GB"/>
              </w:rPr>
              <w:t>Cybersecurity risks, mast planning resistance and delays in network integration.</w:t>
            </w:r>
          </w:p>
        </w:tc>
      </w:tr>
    </w:tbl>
    <w:p w14:paraId="4B716CF3" w14:textId="77777777" w:rsidR="00324C1D" w:rsidRDefault="00324C1D"/>
    <w:sectPr w:rsidR="00324C1D">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DF1BC3C" w14:textId="77777777" w:rsidR="00741851" w:rsidRDefault="00741851" w:rsidP="00324C1D">
      <w:r>
        <w:separator/>
      </w:r>
    </w:p>
  </w:endnote>
  <w:endnote w:type="continuationSeparator" w:id="0">
    <w:p w14:paraId="2E23FB10" w14:textId="77777777" w:rsidR="00741851" w:rsidRDefault="00741851" w:rsidP="00324C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060521657"/>
      <w:docPartObj>
        <w:docPartGallery w:val="Page Numbers (Bottom of Page)"/>
        <w:docPartUnique/>
      </w:docPartObj>
    </w:sdtPr>
    <w:sdtEndPr>
      <w:rPr>
        <w:rStyle w:val="PageNumber"/>
      </w:rPr>
    </w:sdtEndPr>
    <w:sdtContent>
      <w:p w14:paraId="6FAB8D3D" w14:textId="442020E8" w:rsidR="00324C1D" w:rsidRDefault="00324C1D" w:rsidP="00340A3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6DC857" w14:textId="77777777" w:rsidR="00324C1D" w:rsidRDefault="00324C1D" w:rsidP="00324C1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294796627"/>
      <w:docPartObj>
        <w:docPartGallery w:val="Page Numbers (Bottom of Page)"/>
        <w:docPartUnique/>
      </w:docPartObj>
    </w:sdtPr>
    <w:sdtEndPr>
      <w:rPr>
        <w:rStyle w:val="PageNumber"/>
      </w:rPr>
    </w:sdtEndPr>
    <w:sdtContent>
      <w:p w14:paraId="084F87BA" w14:textId="483F1C5F" w:rsidR="00324C1D" w:rsidRDefault="00324C1D" w:rsidP="00340A3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64DF8D3" w14:textId="77777777" w:rsidR="00324C1D" w:rsidRDefault="00324C1D" w:rsidP="00324C1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17D6E53" w14:textId="77777777" w:rsidR="00741851" w:rsidRDefault="00741851" w:rsidP="00324C1D">
      <w:r>
        <w:separator/>
      </w:r>
    </w:p>
  </w:footnote>
  <w:footnote w:type="continuationSeparator" w:id="0">
    <w:p w14:paraId="0584BE9A" w14:textId="77777777" w:rsidR="00741851" w:rsidRDefault="00741851" w:rsidP="00324C1D">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C1D"/>
    <w:rsid w:val="00145673"/>
    <w:rsid w:val="00324C1D"/>
    <w:rsid w:val="003B5210"/>
    <w:rsid w:val="00682D85"/>
    <w:rsid w:val="00741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B3B43"/>
  <w15:chartTrackingRefBased/>
  <w15:docId w15:val="{7A50CD70-A0FB-9447-8922-5370A5F68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4C1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24C1D"/>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24C1D"/>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324C1D"/>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324C1D"/>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324C1D"/>
    <w:rPr>
      <w:b/>
      <w:bCs/>
    </w:rPr>
  </w:style>
  <w:style w:type="table" w:styleId="TableGrid">
    <w:name w:val="Table Grid"/>
    <w:basedOn w:val="TableNormal"/>
    <w:uiPriority w:val="39"/>
    <w:rsid w:val="00324C1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324C1D"/>
    <w:rPr>
      <w:i/>
      <w:iCs/>
    </w:rPr>
  </w:style>
  <w:style w:type="paragraph" w:styleId="TOCHeading">
    <w:name w:val="TOC Heading"/>
    <w:basedOn w:val="Heading1"/>
    <w:next w:val="Normal"/>
    <w:uiPriority w:val="39"/>
    <w:unhideWhenUsed/>
    <w:qFormat/>
    <w:rsid w:val="00324C1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24C1D"/>
    <w:pPr>
      <w:spacing w:before="120"/>
    </w:pPr>
    <w:rPr>
      <w:rFonts w:cstheme="minorHAnsi"/>
      <w:b/>
      <w:bCs/>
      <w:i/>
      <w:iCs/>
    </w:rPr>
  </w:style>
  <w:style w:type="paragraph" w:styleId="TOC2">
    <w:name w:val="toc 2"/>
    <w:basedOn w:val="Normal"/>
    <w:next w:val="Normal"/>
    <w:autoRedefine/>
    <w:uiPriority w:val="39"/>
    <w:unhideWhenUsed/>
    <w:rsid w:val="00324C1D"/>
    <w:pPr>
      <w:spacing w:before="120"/>
      <w:ind w:left="240"/>
    </w:pPr>
    <w:rPr>
      <w:rFonts w:cstheme="minorHAnsi"/>
      <w:b/>
      <w:bCs/>
      <w:sz w:val="22"/>
      <w:szCs w:val="22"/>
    </w:rPr>
  </w:style>
  <w:style w:type="character" w:styleId="Hyperlink">
    <w:name w:val="Hyperlink"/>
    <w:basedOn w:val="DefaultParagraphFont"/>
    <w:uiPriority w:val="99"/>
    <w:unhideWhenUsed/>
    <w:rsid w:val="00324C1D"/>
    <w:rPr>
      <w:color w:val="0563C1" w:themeColor="hyperlink"/>
      <w:u w:val="single"/>
    </w:rPr>
  </w:style>
  <w:style w:type="paragraph" w:styleId="TOC3">
    <w:name w:val="toc 3"/>
    <w:basedOn w:val="Normal"/>
    <w:next w:val="Normal"/>
    <w:autoRedefine/>
    <w:uiPriority w:val="39"/>
    <w:semiHidden/>
    <w:unhideWhenUsed/>
    <w:rsid w:val="00324C1D"/>
    <w:pPr>
      <w:ind w:left="480"/>
    </w:pPr>
    <w:rPr>
      <w:rFonts w:cstheme="minorHAnsi"/>
      <w:sz w:val="20"/>
      <w:szCs w:val="20"/>
    </w:rPr>
  </w:style>
  <w:style w:type="paragraph" w:styleId="TOC4">
    <w:name w:val="toc 4"/>
    <w:basedOn w:val="Normal"/>
    <w:next w:val="Normal"/>
    <w:autoRedefine/>
    <w:uiPriority w:val="39"/>
    <w:semiHidden/>
    <w:unhideWhenUsed/>
    <w:rsid w:val="00324C1D"/>
    <w:pPr>
      <w:ind w:left="720"/>
    </w:pPr>
    <w:rPr>
      <w:rFonts w:cstheme="minorHAnsi"/>
      <w:sz w:val="20"/>
      <w:szCs w:val="20"/>
    </w:rPr>
  </w:style>
  <w:style w:type="paragraph" w:styleId="TOC5">
    <w:name w:val="toc 5"/>
    <w:basedOn w:val="Normal"/>
    <w:next w:val="Normal"/>
    <w:autoRedefine/>
    <w:uiPriority w:val="39"/>
    <w:semiHidden/>
    <w:unhideWhenUsed/>
    <w:rsid w:val="00324C1D"/>
    <w:pPr>
      <w:ind w:left="960"/>
    </w:pPr>
    <w:rPr>
      <w:rFonts w:cstheme="minorHAnsi"/>
      <w:sz w:val="20"/>
      <w:szCs w:val="20"/>
    </w:rPr>
  </w:style>
  <w:style w:type="paragraph" w:styleId="TOC6">
    <w:name w:val="toc 6"/>
    <w:basedOn w:val="Normal"/>
    <w:next w:val="Normal"/>
    <w:autoRedefine/>
    <w:uiPriority w:val="39"/>
    <w:semiHidden/>
    <w:unhideWhenUsed/>
    <w:rsid w:val="00324C1D"/>
    <w:pPr>
      <w:ind w:left="1200"/>
    </w:pPr>
    <w:rPr>
      <w:rFonts w:cstheme="minorHAnsi"/>
      <w:sz w:val="20"/>
      <w:szCs w:val="20"/>
    </w:rPr>
  </w:style>
  <w:style w:type="paragraph" w:styleId="TOC7">
    <w:name w:val="toc 7"/>
    <w:basedOn w:val="Normal"/>
    <w:next w:val="Normal"/>
    <w:autoRedefine/>
    <w:uiPriority w:val="39"/>
    <w:semiHidden/>
    <w:unhideWhenUsed/>
    <w:rsid w:val="00324C1D"/>
    <w:pPr>
      <w:ind w:left="1440"/>
    </w:pPr>
    <w:rPr>
      <w:rFonts w:cstheme="minorHAnsi"/>
      <w:sz w:val="20"/>
      <w:szCs w:val="20"/>
    </w:rPr>
  </w:style>
  <w:style w:type="paragraph" w:styleId="TOC8">
    <w:name w:val="toc 8"/>
    <w:basedOn w:val="Normal"/>
    <w:next w:val="Normal"/>
    <w:autoRedefine/>
    <w:uiPriority w:val="39"/>
    <w:semiHidden/>
    <w:unhideWhenUsed/>
    <w:rsid w:val="00324C1D"/>
    <w:pPr>
      <w:ind w:left="1680"/>
    </w:pPr>
    <w:rPr>
      <w:rFonts w:cstheme="minorHAnsi"/>
      <w:sz w:val="20"/>
      <w:szCs w:val="20"/>
    </w:rPr>
  </w:style>
  <w:style w:type="paragraph" w:styleId="TOC9">
    <w:name w:val="toc 9"/>
    <w:basedOn w:val="Normal"/>
    <w:next w:val="Normal"/>
    <w:autoRedefine/>
    <w:uiPriority w:val="39"/>
    <w:semiHidden/>
    <w:unhideWhenUsed/>
    <w:rsid w:val="00324C1D"/>
    <w:pPr>
      <w:ind w:left="1920"/>
    </w:pPr>
    <w:rPr>
      <w:rFonts w:cstheme="minorHAnsi"/>
      <w:sz w:val="20"/>
      <w:szCs w:val="20"/>
    </w:rPr>
  </w:style>
  <w:style w:type="paragraph" w:customStyle="1" w:styleId="Body">
    <w:name w:val="Body"/>
    <w:rsid w:val="00324C1D"/>
    <w:pPr>
      <w:pBdr>
        <w:top w:val="nil"/>
        <w:left w:val="nil"/>
        <w:bottom w:val="nil"/>
        <w:right w:val="nil"/>
        <w:between w:val="nil"/>
        <w:bar w:val="nil"/>
      </w:pBdr>
      <w:spacing w:after="160" w:line="259" w:lineRule="auto"/>
    </w:pPr>
    <w:rPr>
      <w:rFonts w:ascii="Calibri" w:eastAsia="Arial Unicode MS" w:hAnsi="Calibri" w:cs="Arial Unicode MS"/>
      <w:color w:val="000000"/>
      <w:sz w:val="22"/>
      <w:szCs w:val="22"/>
      <w:u w:color="000000"/>
      <w:bdr w:val="nil"/>
      <w:lang w:val="en-US" w:eastAsia="zh-CN"/>
    </w:rPr>
  </w:style>
  <w:style w:type="paragraph" w:styleId="Footer">
    <w:name w:val="footer"/>
    <w:basedOn w:val="Normal"/>
    <w:link w:val="FooterChar"/>
    <w:uiPriority w:val="99"/>
    <w:unhideWhenUsed/>
    <w:rsid w:val="00324C1D"/>
    <w:pPr>
      <w:tabs>
        <w:tab w:val="center" w:pos="4513"/>
        <w:tab w:val="right" w:pos="9026"/>
      </w:tabs>
    </w:pPr>
  </w:style>
  <w:style w:type="character" w:customStyle="1" w:styleId="FooterChar">
    <w:name w:val="Footer Char"/>
    <w:basedOn w:val="DefaultParagraphFont"/>
    <w:link w:val="Footer"/>
    <w:uiPriority w:val="99"/>
    <w:rsid w:val="00324C1D"/>
  </w:style>
  <w:style w:type="character" w:styleId="PageNumber">
    <w:name w:val="page number"/>
    <w:basedOn w:val="DefaultParagraphFont"/>
    <w:uiPriority w:val="99"/>
    <w:semiHidden/>
    <w:unhideWhenUsed/>
    <w:rsid w:val="00324C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09419433">
      <w:bodyDiv w:val="1"/>
      <w:marLeft w:val="0"/>
      <w:marRight w:val="0"/>
      <w:marTop w:val="0"/>
      <w:marBottom w:val="0"/>
      <w:divBdr>
        <w:top w:val="none" w:sz="0" w:space="0" w:color="auto"/>
        <w:left w:val="none" w:sz="0" w:space="0" w:color="auto"/>
        <w:bottom w:val="none" w:sz="0" w:space="0" w:color="auto"/>
        <w:right w:val="none" w:sz="0" w:space="0" w:color="auto"/>
      </w:divBdr>
    </w:div>
    <w:div w:id="312025831">
      <w:bodyDiv w:val="1"/>
      <w:marLeft w:val="0"/>
      <w:marRight w:val="0"/>
      <w:marTop w:val="0"/>
      <w:marBottom w:val="0"/>
      <w:divBdr>
        <w:top w:val="none" w:sz="0" w:space="0" w:color="auto"/>
        <w:left w:val="none" w:sz="0" w:space="0" w:color="auto"/>
        <w:bottom w:val="none" w:sz="0" w:space="0" w:color="auto"/>
        <w:right w:val="none" w:sz="0" w:space="0" w:color="auto"/>
      </w:divBdr>
    </w:div>
    <w:div w:id="536090141">
      <w:bodyDiv w:val="1"/>
      <w:marLeft w:val="0"/>
      <w:marRight w:val="0"/>
      <w:marTop w:val="0"/>
      <w:marBottom w:val="0"/>
      <w:divBdr>
        <w:top w:val="none" w:sz="0" w:space="0" w:color="auto"/>
        <w:left w:val="none" w:sz="0" w:space="0" w:color="auto"/>
        <w:bottom w:val="none" w:sz="0" w:space="0" w:color="auto"/>
        <w:right w:val="none" w:sz="0" w:space="0" w:color="auto"/>
      </w:divBdr>
      <w:divsChild>
        <w:div w:id="1143084498">
          <w:marLeft w:val="0"/>
          <w:marRight w:val="0"/>
          <w:marTop w:val="0"/>
          <w:marBottom w:val="0"/>
          <w:divBdr>
            <w:top w:val="none" w:sz="0" w:space="0" w:color="auto"/>
            <w:left w:val="none" w:sz="0" w:space="0" w:color="auto"/>
            <w:bottom w:val="none" w:sz="0" w:space="0" w:color="auto"/>
            <w:right w:val="none" w:sz="0" w:space="0" w:color="auto"/>
          </w:divBdr>
          <w:divsChild>
            <w:div w:id="855845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797350">
      <w:bodyDiv w:val="1"/>
      <w:marLeft w:val="0"/>
      <w:marRight w:val="0"/>
      <w:marTop w:val="0"/>
      <w:marBottom w:val="0"/>
      <w:divBdr>
        <w:top w:val="none" w:sz="0" w:space="0" w:color="auto"/>
        <w:left w:val="none" w:sz="0" w:space="0" w:color="auto"/>
        <w:bottom w:val="none" w:sz="0" w:space="0" w:color="auto"/>
        <w:right w:val="none" w:sz="0" w:space="0" w:color="auto"/>
      </w:divBdr>
    </w:div>
    <w:div w:id="807238088">
      <w:bodyDiv w:val="1"/>
      <w:marLeft w:val="0"/>
      <w:marRight w:val="0"/>
      <w:marTop w:val="0"/>
      <w:marBottom w:val="0"/>
      <w:divBdr>
        <w:top w:val="none" w:sz="0" w:space="0" w:color="auto"/>
        <w:left w:val="none" w:sz="0" w:space="0" w:color="auto"/>
        <w:bottom w:val="none" w:sz="0" w:space="0" w:color="auto"/>
        <w:right w:val="none" w:sz="0" w:space="0" w:color="auto"/>
      </w:divBdr>
    </w:div>
    <w:div w:id="1255282480">
      <w:bodyDiv w:val="1"/>
      <w:marLeft w:val="0"/>
      <w:marRight w:val="0"/>
      <w:marTop w:val="0"/>
      <w:marBottom w:val="0"/>
      <w:divBdr>
        <w:top w:val="none" w:sz="0" w:space="0" w:color="auto"/>
        <w:left w:val="none" w:sz="0" w:space="0" w:color="auto"/>
        <w:bottom w:val="none" w:sz="0" w:space="0" w:color="auto"/>
        <w:right w:val="none" w:sz="0" w:space="0" w:color="auto"/>
      </w:divBdr>
    </w:div>
    <w:div w:id="1615866850">
      <w:bodyDiv w:val="1"/>
      <w:marLeft w:val="0"/>
      <w:marRight w:val="0"/>
      <w:marTop w:val="0"/>
      <w:marBottom w:val="0"/>
      <w:divBdr>
        <w:top w:val="none" w:sz="0" w:space="0" w:color="auto"/>
        <w:left w:val="none" w:sz="0" w:space="0" w:color="auto"/>
        <w:bottom w:val="none" w:sz="0" w:space="0" w:color="auto"/>
        <w:right w:val="none" w:sz="0" w:space="0" w:color="auto"/>
      </w:divBdr>
    </w:div>
    <w:div w:id="1833909959">
      <w:bodyDiv w:val="1"/>
      <w:marLeft w:val="0"/>
      <w:marRight w:val="0"/>
      <w:marTop w:val="0"/>
      <w:marBottom w:val="0"/>
      <w:divBdr>
        <w:top w:val="none" w:sz="0" w:space="0" w:color="auto"/>
        <w:left w:val="none" w:sz="0" w:space="0" w:color="auto"/>
        <w:bottom w:val="none" w:sz="0" w:space="0" w:color="auto"/>
        <w:right w:val="none" w:sz="0" w:space="0" w:color="auto"/>
      </w:divBdr>
    </w:div>
    <w:div w:id="1855682108">
      <w:bodyDiv w:val="1"/>
      <w:marLeft w:val="0"/>
      <w:marRight w:val="0"/>
      <w:marTop w:val="0"/>
      <w:marBottom w:val="0"/>
      <w:divBdr>
        <w:top w:val="none" w:sz="0" w:space="0" w:color="auto"/>
        <w:left w:val="none" w:sz="0" w:space="0" w:color="auto"/>
        <w:bottom w:val="none" w:sz="0" w:space="0" w:color="auto"/>
        <w:right w:val="none" w:sz="0" w:space="0" w:color="auto"/>
      </w:divBdr>
    </w:div>
    <w:div w:id="2090225364">
      <w:bodyDiv w:val="1"/>
      <w:marLeft w:val="0"/>
      <w:marRight w:val="0"/>
      <w:marTop w:val="0"/>
      <w:marBottom w:val="0"/>
      <w:divBdr>
        <w:top w:val="none" w:sz="0" w:space="0" w:color="auto"/>
        <w:left w:val="none" w:sz="0" w:space="0" w:color="auto"/>
        <w:bottom w:val="none" w:sz="0" w:space="0" w:color="auto"/>
        <w:right w:val="none" w:sz="0" w:space="0" w:color="auto"/>
      </w:divBdr>
      <w:divsChild>
        <w:div w:id="1920826400">
          <w:marLeft w:val="0"/>
          <w:marRight w:val="0"/>
          <w:marTop w:val="0"/>
          <w:marBottom w:val="0"/>
          <w:divBdr>
            <w:top w:val="none" w:sz="0" w:space="0" w:color="auto"/>
            <w:left w:val="none" w:sz="0" w:space="0" w:color="auto"/>
            <w:bottom w:val="none" w:sz="0" w:space="0" w:color="auto"/>
            <w:right w:val="none" w:sz="0" w:space="0" w:color="auto"/>
          </w:divBdr>
          <w:divsChild>
            <w:div w:id="276068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48CF0C-5BD2-CD40-9C6F-5081F151BA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4787</Words>
  <Characters>27289</Characters>
  <Application>Microsoft Office Word</Application>
  <DocSecurity>0</DocSecurity>
  <Lines>227</Lines>
  <Paragraphs>64</Paragraphs>
  <ScaleCrop>false</ScaleCrop>
  <Company/>
  <LinksUpToDate>false</LinksUpToDate>
  <CharactersWithSpaces>32012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Marcu</dc:creator>
  <cp:keywords/>
  <dc:description/>
  <cp:lastModifiedBy>Alexandru Danciuc (2330349)</cp:lastModifiedBy>
  <cp:revision>2</cp:revision>
  <dcterms:created xsi:type="dcterms:W3CDTF">2026-07-12T07:23:00Z</dcterms:created>
  <dcterms:modified xsi:type="dcterms:W3CDTF">2026-07-12T07:23:00Z</dcterms:modified>
</cp:coreProperties>
</file>