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83B89" w14:textId="084BB6D5" w:rsidR="004C6E8D" w:rsidRPr="00F34EB3" w:rsidRDefault="004C6E8D">
      <w:pPr>
        <w:rPr>
          <w:rFonts w:cs="Arial"/>
        </w:rPr>
      </w:pPr>
    </w:p>
    <w:p w14:paraId="53065EBE" w14:textId="77777777" w:rsidR="009C184F" w:rsidRPr="00F34EB3" w:rsidRDefault="009C184F" w:rsidP="009C184F">
      <w:pPr>
        <w:rPr>
          <w:rFonts w:cs="Arial"/>
        </w:rPr>
      </w:pPr>
    </w:p>
    <w:p w14:paraId="1F49F8E7" w14:textId="77777777" w:rsidR="009C184F" w:rsidRPr="00F34EB3" w:rsidRDefault="009C184F" w:rsidP="009C184F">
      <w:pPr>
        <w:rPr>
          <w:rFonts w:cs="Arial"/>
        </w:rPr>
      </w:pPr>
    </w:p>
    <w:p w14:paraId="4DE569FB" w14:textId="77777777" w:rsidR="00440916" w:rsidRPr="00F34EB3" w:rsidRDefault="00440916" w:rsidP="009C184F">
      <w:pPr>
        <w:rPr>
          <w:rFonts w:cs="Arial"/>
        </w:rPr>
      </w:pPr>
    </w:p>
    <w:p w14:paraId="5BE49EFE" w14:textId="77777777" w:rsidR="00440916" w:rsidRPr="00F34EB3" w:rsidRDefault="00440916" w:rsidP="009C184F">
      <w:pPr>
        <w:rPr>
          <w:rFonts w:cs="Arial"/>
        </w:rPr>
      </w:pPr>
    </w:p>
    <w:p w14:paraId="5E9A2160" w14:textId="77777777" w:rsidR="00440916" w:rsidRPr="00F34EB3" w:rsidRDefault="00440916" w:rsidP="009C184F">
      <w:pPr>
        <w:rPr>
          <w:rFonts w:cs="Arial"/>
        </w:rPr>
      </w:pPr>
    </w:p>
    <w:p w14:paraId="31725AD7" w14:textId="77777777" w:rsidR="00440916" w:rsidRPr="00F34EB3" w:rsidRDefault="00440916" w:rsidP="009C184F">
      <w:pPr>
        <w:rPr>
          <w:rFonts w:cs="Arial"/>
        </w:rPr>
      </w:pPr>
    </w:p>
    <w:p w14:paraId="58CEE4F9" w14:textId="0C4A5161" w:rsidR="00BB27FD" w:rsidRPr="00F34EB3" w:rsidRDefault="00BB27FD" w:rsidP="009C184F">
      <w:pPr>
        <w:rPr>
          <w:rFonts w:cs="Arial"/>
        </w:rPr>
      </w:pPr>
      <w:r w:rsidRPr="00F34EB3">
        <w:rPr>
          <w:rFonts w:cs="Arial"/>
        </w:rPr>
        <w:br/>
      </w:r>
    </w:p>
    <w:p w14:paraId="05A61C63" w14:textId="03B4D2CE" w:rsidR="00BB27FD" w:rsidRPr="00F34EB3" w:rsidRDefault="00B06321" w:rsidP="00440916">
      <w:pPr>
        <w:spacing w:after="0"/>
        <w:rPr>
          <w:rFonts w:cs="Arial"/>
          <w:color w:val="345888"/>
          <w:sz w:val="40"/>
          <w:szCs w:val="40"/>
        </w:rPr>
      </w:pPr>
      <w:r w:rsidRPr="00F34EB3">
        <w:rPr>
          <w:rFonts w:cs="Arial"/>
          <w:noProof/>
          <w:color w:val="345888"/>
          <w:sz w:val="32"/>
          <w:szCs w:val="32"/>
        </w:rPr>
        <mc:AlternateContent>
          <mc:Choice Requires="wps">
            <w:drawing>
              <wp:anchor distT="0" distB="0" distL="114300" distR="114300" simplePos="0" relativeHeight="251661312" behindDoc="0" locked="0" layoutInCell="1" allowOverlap="1" wp14:anchorId="4B07E899" wp14:editId="3277F8EF">
                <wp:simplePos x="0" y="0"/>
                <wp:positionH relativeFrom="column">
                  <wp:posOffset>-457200</wp:posOffset>
                </wp:positionH>
                <wp:positionV relativeFrom="paragraph">
                  <wp:posOffset>4119880</wp:posOffset>
                </wp:positionV>
                <wp:extent cx="7048500" cy="590550"/>
                <wp:effectExtent l="0" t="0" r="0" b="0"/>
                <wp:wrapSquare wrapText="bothSides"/>
                <wp:docPr id="1916354727" name="Rectangle 3"/>
                <wp:cNvGraphicFramePr/>
                <a:graphic xmlns:a="http://schemas.openxmlformats.org/drawingml/2006/main">
                  <a:graphicData uri="http://schemas.microsoft.com/office/word/2010/wordprocessingShape">
                    <wps:wsp>
                      <wps:cNvSpPr/>
                      <wps:spPr>
                        <a:xfrm>
                          <a:off x="0" y="0"/>
                          <a:ext cx="7048500" cy="590550"/>
                        </a:xfrm>
                        <a:prstGeom prst="roundRect">
                          <a:avLst>
                            <a:gd name="adj" fmla="val 9713"/>
                          </a:avLst>
                        </a:prstGeom>
                        <a:solidFill>
                          <a:srgbClr val="34588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96CF5B" w14:textId="2C1AA9F3" w:rsidR="00B06321" w:rsidRPr="00B06321" w:rsidRDefault="00B06321" w:rsidP="00E5350A">
                            <w:pPr>
                              <w:spacing w:after="0"/>
                              <w:rPr>
                                <w:rFonts w:cs="Arial"/>
                                <w:b/>
                                <w:bCs/>
                                <w:sz w:val="40"/>
                                <w:szCs w:val="40"/>
                              </w:rPr>
                            </w:pPr>
                            <w:r>
                              <w:rPr>
                                <w:rFonts w:cs="Arial"/>
                                <w:b/>
                                <w:bCs/>
                                <w:sz w:val="40"/>
                                <w:szCs w:val="40"/>
                              </w:rPr>
                              <w:t xml:space="preserve">   Whole Life Carbon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07E899" id="Rectangle 3" o:spid="_x0000_s1026" style="position:absolute;margin-left:-36pt;margin-top:324.4pt;width:555pt;height: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36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" fillcolor="#345888" stroked="f" strokeweight="1pt">
                <v:stroke joinstyle="miter"/>
                <v:textbox>
                  <w:txbxContent>
                    <w:p w14:paraId="2896CF5B" w14:textId="2C1AA9F3" w:rsidR="00B06321" w:rsidRPr="00B06321" w:rsidRDefault="00B06321" w:rsidP="00E5350A">
                      <w:pPr>
                        <w:spacing w:after="0"/>
                        <w:rPr>
                          <w:rFonts w:cs="Arial"/>
                          <w:b/>
                          <w:bCs/>
                          <w:sz w:val="40"/>
                          <w:szCs w:val="40"/>
                        </w:rPr>
                      </w:pPr>
                      <w:r>
                        <w:rPr>
                          <w:rFonts w:cs="Arial"/>
                          <w:b/>
                          <w:bCs/>
                          <w:sz w:val="40"/>
                          <w:szCs w:val="40"/>
                        </w:rPr>
                        <w:t xml:space="preserve">   Whole Life Carbon</w:t>
                      </w:r>
                    </w:p>
                  </w:txbxContent>
                </v:textbox>
                <w10:wrap type="square"/>
              </v:roundrect>
            </w:pict>
          </mc:Fallback>
        </mc:AlternateContent>
      </w:r>
      <w:r w:rsidR="00531DC9" w:rsidRPr="00F34EB3">
        <w:rPr>
          <w:rFonts w:cs="Arial"/>
          <w:noProof/>
          <w:color w:val="345888"/>
          <w:sz w:val="32"/>
          <w:szCs w:val="32"/>
        </w:rPr>
        <mc:AlternateContent>
          <mc:Choice Requires="wps">
            <w:drawing>
              <wp:anchor distT="0" distB="0" distL="114300" distR="114300" simplePos="0" relativeHeight="251659264" behindDoc="0" locked="0" layoutInCell="1" allowOverlap="1" wp14:anchorId="2AF8B273" wp14:editId="58D8549E">
                <wp:simplePos x="0" y="0"/>
                <wp:positionH relativeFrom="column">
                  <wp:posOffset>-457200</wp:posOffset>
                </wp:positionH>
                <wp:positionV relativeFrom="paragraph">
                  <wp:posOffset>1100455</wp:posOffset>
                </wp:positionV>
                <wp:extent cx="7048500" cy="2600325"/>
                <wp:effectExtent l="0" t="0" r="0" b="9525"/>
                <wp:wrapSquare wrapText="bothSides"/>
                <wp:docPr id="1425293179" name="Rectangle 3"/>
                <wp:cNvGraphicFramePr/>
                <a:graphic xmlns:a="http://schemas.openxmlformats.org/drawingml/2006/main">
                  <a:graphicData uri="http://schemas.microsoft.com/office/word/2010/wordprocessingShape">
                    <wps:wsp>
                      <wps:cNvSpPr/>
                      <wps:spPr>
                        <a:xfrm>
                          <a:off x="0" y="0"/>
                          <a:ext cx="7048500" cy="2600325"/>
                        </a:xfrm>
                        <a:prstGeom prst="roundRect">
                          <a:avLst>
                            <a:gd name="adj" fmla="val 1649"/>
                          </a:avLst>
                        </a:prstGeom>
                        <a:solidFill>
                          <a:srgbClr val="34588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5954"/>
                              <w:gridCol w:w="4798"/>
                            </w:tblGrid>
                            <w:tr w:rsidR="006A724E" w14:paraId="06D95F76" w14:textId="77777777" w:rsidTr="007E2A32">
                              <w:tc>
                                <w:tcPr>
                                  <w:tcW w:w="5954" w:type="dxa"/>
                                  <w:tcBorders>
                                    <w:top w:val="nil"/>
                                    <w:left w:val="nil"/>
                                    <w:bottom w:val="nil"/>
                                    <w:right w:val="nil"/>
                                  </w:tcBorders>
                                </w:tcPr>
                                <w:p w14:paraId="458CC182" w14:textId="5A72652E" w:rsidR="006A724E" w:rsidRPr="006A724E" w:rsidRDefault="007D0F48" w:rsidP="00356044">
                                  <w:pPr>
                                    <w:spacing w:before="240"/>
                                    <w:rPr>
                                      <w:sz w:val="96"/>
                                      <w:szCs w:val="96"/>
                                    </w:rPr>
                                  </w:pPr>
                                  <w:r>
                                    <w:rPr>
                                      <w:sz w:val="96"/>
                                      <w:szCs w:val="96"/>
                                    </w:rPr>
                                    <w:t xml:space="preserve"> </w:t>
                                  </w:r>
                                  <w:r w:rsidR="006A724E" w:rsidRPr="006A724E">
                                    <w:rPr>
                                      <w:sz w:val="96"/>
                                      <w:szCs w:val="96"/>
                                    </w:rPr>
                                    <w:t>Approved</w:t>
                                  </w:r>
                                </w:p>
                                <w:p w14:paraId="2778DDC6" w14:textId="77777777" w:rsidR="006A724E" w:rsidRDefault="007D0F48" w:rsidP="007D0F48">
                                  <w:r>
                                    <w:rPr>
                                      <w:sz w:val="96"/>
                                      <w:szCs w:val="96"/>
                                    </w:rPr>
                                    <w:t xml:space="preserve"> </w:t>
                                  </w:r>
                                  <w:r w:rsidR="006A724E" w:rsidRPr="006A724E">
                                    <w:rPr>
                                      <w:sz w:val="96"/>
                                      <w:szCs w:val="96"/>
                                    </w:rPr>
                                    <w:t>Document</w:t>
                                  </w:r>
                                  <w:r w:rsidR="006A724E">
                                    <w:br/>
                                  </w:r>
                                </w:p>
                                <w:p w14:paraId="3817FADB" w14:textId="314C62AD" w:rsidR="00186C44" w:rsidRDefault="00186C44" w:rsidP="007D0F48"/>
                              </w:tc>
                              <w:tc>
                                <w:tcPr>
                                  <w:tcW w:w="4798" w:type="dxa"/>
                                  <w:vMerge w:val="restart"/>
                                  <w:tcBorders>
                                    <w:top w:val="nil"/>
                                    <w:left w:val="nil"/>
                                    <w:bottom w:val="nil"/>
                                    <w:right w:val="nil"/>
                                  </w:tcBorders>
                                </w:tcPr>
                                <w:p w14:paraId="0AFF7FE0" w14:textId="4404978E" w:rsidR="001D32B9" w:rsidRPr="007E2A32" w:rsidRDefault="001D32B9" w:rsidP="001D32B9">
                                  <w:pPr>
                                    <w:spacing w:before="100" w:beforeAutospacing="1"/>
                                    <w:jc w:val="center"/>
                                    <w:rPr>
                                      <w:rFonts w:cs="Arial"/>
                                      <w:b/>
                                      <w:bCs/>
                                    </w:rPr>
                                  </w:pPr>
                                  <w:r w:rsidRPr="007E2A32">
                                    <w:rPr>
                                      <w:rFonts w:cs="Arial"/>
                                      <w:b/>
                                      <w:bCs/>
                                      <w:sz w:val="340"/>
                                      <w:szCs w:val="340"/>
                                    </w:rPr>
                                    <w:t>Z</w:t>
                                  </w:r>
                                </w:p>
                              </w:tc>
                            </w:tr>
                            <w:tr w:rsidR="006A724E" w14:paraId="4FA404E0" w14:textId="77777777" w:rsidTr="007E2A32">
                              <w:tc>
                                <w:tcPr>
                                  <w:tcW w:w="5954" w:type="dxa"/>
                                  <w:tcBorders>
                                    <w:top w:val="nil"/>
                                    <w:left w:val="nil"/>
                                    <w:bottom w:val="nil"/>
                                    <w:right w:val="nil"/>
                                  </w:tcBorders>
                                </w:tcPr>
                                <w:p w14:paraId="1B8B195F" w14:textId="50574710" w:rsidR="006A724E" w:rsidRPr="007E2A32" w:rsidRDefault="00825449" w:rsidP="00825449">
                                  <w:pPr>
                                    <w:rPr>
                                      <w:rFonts w:cs="Arial"/>
                                      <w:b/>
                                      <w:bCs/>
                                      <w:sz w:val="36"/>
                                      <w:szCs w:val="36"/>
                                    </w:rPr>
                                  </w:pPr>
                                  <w:r w:rsidRPr="007E2A32">
                                    <w:rPr>
                                      <w:rFonts w:cs="Arial"/>
                                      <w:b/>
                                      <w:bCs/>
                                      <w:sz w:val="36"/>
                                      <w:szCs w:val="36"/>
                                    </w:rPr>
                                    <w:t xml:space="preserve">  </w:t>
                                  </w:r>
                                  <w:r w:rsidR="007D0F48" w:rsidRPr="007E2A32">
                                    <w:rPr>
                                      <w:rFonts w:cs="Arial"/>
                                      <w:b/>
                                      <w:bCs/>
                                      <w:sz w:val="36"/>
                                      <w:szCs w:val="36"/>
                                    </w:rPr>
                                    <w:t xml:space="preserve">Volume </w:t>
                                  </w:r>
                                  <w:r w:rsidRPr="007E2A32">
                                    <w:rPr>
                                      <w:rFonts w:cs="Arial"/>
                                      <w:b/>
                                      <w:bCs/>
                                      <w:sz w:val="36"/>
                                      <w:szCs w:val="36"/>
                                    </w:rPr>
                                    <w:t>1 - Whole Life Carbon</w:t>
                                  </w:r>
                                </w:p>
                                <w:p w14:paraId="00F650E8" w14:textId="77777777" w:rsidR="006A724E" w:rsidRDefault="006A724E" w:rsidP="006A724E">
                                  <w:pPr>
                                    <w:jc w:val="center"/>
                                  </w:pPr>
                                </w:p>
                              </w:tc>
                              <w:tc>
                                <w:tcPr>
                                  <w:tcW w:w="4798" w:type="dxa"/>
                                  <w:vMerge/>
                                  <w:tcBorders>
                                    <w:top w:val="nil"/>
                                    <w:left w:val="nil"/>
                                    <w:bottom w:val="nil"/>
                                    <w:right w:val="nil"/>
                                  </w:tcBorders>
                                </w:tcPr>
                                <w:p w14:paraId="048A7B2C" w14:textId="77777777" w:rsidR="006A724E" w:rsidRDefault="006A724E" w:rsidP="006A724E">
                                  <w:pPr>
                                    <w:jc w:val="center"/>
                                  </w:pPr>
                                </w:p>
                              </w:tc>
                            </w:tr>
                          </w:tbl>
                          <w:p w14:paraId="59C8CF09" w14:textId="77777777" w:rsidR="006A724E" w:rsidRDefault="006A724E" w:rsidP="006A72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F8B273" id="_x0000_s1027" style="position:absolute;margin-left:-36pt;margin-top:86.65pt;width:555pt;height:20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" fillcolor="#345888" stroked="f" strokeweight="1pt">
                <v:stroke joinstyle="miter"/>
                <v:textbox>
                  <w:txbxContent>
                    <w:tbl>
                      <w:tblPr>
                        <w:tblStyle w:val="TableGrid"/>
                        <w:tblW w:w="0" w:type="auto"/>
                        <w:tblLook w:val="04A0" w:firstRow="1" w:lastRow="0" w:firstColumn="1" w:lastColumn="0" w:noHBand="0" w:noVBand="1"/>
                      </w:tblPr>
                      <w:tblGrid>
                        <w:gridCol w:w="5954"/>
                        <w:gridCol w:w="4798"/>
                      </w:tblGrid>
                      <w:tr w:rsidR="006A724E" w14:paraId="06D95F76" w14:textId="77777777" w:rsidTr="007E2A32">
                        <w:tc>
                          <w:tcPr>
                            <w:tcW w:w="5954" w:type="dxa"/>
                            <w:tcBorders>
                              <w:top w:val="nil"/>
                              <w:left w:val="nil"/>
                              <w:bottom w:val="nil"/>
                              <w:right w:val="nil"/>
                            </w:tcBorders>
                          </w:tcPr>
                          <w:p w14:paraId="458CC182" w14:textId="5A72652E" w:rsidR="006A724E" w:rsidRPr="006A724E" w:rsidRDefault="007D0F48" w:rsidP="00356044">
                            <w:pPr>
                              <w:spacing w:before="240"/>
                              <w:rPr>
                                <w:sz w:val="96"/>
                                <w:szCs w:val="96"/>
                              </w:rPr>
                            </w:pPr>
                            <w:r>
                              <w:rPr>
                                <w:sz w:val="96"/>
                                <w:szCs w:val="96"/>
                              </w:rPr>
                              <w:t xml:space="preserve"> </w:t>
                            </w:r>
                            <w:r w:rsidR="006A724E" w:rsidRPr="006A724E">
                              <w:rPr>
                                <w:sz w:val="96"/>
                                <w:szCs w:val="96"/>
                              </w:rPr>
                              <w:t>Approved</w:t>
                            </w:r>
                          </w:p>
                          <w:p w14:paraId="2778DDC6" w14:textId="77777777" w:rsidR="006A724E" w:rsidRDefault="007D0F48" w:rsidP="007D0F48">
                            <w:r>
                              <w:rPr>
                                <w:sz w:val="96"/>
                                <w:szCs w:val="96"/>
                              </w:rPr>
                              <w:t xml:space="preserve"> </w:t>
                            </w:r>
                            <w:r w:rsidR="006A724E" w:rsidRPr="006A724E">
                              <w:rPr>
                                <w:sz w:val="96"/>
                                <w:szCs w:val="96"/>
                              </w:rPr>
                              <w:t>Document</w:t>
                            </w:r>
                            <w:r w:rsidR="006A724E">
                              <w:br/>
                            </w:r>
                          </w:p>
                          <w:p w14:paraId="3817FADB" w14:textId="314C62AD" w:rsidR="00186C44" w:rsidRDefault="00186C44" w:rsidP="007D0F48"/>
                        </w:tc>
                        <w:tc>
                          <w:tcPr>
                            <w:tcW w:w="4798" w:type="dxa"/>
                            <w:vMerge w:val="restart"/>
                            <w:tcBorders>
                              <w:top w:val="nil"/>
                              <w:left w:val="nil"/>
                              <w:bottom w:val="nil"/>
                              <w:right w:val="nil"/>
                            </w:tcBorders>
                          </w:tcPr>
                          <w:p w14:paraId="0AFF7FE0" w14:textId="4404978E" w:rsidR="001D32B9" w:rsidRPr="007E2A32" w:rsidRDefault="001D32B9" w:rsidP="001D32B9">
                            <w:pPr>
                              <w:spacing w:before="100" w:beforeAutospacing="1"/>
                              <w:jc w:val="center"/>
                              <w:rPr>
                                <w:rFonts w:cs="Arial"/>
                                <w:b/>
                                <w:bCs/>
                              </w:rPr>
                            </w:pPr>
                            <w:r w:rsidRPr="007E2A32">
                              <w:rPr>
                                <w:rFonts w:cs="Arial"/>
                                <w:b/>
                                <w:bCs/>
                                <w:sz w:val="340"/>
                                <w:szCs w:val="340"/>
                              </w:rPr>
                              <w:t>Z</w:t>
                            </w:r>
                          </w:p>
                        </w:tc>
                      </w:tr>
                      <w:tr w:rsidR="006A724E" w14:paraId="4FA404E0" w14:textId="77777777" w:rsidTr="007E2A32">
                        <w:tc>
                          <w:tcPr>
                            <w:tcW w:w="5954" w:type="dxa"/>
                            <w:tcBorders>
                              <w:top w:val="nil"/>
                              <w:left w:val="nil"/>
                              <w:bottom w:val="nil"/>
                              <w:right w:val="nil"/>
                            </w:tcBorders>
                          </w:tcPr>
                          <w:p w14:paraId="1B8B195F" w14:textId="50574710" w:rsidR="006A724E" w:rsidRPr="007E2A32" w:rsidRDefault="00825449" w:rsidP="00825449">
                            <w:pPr>
                              <w:rPr>
                                <w:rFonts w:cs="Arial"/>
                                <w:b/>
                                <w:bCs/>
                                <w:sz w:val="36"/>
                                <w:szCs w:val="36"/>
                              </w:rPr>
                            </w:pPr>
                            <w:r w:rsidRPr="007E2A32">
                              <w:rPr>
                                <w:rFonts w:cs="Arial"/>
                                <w:b/>
                                <w:bCs/>
                                <w:sz w:val="36"/>
                                <w:szCs w:val="36"/>
                              </w:rPr>
                              <w:t xml:space="preserve">  </w:t>
                            </w:r>
                            <w:r w:rsidR="007D0F48" w:rsidRPr="007E2A32">
                              <w:rPr>
                                <w:rFonts w:cs="Arial"/>
                                <w:b/>
                                <w:bCs/>
                                <w:sz w:val="36"/>
                                <w:szCs w:val="36"/>
                              </w:rPr>
                              <w:t xml:space="preserve">Volume </w:t>
                            </w:r>
                            <w:r w:rsidRPr="007E2A32">
                              <w:rPr>
                                <w:rFonts w:cs="Arial"/>
                                <w:b/>
                                <w:bCs/>
                                <w:sz w:val="36"/>
                                <w:szCs w:val="36"/>
                              </w:rPr>
                              <w:t>1 - Whole Life Carbon</w:t>
                            </w:r>
                          </w:p>
                          <w:p w14:paraId="00F650E8" w14:textId="77777777" w:rsidR="006A724E" w:rsidRDefault="006A724E" w:rsidP="006A724E">
                            <w:pPr>
                              <w:jc w:val="center"/>
                            </w:pPr>
                          </w:p>
                        </w:tc>
                        <w:tc>
                          <w:tcPr>
                            <w:tcW w:w="4798" w:type="dxa"/>
                            <w:vMerge/>
                            <w:tcBorders>
                              <w:top w:val="nil"/>
                              <w:left w:val="nil"/>
                              <w:bottom w:val="nil"/>
                              <w:right w:val="nil"/>
                            </w:tcBorders>
                          </w:tcPr>
                          <w:p w14:paraId="048A7B2C" w14:textId="77777777" w:rsidR="006A724E" w:rsidRDefault="006A724E" w:rsidP="006A724E">
                            <w:pPr>
                              <w:jc w:val="center"/>
                            </w:pPr>
                          </w:p>
                        </w:tc>
                      </w:tr>
                    </w:tbl>
                    <w:p w14:paraId="59C8CF09" w14:textId="77777777" w:rsidR="006A724E" w:rsidRDefault="006A724E" w:rsidP="006A724E">
                      <w:pPr>
                        <w:jc w:val="center"/>
                      </w:pPr>
                    </w:p>
                  </w:txbxContent>
                </v:textbox>
                <w10:wrap type="square"/>
              </v:roundrect>
            </w:pict>
          </mc:Fallback>
        </mc:AlternateContent>
      </w:r>
      <w:r w:rsidR="00531DC9" w:rsidRPr="00F34EB3">
        <w:rPr>
          <w:rFonts w:cs="Arial"/>
          <w:color w:val="345888"/>
          <w:sz w:val="40"/>
          <w:szCs w:val="40"/>
        </w:rPr>
        <w:t>The Building Regulations 20</w:t>
      </w:r>
      <w:r w:rsidR="006A724E" w:rsidRPr="00F34EB3">
        <w:rPr>
          <w:rFonts w:cs="Arial"/>
          <w:color w:val="345888"/>
          <w:sz w:val="40"/>
          <w:szCs w:val="40"/>
        </w:rPr>
        <w:t>10</w:t>
      </w:r>
    </w:p>
    <w:p w14:paraId="6400030C" w14:textId="77777777" w:rsidR="00331D30" w:rsidRPr="00F34EB3" w:rsidRDefault="00331D30" w:rsidP="00331D30">
      <w:pPr>
        <w:rPr>
          <w:rFonts w:cs="Arial"/>
          <w:sz w:val="40"/>
          <w:szCs w:val="40"/>
        </w:rPr>
      </w:pPr>
    </w:p>
    <w:p w14:paraId="72ACFCCB" w14:textId="50D6F540" w:rsidR="00331D30" w:rsidRPr="00F34EB3" w:rsidRDefault="00331D30">
      <w:pPr>
        <w:rPr>
          <w:rFonts w:cs="Arial"/>
          <w:sz w:val="40"/>
          <w:szCs w:val="40"/>
        </w:rPr>
      </w:pPr>
      <w:r w:rsidRPr="00F34EB3">
        <w:rPr>
          <w:rFonts w:cs="Arial"/>
          <w:sz w:val="40"/>
          <w:szCs w:val="40"/>
        </w:rPr>
        <w:br w:type="page"/>
      </w:r>
    </w:p>
    <w:sdt>
      <w:sdtPr>
        <w:rPr>
          <w:rFonts w:eastAsiaTheme="minorHAnsi" w:cs="Arial"/>
          <w:b w:val="0"/>
          <w:color w:val="auto"/>
          <w:kern w:val="2"/>
          <w:sz w:val="22"/>
          <w:szCs w:val="22"/>
          <w:lang w:eastAsia="en-US"/>
          <w14:ligatures w14:val="standardContextual"/>
        </w:rPr>
        <w:id w:val="573714940"/>
        <w:docPartObj>
          <w:docPartGallery w:val="Table of Contents"/>
          <w:docPartUnique/>
        </w:docPartObj>
      </w:sdtPr>
      <w:sdtEndPr>
        <w:rPr>
          <w:bCs/>
        </w:rPr>
      </w:sdtEndPr>
      <w:sdtContent>
        <w:p w14:paraId="7EA6EEB5" w14:textId="4293E424" w:rsidR="00673034" w:rsidRPr="00F34EB3" w:rsidRDefault="00673034" w:rsidP="00601423">
          <w:pPr>
            <w:pStyle w:val="TOCHeading"/>
            <w:tabs>
              <w:tab w:val="left" w:pos="3630"/>
            </w:tabs>
            <w:rPr>
              <w:rFonts w:cs="Arial"/>
            </w:rPr>
          </w:pPr>
        </w:p>
        <w:p w14:paraId="4C170F21" w14:textId="58B3444C" w:rsidR="00A75EA9" w:rsidRPr="00F34EB3" w:rsidRDefault="00A75EA9" w:rsidP="00A75EA9">
          <w:pPr>
            <w:pStyle w:val="TOCHeading"/>
            <w:tabs>
              <w:tab w:val="left" w:pos="3630"/>
            </w:tabs>
            <w:rPr>
              <w:rFonts w:cs="Arial"/>
            </w:rPr>
          </w:pPr>
          <w:r w:rsidRPr="00F34EB3">
            <w:rPr>
              <w:rFonts w:cs="Arial"/>
              <w:b w:val="0"/>
              <w:bCs/>
              <w:sz w:val="52"/>
              <w:szCs w:val="52"/>
            </w:rPr>
            <w:t>Contents</w:t>
          </w:r>
          <w:r w:rsidRPr="00F34EB3">
            <w:rPr>
              <w:rFonts w:cs="Arial"/>
            </w:rPr>
            <w:tab/>
          </w:r>
        </w:p>
        <w:p w14:paraId="25EA15B6" w14:textId="2317A669" w:rsidR="00B8330A" w:rsidRDefault="00673034">
          <w:pPr>
            <w:pStyle w:val="TOC1"/>
            <w:tabs>
              <w:tab w:val="left" w:pos="440"/>
              <w:tab w:val="right" w:leader="dot" w:pos="10456"/>
            </w:tabs>
            <w:rPr>
              <w:rFonts w:asciiTheme="minorHAnsi" w:hAnsiTheme="minorHAnsi" w:cstheme="minorBidi"/>
              <w:noProof/>
              <w:color w:val="auto"/>
              <w:kern w:val="2"/>
              <w:sz w:val="24"/>
              <w:szCs w:val="24"/>
              <w14:ligatures w14:val="standardContextual"/>
            </w:rPr>
          </w:pPr>
          <w:r w:rsidRPr="00F34EB3">
            <w:rPr>
              <w:rFonts w:cs="Arial"/>
            </w:rPr>
            <w:fldChar w:fldCharType="begin"/>
          </w:r>
          <w:r w:rsidRPr="00F34EB3">
            <w:rPr>
              <w:rFonts w:cs="Arial"/>
            </w:rPr>
            <w:instrText xml:space="preserve"> TOC \o "1-3" \h \z \u </w:instrText>
          </w:r>
          <w:r w:rsidRPr="00F34EB3">
            <w:rPr>
              <w:rFonts w:cs="Arial"/>
            </w:rPr>
            <w:fldChar w:fldCharType="separate"/>
          </w:r>
          <w:hyperlink w:anchor="_Toc216033854" w:history="1">
            <w:r w:rsidR="00B8330A" w:rsidRPr="005A4B22">
              <w:rPr>
                <w:rStyle w:val="Hyperlink"/>
                <w:rFonts w:cs="Arial"/>
                <w:noProof/>
              </w:rPr>
              <w:t>0.</w:t>
            </w:r>
            <w:r w:rsidR="00B8330A">
              <w:rPr>
                <w:rFonts w:asciiTheme="minorHAnsi" w:hAnsiTheme="minorHAnsi" w:cstheme="minorBidi"/>
                <w:noProof/>
                <w:color w:val="auto"/>
                <w:kern w:val="2"/>
                <w:sz w:val="24"/>
                <w:szCs w:val="24"/>
                <w14:ligatures w14:val="standardContextual"/>
              </w:rPr>
              <w:tab/>
            </w:r>
            <w:r w:rsidR="00B8330A" w:rsidRPr="005A4B22">
              <w:rPr>
                <w:rStyle w:val="Hyperlink"/>
                <w:rFonts w:cs="Arial"/>
                <w:noProof/>
              </w:rPr>
              <w:t>Introduction</w:t>
            </w:r>
            <w:r w:rsidR="00B8330A">
              <w:rPr>
                <w:noProof/>
                <w:webHidden/>
              </w:rPr>
              <w:tab/>
            </w:r>
            <w:r w:rsidR="00B8330A">
              <w:rPr>
                <w:noProof/>
                <w:webHidden/>
              </w:rPr>
              <w:fldChar w:fldCharType="begin"/>
            </w:r>
            <w:r w:rsidR="00B8330A">
              <w:rPr>
                <w:noProof/>
                <w:webHidden/>
              </w:rPr>
              <w:instrText xml:space="preserve"> PAGEREF _Toc216033854 \h </w:instrText>
            </w:r>
            <w:r w:rsidR="00B8330A">
              <w:rPr>
                <w:noProof/>
                <w:webHidden/>
              </w:rPr>
            </w:r>
            <w:r w:rsidR="00B8330A">
              <w:rPr>
                <w:noProof/>
                <w:webHidden/>
              </w:rPr>
              <w:fldChar w:fldCharType="separate"/>
            </w:r>
            <w:r w:rsidR="00B8330A">
              <w:rPr>
                <w:noProof/>
                <w:webHidden/>
              </w:rPr>
              <w:t>3</w:t>
            </w:r>
            <w:r w:rsidR="00B8330A">
              <w:rPr>
                <w:noProof/>
                <w:webHidden/>
              </w:rPr>
              <w:fldChar w:fldCharType="end"/>
            </w:r>
          </w:hyperlink>
        </w:p>
        <w:p w14:paraId="204F9F8A" w14:textId="0B851DC1"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55" w:history="1">
            <w:r w:rsidRPr="005A4B22">
              <w:rPr>
                <w:rStyle w:val="Hyperlink"/>
                <w:rFonts w:cs="Arial"/>
                <w:noProof/>
              </w:rPr>
              <w:t>1.</w:t>
            </w:r>
            <w:r>
              <w:rPr>
                <w:rFonts w:asciiTheme="minorHAnsi" w:hAnsiTheme="minorHAnsi" w:cstheme="minorBidi"/>
                <w:noProof/>
                <w:color w:val="auto"/>
                <w:kern w:val="2"/>
                <w:sz w:val="24"/>
                <w:szCs w:val="24"/>
                <w14:ligatures w14:val="standardContextual"/>
              </w:rPr>
              <w:tab/>
            </w:r>
            <w:r w:rsidRPr="005A4B22">
              <w:rPr>
                <w:rStyle w:val="Hyperlink"/>
                <w:rFonts w:cs="Arial"/>
                <w:noProof/>
              </w:rPr>
              <w:t>Scope and Application</w:t>
            </w:r>
            <w:r>
              <w:rPr>
                <w:noProof/>
                <w:webHidden/>
              </w:rPr>
              <w:tab/>
            </w:r>
            <w:r>
              <w:rPr>
                <w:noProof/>
                <w:webHidden/>
              </w:rPr>
              <w:fldChar w:fldCharType="begin"/>
            </w:r>
            <w:r>
              <w:rPr>
                <w:noProof/>
                <w:webHidden/>
              </w:rPr>
              <w:instrText xml:space="preserve"> PAGEREF _Toc216033855 \h </w:instrText>
            </w:r>
            <w:r>
              <w:rPr>
                <w:noProof/>
                <w:webHidden/>
              </w:rPr>
            </w:r>
            <w:r>
              <w:rPr>
                <w:noProof/>
                <w:webHidden/>
              </w:rPr>
              <w:fldChar w:fldCharType="separate"/>
            </w:r>
            <w:r>
              <w:rPr>
                <w:noProof/>
                <w:webHidden/>
              </w:rPr>
              <w:t>3</w:t>
            </w:r>
            <w:r>
              <w:rPr>
                <w:noProof/>
                <w:webHidden/>
              </w:rPr>
              <w:fldChar w:fldCharType="end"/>
            </w:r>
          </w:hyperlink>
        </w:p>
        <w:p w14:paraId="29A8425B" w14:textId="1C8991DD"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56" w:history="1">
            <w:r w:rsidRPr="005A4B22">
              <w:rPr>
                <w:rStyle w:val="Hyperlink"/>
                <w:rFonts w:cs="Arial"/>
                <w:noProof/>
              </w:rPr>
              <w:t>2.</w:t>
            </w:r>
            <w:r>
              <w:rPr>
                <w:rFonts w:asciiTheme="minorHAnsi" w:hAnsiTheme="minorHAnsi" w:cstheme="minorBidi"/>
                <w:noProof/>
                <w:color w:val="auto"/>
                <w:kern w:val="2"/>
                <w:sz w:val="24"/>
                <w:szCs w:val="24"/>
                <w14:ligatures w14:val="standardContextual"/>
              </w:rPr>
              <w:tab/>
            </w:r>
            <w:r w:rsidRPr="005A4B22">
              <w:rPr>
                <w:rStyle w:val="Hyperlink"/>
                <w:rFonts w:cs="Arial"/>
                <w:noProof/>
              </w:rPr>
              <w:t>Relationship to Other Approved Documents</w:t>
            </w:r>
            <w:r>
              <w:rPr>
                <w:noProof/>
                <w:webHidden/>
              </w:rPr>
              <w:tab/>
            </w:r>
            <w:r>
              <w:rPr>
                <w:noProof/>
                <w:webHidden/>
              </w:rPr>
              <w:fldChar w:fldCharType="begin"/>
            </w:r>
            <w:r>
              <w:rPr>
                <w:noProof/>
                <w:webHidden/>
              </w:rPr>
              <w:instrText xml:space="preserve"> PAGEREF _Toc216033856 \h </w:instrText>
            </w:r>
            <w:r>
              <w:rPr>
                <w:noProof/>
                <w:webHidden/>
              </w:rPr>
            </w:r>
            <w:r>
              <w:rPr>
                <w:noProof/>
                <w:webHidden/>
              </w:rPr>
              <w:fldChar w:fldCharType="separate"/>
            </w:r>
            <w:r>
              <w:rPr>
                <w:noProof/>
                <w:webHidden/>
              </w:rPr>
              <w:t>3</w:t>
            </w:r>
            <w:r>
              <w:rPr>
                <w:noProof/>
                <w:webHidden/>
              </w:rPr>
              <w:fldChar w:fldCharType="end"/>
            </w:r>
          </w:hyperlink>
        </w:p>
        <w:p w14:paraId="37067301" w14:textId="7370FC22"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57" w:history="1">
            <w:r w:rsidRPr="005A4B22">
              <w:rPr>
                <w:rStyle w:val="Hyperlink"/>
                <w:rFonts w:cs="Arial"/>
                <w:noProof/>
              </w:rPr>
              <w:t>3.</w:t>
            </w:r>
            <w:r>
              <w:rPr>
                <w:rFonts w:asciiTheme="minorHAnsi" w:hAnsiTheme="minorHAnsi" w:cstheme="minorBidi"/>
                <w:noProof/>
                <w:color w:val="auto"/>
                <w:kern w:val="2"/>
                <w:sz w:val="24"/>
                <w:szCs w:val="24"/>
                <w14:ligatures w14:val="standardContextual"/>
              </w:rPr>
              <w:tab/>
            </w:r>
            <w:r w:rsidRPr="005A4B22">
              <w:rPr>
                <w:rStyle w:val="Hyperlink"/>
                <w:rFonts w:cs="Arial"/>
                <w:noProof/>
              </w:rPr>
              <w:t>Definitions</w:t>
            </w:r>
            <w:r>
              <w:rPr>
                <w:noProof/>
                <w:webHidden/>
              </w:rPr>
              <w:tab/>
            </w:r>
            <w:r>
              <w:rPr>
                <w:noProof/>
                <w:webHidden/>
              </w:rPr>
              <w:fldChar w:fldCharType="begin"/>
            </w:r>
            <w:r>
              <w:rPr>
                <w:noProof/>
                <w:webHidden/>
              </w:rPr>
              <w:instrText xml:space="preserve"> PAGEREF _Toc216033857 \h </w:instrText>
            </w:r>
            <w:r>
              <w:rPr>
                <w:noProof/>
                <w:webHidden/>
              </w:rPr>
            </w:r>
            <w:r>
              <w:rPr>
                <w:noProof/>
                <w:webHidden/>
              </w:rPr>
              <w:fldChar w:fldCharType="separate"/>
            </w:r>
            <w:r>
              <w:rPr>
                <w:noProof/>
                <w:webHidden/>
              </w:rPr>
              <w:t>4</w:t>
            </w:r>
            <w:r>
              <w:rPr>
                <w:noProof/>
                <w:webHidden/>
              </w:rPr>
              <w:fldChar w:fldCharType="end"/>
            </w:r>
          </w:hyperlink>
        </w:p>
        <w:p w14:paraId="0D76ADF4" w14:textId="2F0CEFAE"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58" w:history="1">
            <w:r w:rsidRPr="005A4B22">
              <w:rPr>
                <w:rStyle w:val="Hyperlink"/>
                <w:rFonts w:cs="Arial"/>
                <w:noProof/>
              </w:rPr>
              <w:t>4.</w:t>
            </w:r>
            <w:r>
              <w:rPr>
                <w:rFonts w:asciiTheme="minorHAnsi" w:hAnsiTheme="minorHAnsi" w:cstheme="minorBidi"/>
                <w:noProof/>
                <w:color w:val="auto"/>
                <w:kern w:val="2"/>
                <w:sz w:val="24"/>
                <w:szCs w:val="24"/>
                <w14:ligatures w14:val="standardContextual"/>
              </w:rPr>
              <w:tab/>
            </w:r>
            <w:r w:rsidRPr="005A4B22">
              <w:rPr>
                <w:rStyle w:val="Hyperlink"/>
                <w:rFonts w:cs="Arial"/>
                <w:noProof/>
              </w:rPr>
              <w:t>Requirements – Whole Life Carbon Obligations</w:t>
            </w:r>
            <w:r>
              <w:rPr>
                <w:noProof/>
                <w:webHidden/>
              </w:rPr>
              <w:tab/>
            </w:r>
            <w:r>
              <w:rPr>
                <w:noProof/>
                <w:webHidden/>
              </w:rPr>
              <w:fldChar w:fldCharType="begin"/>
            </w:r>
            <w:r>
              <w:rPr>
                <w:noProof/>
                <w:webHidden/>
              </w:rPr>
              <w:instrText xml:space="preserve"> PAGEREF _Toc216033858 \h </w:instrText>
            </w:r>
            <w:r>
              <w:rPr>
                <w:noProof/>
                <w:webHidden/>
              </w:rPr>
            </w:r>
            <w:r>
              <w:rPr>
                <w:noProof/>
                <w:webHidden/>
              </w:rPr>
              <w:fldChar w:fldCharType="separate"/>
            </w:r>
            <w:r>
              <w:rPr>
                <w:noProof/>
                <w:webHidden/>
              </w:rPr>
              <w:t>4</w:t>
            </w:r>
            <w:r>
              <w:rPr>
                <w:noProof/>
                <w:webHidden/>
              </w:rPr>
              <w:fldChar w:fldCharType="end"/>
            </w:r>
          </w:hyperlink>
        </w:p>
        <w:p w14:paraId="1CFC3326" w14:textId="0CF0306D"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59" w:history="1">
            <w:r w:rsidRPr="005A4B22">
              <w:rPr>
                <w:rStyle w:val="Hyperlink"/>
                <w:rFonts w:cs="Arial"/>
                <w:noProof/>
              </w:rPr>
              <w:t>5.</w:t>
            </w:r>
            <w:r>
              <w:rPr>
                <w:rFonts w:asciiTheme="minorHAnsi" w:hAnsiTheme="minorHAnsi" w:cstheme="minorBidi"/>
                <w:noProof/>
                <w:color w:val="auto"/>
                <w:kern w:val="2"/>
                <w:sz w:val="24"/>
                <w:szCs w:val="24"/>
                <w14:ligatures w14:val="standardContextual"/>
              </w:rPr>
              <w:tab/>
            </w:r>
            <w:r w:rsidRPr="005A4B22">
              <w:rPr>
                <w:rStyle w:val="Hyperlink"/>
                <w:rFonts w:cs="Arial"/>
                <w:noProof/>
              </w:rPr>
              <w:t>Methods of Compliance – Doing WLCA in Practice</w:t>
            </w:r>
            <w:r>
              <w:rPr>
                <w:noProof/>
                <w:webHidden/>
              </w:rPr>
              <w:tab/>
            </w:r>
            <w:r>
              <w:rPr>
                <w:noProof/>
                <w:webHidden/>
              </w:rPr>
              <w:fldChar w:fldCharType="begin"/>
            </w:r>
            <w:r>
              <w:rPr>
                <w:noProof/>
                <w:webHidden/>
              </w:rPr>
              <w:instrText xml:space="preserve"> PAGEREF _Toc216033859 \h </w:instrText>
            </w:r>
            <w:r>
              <w:rPr>
                <w:noProof/>
                <w:webHidden/>
              </w:rPr>
            </w:r>
            <w:r>
              <w:rPr>
                <w:noProof/>
                <w:webHidden/>
              </w:rPr>
              <w:fldChar w:fldCharType="separate"/>
            </w:r>
            <w:r>
              <w:rPr>
                <w:noProof/>
                <w:webHidden/>
              </w:rPr>
              <w:t>5</w:t>
            </w:r>
            <w:r>
              <w:rPr>
                <w:noProof/>
                <w:webHidden/>
              </w:rPr>
              <w:fldChar w:fldCharType="end"/>
            </w:r>
          </w:hyperlink>
        </w:p>
        <w:p w14:paraId="1242F38D" w14:textId="0FD80100"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60" w:history="1">
            <w:r w:rsidRPr="005A4B22">
              <w:rPr>
                <w:rStyle w:val="Hyperlink"/>
                <w:rFonts w:cs="Arial"/>
                <w:noProof/>
              </w:rPr>
              <w:t>6.</w:t>
            </w:r>
            <w:r>
              <w:rPr>
                <w:rFonts w:asciiTheme="minorHAnsi" w:hAnsiTheme="minorHAnsi" w:cstheme="minorBidi"/>
                <w:noProof/>
                <w:color w:val="auto"/>
                <w:kern w:val="2"/>
                <w:sz w:val="24"/>
                <w:szCs w:val="24"/>
                <w14:ligatures w14:val="standardContextual"/>
              </w:rPr>
              <w:tab/>
            </w:r>
            <w:r w:rsidRPr="005A4B22">
              <w:rPr>
                <w:rStyle w:val="Hyperlink"/>
                <w:rFonts w:cs="Arial"/>
                <w:noProof/>
              </w:rPr>
              <w:t>Design Principles and Good Practice (Non-mandatory Guidance)</w:t>
            </w:r>
            <w:r>
              <w:rPr>
                <w:noProof/>
                <w:webHidden/>
              </w:rPr>
              <w:tab/>
            </w:r>
            <w:r>
              <w:rPr>
                <w:noProof/>
                <w:webHidden/>
              </w:rPr>
              <w:fldChar w:fldCharType="begin"/>
            </w:r>
            <w:r>
              <w:rPr>
                <w:noProof/>
                <w:webHidden/>
              </w:rPr>
              <w:instrText xml:space="preserve"> PAGEREF _Toc216033860 \h </w:instrText>
            </w:r>
            <w:r>
              <w:rPr>
                <w:noProof/>
                <w:webHidden/>
              </w:rPr>
            </w:r>
            <w:r>
              <w:rPr>
                <w:noProof/>
                <w:webHidden/>
              </w:rPr>
              <w:fldChar w:fldCharType="separate"/>
            </w:r>
            <w:r>
              <w:rPr>
                <w:noProof/>
                <w:webHidden/>
              </w:rPr>
              <w:t>6</w:t>
            </w:r>
            <w:r>
              <w:rPr>
                <w:noProof/>
                <w:webHidden/>
              </w:rPr>
              <w:fldChar w:fldCharType="end"/>
            </w:r>
          </w:hyperlink>
        </w:p>
        <w:p w14:paraId="2D862B49" w14:textId="7AA0DE9C"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61" w:history="1">
            <w:r w:rsidRPr="005A4B22">
              <w:rPr>
                <w:rStyle w:val="Hyperlink"/>
                <w:rFonts w:cs="Arial"/>
                <w:noProof/>
              </w:rPr>
              <w:t>7.</w:t>
            </w:r>
            <w:r>
              <w:rPr>
                <w:rFonts w:asciiTheme="minorHAnsi" w:hAnsiTheme="minorHAnsi" w:cstheme="minorBidi"/>
                <w:noProof/>
                <w:color w:val="auto"/>
                <w:kern w:val="2"/>
                <w:sz w:val="24"/>
                <w:szCs w:val="24"/>
                <w14:ligatures w14:val="standardContextual"/>
              </w:rPr>
              <w:tab/>
            </w:r>
            <w:r w:rsidRPr="005A4B22">
              <w:rPr>
                <w:rStyle w:val="Hyperlink"/>
                <w:rFonts w:cs="Arial"/>
                <w:noProof/>
              </w:rPr>
              <w:t>Implementation and Transitional Arrangements</w:t>
            </w:r>
            <w:r>
              <w:rPr>
                <w:noProof/>
                <w:webHidden/>
              </w:rPr>
              <w:tab/>
            </w:r>
            <w:r>
              <w:rPr>
                <w:noProof/>
                <w:webHidden/>
              </w:rPr>
              <w:fldChar w:fldCharType="begin"/>
            </w:r>
            <w:r>
              <w:rPr>
                <w:noProof/>
                <w:webHidden/>
              </w:rPr>
              <w:instrText xml:space="preserve"> PAGEREF _Toc216033861 \h </w:instrText>
            </w:r>
            <w:r>
              <w:rPr>
                <w:noProof/>
                <w:webHidden/>
              </w:rPr>
            </w:r>
            <w:r>
              <w:rPr>
                <w:noProof/>
                <w:webHidden/>
              </w:rPr>
              <w:fldChar w:fldCharType="separate"/>
            </w:r>
            <w:r>
              <w:rPr>
                <w:noProof/>
                <w:webHidden/>
              </w:rPr>
              <w:t>7</w:t>
            </w:r>
            <w:r>
              <w:rPr>
                <w:noProof/>
                <w:webHidden/>
              </w:rPr>
              <w:fldChar w:fldCharType="end"/>
            </w:r>
          </w:hyperlink>
        </w:p>
        <w:p w14:paraId="0F3758CD" w14:textId="09332FA5"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62" w:history="1">
            <w:r w:rsidRPr="005A4B22">
              <w:rPr>
                <w:rStyle w:val="Hyperlink"/>
                <w:rFonts w:cs="Arial"/>
                <w:noProof/>
              </w:rPr>
              <w:t>8.</w:t>
            </w:r>
            <w:r>
              <w:rPr>
                <w:rFonts w:asciiTheme="minorHAnsi" w:hAnsiTheme="minorHAnsi" w:cstheme="minorBidi"/>
                <w:noProof/>
                <w:color w:val="auto"/>
                <w:kern w:val="2"/>
                <w:sz w:val="24"/>
                <w:szCs w:val="24"/>
                <w14:ligatures w14:val="standardContextual"/>
              </w:rPr>
              <w:tab/>
            </w:r>
            <w:r w:rsidRPr="005A4B22">
              <w:rPr>
                <w:rStyle w:val="Hyperlink"/>
                <w:rFonts w:cs="Arial"/>
                <w:noProof/>
              </w:rPr>
              <w:t>Appendix A</w:t>
            </w:r>
            <w:r>
              <w:rPr>
                <w:noProof/>
                <w:webHidden/>
              </w:rPr>
              <w:tab/>
            </w:r>
            <w:r>
              <w:rPr>
                <w:noProof/>
                <w:webHidden/>
              </w:rPr>
              <w:fldChar w:fldCharType="begin"/>
            </w:r>
            <w:r>
              <w:rPr>
                <w:noProof/>
                <w:webHidden/>
              </w:rPr>
              <w:instrText xml:space="preserve"> PAGEREF _Toc216033862 \h </w:instrText>
            </w:r>
            <w:r>
              <w:rPr>
                <w:noProof/>
                <w:webHidden/>
              </w:rPr>
            </w:r>
            <w:r>
              <w:rPr>
                <w:noProof/>
                <w:webHidden/>
              </w:rPr>
              <w:fldChar w:fldCharType="separate"/>
            </w:r>
            <w:r>
              <w:rPr>
                <w:noProof/>
                <w:webHidden/>
              </w:rPr>
              <w:t>7</w:t>
            </w:r>
            <w:r>
              <w:rPr>
                <w:noProof/>
                <w:webHidden/>
              </w:rPr>
              <w:fldChar w:fldCharType="end"/>
            </w:r>
          </w:hyperlink>
        </w:p>
        <w:p w14:paraId="59567CAC" w14:textId="1CC5D804" w:rsidR="00B8330A" w:rsidRDefault="00B8330A">
          <w:pPr>
            <w:pStyle w:val="TOC1"/>
            <w:tabs>
              <w:tab w:val="left" w:pos="440"/>
              <w:tab w:val="right" w:leader="dot" w:pos="10456"/>
            </w:tabs>
            <w:rPr>
              <w:rFonts w:asciiTheme="minorHAnsi" w:hAnsiTheme="minorHAnsi" w:cstheme="minorBidi"/>
              <w:noProof/>
              <w:color w:val="auto"/>
              <w:kern w:val="2"/>
              <w:sz w:val="24"/>
              <w:szCs w:val="24"/>
              <w14:ligatures w14:val="standardContextual"/>
            </w:rPr>
          </w:pPr>
          <w:hyperlink w:anchor="_Toc216033863" w:history="1">
            <w:r w:rsidRPr="005A4B22">
              <w:rPr>
                <w:rStyle w:val="Hyperlink"/>
                <w:rFonts w:cs="Arial"/>
                <w:noProof/>
              </w:rPr>
              <w:t>9.</w:t>
            </w:r>
            <w:r>
              <w:rPr>
                <w:rFonts w:asciiTheme="minorHAnsi" w:hAnsiTheme="minorHAnsi" w:cstheme="minorBidi"/>
                <w:noProof/>
                <w:color w:val="auto"/>
                <w:kern w:val="2"/>
                <w:sz w:val="24"/>
                <w:szCs w:val="24"/>
                <w14:ligatures w14:val="standardContextual"/>
              </w:rPr>
              <w:tab/>
            </w:r>
            <w:r w:rsidRPr="005A4B22">
              <w:rPr>
                <w:rStyle w:val="Hyperlink"/>
                <w:rFonts w:cs="Arial"/>
                <w:noProof/>
              </w:rPr>
              <w:t>Reference List</w:t>
            </w:r>
            <w:r>
              <w:rPr>
                <w:noProof/>
                <w:webHidden/>
              </w:rPr>
              <w:tab/>
            </w:r>
            <w:r>
              <w:rPr>
                <w:noProof/>
                <w:webHidden/>
              </w:rPr>
              <w:fldChar w:fldCharType="begin"/>
            </w:r>
            <w:r>
              <w:rPr>
                <w:noProof/>
                <w:webHidden/>
              </w:rPr>
              <w:instrText xml:space="preserve"> PAGEREF _Toc216033863 \h </w:instrText>
            </w:r>
            <w:r>
              <w:rPr>
                <w:noProof/>
                <w:webHidden/>
              </w:rPr>
            </w:r>
            <w:r>
              <w:rPr>
                <w:noProof/>
                <w:webHidden/>
              </w:rPr>
              <w:fldChar w:fldCharType="separate"/>
            </w:r>
            <w:r>
              <w:rPr>
                <w:noProof/>
                <w:webHidden/>
              </w:rPr>
              <w:t>11</w:t>
            </w:r>
            <w:r>
              <w:rPr>
                <w:noProof/>
                <w:webHidden/>
              </w:rPr>
              <w:fldChar w:fldCharType="end"/>
            </w:r>
          </w:hyperlink>
        </w:p>
        <w:p w14:paraId="65F9C845" w14:textId="39DEFBD4" w:rsidR="00B8330A" w:rsidRDefault="00B8330A">
          <w:pPr>
            <w:pStyle w:val="TOC1"/>
            <w:tabs>
              <w:tab w:val="left" w:pos="720"/>
              <w:tab w:val="right" w:leader="dot" w:pos="10456"/>
            </w:tabs>
            <w:rPr>
              <w:rFonts w:asciiTheme="minorHAnsi" w:hAnsiTheme="minorHAnsi" w:cstheme="minorBidi"/>
              <w:noProof/>
              <w:color w:val="auto"/>
              <w:kern w:val="2"/>
              <w:sz w:val="24"/>
              <w:szCs w:val="24"/>
              <w14:ligatures w14:val="standardContextual"/>
            </w:rPr>
          </w:pPr>
          <w:hyperlink w:anchor="_Toc216033864" w:history="1">
            <w:r w:rsidRPr="005A4B22">
              <w:rPr>
                <w:rStyle w:val="Hyperlink"/>
                <w:rFonts w:cs="Arial"/>
                <w:noProof/>
              </w:rPr>
              <w:t>10.</w:t>
            </w:r>
            <w:r>
              <w:rPr>
                <w:rFonts w:asciiTheme="minorHAnsi" w:hAnsiTheme="minorHAnsi" w:cstheme="minorBidi"/>
                <w:noProof/>
                <w:color w:val="auto"/>
                <w:kern w:val="2"/>
                <w:sz w:val="24"/>
                <w:szCs w:val="24"/>
                <w14:ligatures w14:val="standardContextual"/>
              </w:rPr>
              <w:tab/>
            </w:r>
            <w:r w:rsidRPr="005A4B22">
              <w:rPr>
                <w:rStyle w:val="Hyperlink"/>
                <w:rFonts w:cs="Arial"/>
                <w:noProof/>
              </w:rPr>
              <w:t>Bibliography</w:t>
            </w:r>
            <w:r>
              <w:rPr>
                <w:noProof/>
                <w:webHidden/>
              </w:rPr>
              <w:tab/>
            </w:r>
            <w:r>
              <w:rPr>
                <w:noProof/>
                <w:webHidden/>
              </w:rPr>
              <w:fldChar w:fldCharType="begin"/>
            </w:r>
            <w:r>
              <w:rPr>
                <w:noProof/>
                <w:webHidden/>
              </w:rPr>
              <w:instrText xml:space="preserve"> PAGEREF _Toc216033864 \h </w:instrText>
            </w:r>
            <w:r>
              <w:rPr>
                <w:noProof/>
                <w:webHidden/>
              </w:rPr>
            </w:r>
            <w:r>
              <w:rPr>
                <w:noProof/>
                <w:webHidden/>
              </w:rPr>
              <w:fldChar w:fldCharType="separate"/>
            </w:r>
            <w:r>
              <w:rPr>
                <w:noProof/>
                <w:webHidden/>
              </w:rPr>
              <w:t>13</w:t>
            </w:r>
            <w:r>
              <w:rPr>
                <w:noProof/>
                <w:webHidden/>
              </w:rPr>
              <w:fldChar w:fldCharType="end"/>
            </w:r>
          </w:hyperlink>
        </w:p>
        <w:p w14:paraId="2BAC4CEA" w14:textId="3A84ED96" w:rsidR="00A75EA9" w:rsidRPr="00F34EB3" w:rsidRDefault="00673034">
          <w:pPr>
            <w:rPr>
              <w:rFonts w:cs="Arial"/>
            </w:rPr>
          </w:pPr>
          <w:r w:rsidRPr="00F34EB3">
            <w:rPr>
              <w:rFonts w:cs="Arial"/>
            </w:rPr>
            <w:fldChar w:fldCharType="end"/>
          </w:r>
        </w:p>
      </w:sdtContent>
    </w:sdt>
    <w:p w14:paraId="618B78C2" w14:textId="77777777" w:rsidR="00331D30" w:rsidRPr="00F34EB3" w:rsidRDefault="00331D30" w:rsidP="005B498C">
      <w:pPr>
        <w:rPr>
          <w:rFonts w:cs="Arial"/>
        </w:rPr>
      </w:pPr>
    </w:p>
    <w:p w14:paraId="2B7867E9" w14:textId="2CD11DDA" w:rsidR="00673034" w:rsidRPr="00F34EB3" w:rsidRDefault="00673034">
      <w:pPr>
        <w:rPr>
          <w:rFonts w:cs="Arial"/>
          <w:sz w:val="40"/>
          <w:szCs w:val="40"/>
        </w:rPr>
      </w:pPr>
      <w:r w:rsidRPr="00F34EB3">
        <w:rPr>
          <w:rFonts w:cs="Arial"/>
          <w:sz w:val="40"/>
          <w:szCs w:val="40"/>
        </w:rPr>
        <w:br w:type="page"/>
      </w:r>
    </w:p>
    <w:p w14:paraId="6D73020B" w14:textId="486DC1F7" w:rsidR="00331D30" w:rsidRPr="00F34EB3" w:rsidRDefault="00911872" w:rsidP="00BA1FFB">
      <w:pPr>
        <w:pStyle w:val="Heading1"/>
        <w:numPr>
          <w:ilvl w:val="0"/>
          <w:numId w:val="1"/>
        </w:numPr>
        <w:rPr>
          <w:rFonts w:cs="Arial"/>
          <w:sz w:val="32"/>
          <w:szCs w:val="32"/>
        </w:rPr>
      </w:pPr>
      <w:bookmarkStart w:id="0" w:name="_Toc216033854"/>
      <w:r w:rsidRPr="00F34EB3">
        <w:rPr>
          <w:rFonts w:cs="Arial"/>
          <w:sz w:val="32"/>
          <w:szCs w:val="32"/>
        </w:rPr>
        <w:t>Introduction</w:t>
      </w:r>
      <w:bookmarkEnd w:id="0"/>
    </w:p>
    <w:p w14:paraId="355FEAF2" w14:textId="162E1373" w:rsidR="003A026A" w:rsidRPr="003A026A" w:rsidRDefault="003A026A" w:rsidP="003A026A">
      <w:pPr>
        <w:rPr>
          <w:rFonts w:cs="Arial"/>
        </w:rPr>
      </w:pPr>
      <w:r w:rsidRPr="003A026A">
        <w:rPr>
          <w:rFonts w:cs="Arial"/>
        </w:rPr>
        <w:t xml:space="preserve">This document provides guidance on assessing and reducing whole life carbon in domestic buildings in Wales, written in the style of a Welsh Approved Document to show how a future “Part Z” to the Building Regulations could work. The guidance is an academic exercise with no legal </w:t>
      </w:r>
      <w:proofErr w:type="gramStart"/>
      <w:r w:rsidRPr="003A026A">
        <w:rPr>
          <w:rFonts w:cs="Arial"/>
        </w:rPr>
        <w:t>force, but</w:t>
      </w:r>
      <w:proofErr w:type="gramEnd"/>
      <w:r w:rsidRPr="003A026A">
        <w:rPr>
          <w:rFonts w:cs="Arial"/>
        </w:rPr>
        <w:t xml:space="preserve"> illustrates how whole life and embodied carbon requirements for homes might be framed in regulation.</w:t>
      </w:r>
    </w:p>
    <w:p w14:paraId="12E491DC" w14:textId="31582172" w:rsidR="003A026A" w:rsidRPr="003A026A" w:rsidRDefault="003A026A" w:rsidP="003A026A">
      <w:pPr>
        <w:rPr>
          <w:rFonts w:cs="Arial"/>
        </w:rPr>
      </w:pPr>
      <w:r w:rsidRPr="003A026A">
        <w:rPr>
          <w:rFonts w:cs="Arial"/>
        </w:rPr>
        <w:t xml:space="preserve">Wales has declared a climate emergency and is legally required to achieve net-zero greenhouse gas emissions by 2050, supported by Net Zero Wales: Carbon Budget 2 (Welsh Government, 2021). The Well-being of Future Generations (Wales) Act 2015 requires bodies to pursue a </w:t>
      </w:r>
      <w:proofErr w:type="gramStart"/>
      <w:r w:rsidRPr="003A026A">
        <w:rPr>
          <w:rFonts w:cs="Arial"/>
        </w:rPr>
        <w:t>low-carbon</w:t>
      </w:r>
      <w:proofErr w:type="gramEnd"/>
      <w:r w:rsidRPr="003A026A">
        <w:rPr>
          <w:rFonts w:cs="Arial"/>
        </w:rPr>
        <w:t xml:space="preserve"> “prosperous Wales” (Welsh Government, 2015). Globally, buildings and construction are responsible for 39% of energy-related CO</w:t>
      </w:r>
      <w:r w:rsidRPr="003A026A">
        <w:rPr>
          <w:rFonts w:ascii="Cambria Math" w:hAnsi="Cambria Math" w:cs="Cambria Math"/>
        </w:rPr>
        <w:t>₂</w:t>
      </w:r>
      <w:r w:rsidRPr="003A026A">
        <w:rPr>
          <w:rFonts w:cs="Arial"/>
        </w:rPr>
        <w:t xml:space="preserve"> emissions and half of all raw material use (World Green Building Council, no date). In the UK, the built environment accounts for a quarter of emissions, with embodied carbon becoming more significant as operational emissions fall (Historic England, 2020; RICS, 2024; LETI, 2020).</w:t>
      </w:r>
    </w:p>
    <w:p w14:paraId="316F4FDB" w14:textId="5AAF14F1" w:rsidR="0051395D" w:rsidRPr="00F34EB3" w:rsidRDefault="003A026A" w:rsidP="003A026A">
      <w:pPr>
        <w:rPr>
          <w:rFonts w:cs="Arial"/>
        </w:rPr>
      </w:pPr>
      <w:r w:rsidRPr="003A026A">
        <w:rPr>
          <w:rFonts w:cs="Arial"/>
        </w:rPr>
        <w:t>In this context, the guidance concentrates on new homes and major refurbishments. It proposes minimum expectations for Whole Life Carbon Assessment (WLCA) and transparent reporting, drawing on frameworks including the UKGBC Net Zero Carbon Buildings framework, the RICS whole life carbon assessment standard and LETI guidance (UKGBC, 2019; RICS, 2024; LETI, 2020). The aim is to support Wales’s net-zero and well-being objectives by embedding carbon thinking in the design, procurement and delivery of dwellings, while reflecting the tone and structure of Welsh Approved Documents</w:t>
      </w:r>
      <w:r>
        <w:rPr>
          <w:rFonts w:cs="Arial"/>
        </w:rPr>
        <w:t>.</w:t>
      </w:r>
    </w:p>
    <w:p w14:paraId="2B6F4D71" w14:textId="488F1B03" w:rsidR="00911872" w:rsidRPr="00F34EB3" w:rsidRDefault="00911872" w:rsidP="00911872">
      <w:pPr>
        <w:pStyle w:val="Heading1"/>
        <w:numPr>
          <w:ilvl w:val="0"/>
          <w:numId w:val="1"/>
        </w:numPr>
        <w:rPr>
          <w:rFonts w:cs="Arial"/>
          <w:sz w:val="32"/>
          <w:szCs w:val="32"/>
        </w:rPr>
      </w:pPr>
      <w:bookmarkStart w:id="1" w:name="_Toc216033855"/>
      <w:r w:rsidRPr="00F34EB3">
        <w:rPr>
          <w:rFonts w:cs="Arial"/>
          <w:sz w:val="32"/>
          <w:szCs w:val="32"/>
        </w:rPr>
        <w:t>Scope and Application</w:t>
      </w:r>
      <w:bookmarkEnd w:id="1"/>
    </w:p>
    <w:p w14:paraId="46BAEC6A" w14:textId="07E849BA" w:rsidR="000677D2" w:rsidRPr="000677D2" w:rsidRDefault="000677D2" w:rsidP="000677D2">
      <w:pPr>
        <w:rPr>
          <w:rFonts w:cs="Arial"/>
          <w:lang w:eastAsia="en-GB"/>
        </w:rPr>
      </w:pPr>
      <w:r w:rsidRPr="000677D2">
        <w:rPr>
          <w:rFonts w:cs="Arial"/>
          <w:lang w:eastAsia="en-GB"/>
        </w:rPr>
        <w:t>This guidance applies to whole life carbon assessments for new homes and major refurbishments in Wales above a defined size and significance. It is aimed at dwellings—houses, bungalows, flats and maisonettes—and their associated spaces. Non-residential elements are included only where they form a minor part of an otherwise residential scheme.</w:t>
      </w:r>
    </w:p>
    <w:p w14:paraId="54386E19" w14:textId="34FBF104" w:rsidR="000677D2" w:rsidRPr="000677D2" w:rsidRDefault="000677D2" w:rsidP="000677D2">
      <w:pPr>
        <w:rPr>
          <w:rFonts w:cs="Arial"/>
          <w:lang w:eastAsia="en-GB"/>
        </w:rPr>
      </w:pPr>
      <w:r w:rsidRPr="000677D2">
        <w:rPr>
          <w:rFonts w:cs="Arial"/>
          <w:lang w:eastAsia="en-GB"/>
        </w:rPr>
        <w:t>Approved Document Z is intended to apply to:</w:t>
      </w:r>
    </w:p>
    <w:p w14:paraId="464DF73D" w14:textId="03DF9A6E" w:rsidR="000677D2" w:rsidRPr="000677D2" w:rsidRDefault="000677D2" w:rsidP="000677D2">
      <w:pPr>
        <w:pStyle w:val="ListParagraph"/>
        <w:numPr>
          <w:ilvl w:val="0"/>
          <w:numId w:val="37"/>
        </w:numPr>
        <w:rPr>
          <w:rFonts w:cs="Arial"/>
          <w:lang w:eastAsia="en-GB"/>
        </w:rPr>
      </w:pPr>
      <w:r w:rsidRPr="000677D2">
        <w:rPr>
          <w:rFonts w:cs="Arial"/>
          <w:lang w:eastAsia="en-GB"/>
        </w:rPr>
        <w:t xml:space="preserve">new residential developments of five or more dwellings, or with a gross internal area (GIA) of 500 m² or </w:t>
      </w:r>
      <w:proofErr w:type="gramStart"/>
      <w:r w:rsidRPr="000677D2">
        <w:rPr>
          <w:rFonts w:cs="Arial"/>
          <w:lang w:eastAsia="en-GB"/>
        </w:rPr>
        <w:t>more;</w:t>
      </w:r>
      <w:proofErr w:type="gramEnd"/>
    </w:p>
    <w:p w14:paraId="3F3C3E99" w14:textId="45A68FC9" w:rsidR="000677D2" w:rsidRPr="000677D2" w:rsidRDefault="000677D2" w:rsidP="000677D2">
      <w:pPr>
        <w:pStyle w:val="ListParagraph"/>
        <w:numPr>
          <w:ilvl w:val="0"/>
          <w:numId w:val="37"/>
        </w:numPr>
        <w:rPr>
          <w:rFonts w:cs="Arial"/>
          <w:lang w:eastAsia="en-GB"/>
        </w:rPr>
      </w:pPr>
      <w:r w:rsidRPr="000677D2">
        <w:rPr>
          <w:rFonts w:cs="Arial"/>
          <w:lang w:eastAsia="en-GB"/>
        </w:rPr>
        <w:t>any new dwelling or residential scheme that is wholly or partly Welsh public-sector funded; and</w:t>
      </w:r>
    </w:p>
    <w:p w14:paraId="27ECE317" w14:textId="013D670B" w:rsidR="000677D2" w:rsidRPr="000677D2" w:rsidRDefault="000677D2" w:rsidP="000677D2">
      <w:pPr>
        <w:pStyle w:val="ListParagraph"/>
        <w:numPr>
          <w:ilvl w:val="0"/>
          <w:numId w:val="37"/>
        </w:numPr>
        <w:rPr>
          <w:rFonts w:cs="Arial"/>
          <w:lang w:eastAsia="en-GB"/>
        </w:rPr>
      </w:pPr>
      <w:r w:rsidRPr="000677D2">
        <w:rPr>
          <w:rFonts w:cs="Arial"/>
          <w:lang w:eastAsia="en-GB"/>
        </w:rPr>
        <w:t>major refurbishments or changes of use where more than 50% of the primary structure or external envelope is replaced, or where the value of works exceeds 50% of the building’s replacement cost.</w:t>
      </w:r>
    </w:p>
    <w:p w14:paraId="72A6E04F" w14:textId="4AA7F335" w:rsidR="000677D2" w:rsidRPr="000677D2" w:rsidRDefault="000677D2" w:rsidP="000677D2">
      <w:pPr>
        <w:rPr>
          <w:rFonts w:cs="Arial"/>
          <w:lang w:eastAsia="en-GB"/>
        </w:rPr>
      </w:pPr>
      <w:r w:rsidRPr="000677D2">
        <w:rPr>
          <w:rFonts w:cs="Arial"/>
          <w:lang w:eastAsia="en-GB"/>
        </w:rPr>
        <w:t>These thresholds reflect the idea of “major development” used in whole life carbon policy, such as the London Plan guidance, but adapted for a Welsh domestic context (Greater London Authority, 2020). Smaller projects, minor works, like-for-like component replacement and modest extensions fall outside the formal scope, although the good-practice principles in Section 6 may still be applied voluntarily.</w:t>
      </w:r>
    </w:p>
    <w:p w14:paraId="52C6F698" w14:textId="0F0A312D" w:rsidR="008A2DF6" w:rsidRPr="00F34EB3" w:rsidRDefault="000677D2" w:rsidP="000677D2">
      <w:pPr>
        <w:rPr>
          <w:rFonts w:cs="Arial"/>
          <w:lang w:eastAsia="en-GB"/>
        </w:rPr>
      </w:pPr>
      <w:r w:rsidRPr="000677D2">
        <w:rPr>
          <w:rFonts w:cs="Arial"/>
          <w:lang w:eastAsia="en-GB"/>
        </w:rPr>
        <w:t>Whole life carbon assessments carried out under this guidance should, as a minimum, include A1–A5 (product and construction), relevant use-stage modules B4 (replacement) and B6 (operational energy), and end-of-life modules C1–C4. Benefits and loads beyond the system boundary should be reported separately as module D (British Standards Institution, 2011; RICS, 2024). For public-sector housing and larger private schemes within scope, clients and regulators may require WLCA at both early design and as-built stages (RICS, 2024; Welsh Government, 2021).</w:t>
      </w:r>
    </w:p>
    <w:p w14:paraId="5B602F53" w14:textId="20AB1AD3" w:rsidR="00911872" w:rsidRPr="00F34EB3" w:rsidRDefault="00C00E20" w:rsidP="00911872">
      <w:pPr>
        <w:pStyle w:val="Heading1"/>
        <w:numPr>
          <w:ilvl w:val="0"/>
          <w:numId w:val="1"/>
        </w:numPr>
        <w:rPr>
          <w:rFonts w:cs="Arial"/>
          <w:sz w:val="32"/>
          <w:szCs w:val="32"/>
        </w:rPr>
      </w:pPr>
      <w:bookmarkStart w:id="2" w:name="_Toc216033856"/>
      <w:r w:rsidRPr="00F34EB3">
        <w:rPr>
          <w:rFonts w:cs="Arial"/>
          <w:sz w:val="32"/>
          <w:szCs w:val="32"/>
        </w:rPr>
        <w:t>Relationship to Other Approved Documents</w:t>
      </w:r>
      <w:bookmarkEnd w:id="2"/>
    </w:p>
    <w:p w14:paraId="4D613589" w14:textId="78E747EC" w:rsidR="00C14B5E" w:rsidRPr="00C14B5E" w:rsidRDefault="00C14B5E" w:rsidP="00C14B5E">
      <w:pPr>
        <w:rPr>
          <w:rFonts w:cs="Arial"/>
        </w:rPr>
      </w:pPr>
      <w:r w:rsidRPr="00C14B5E">
        <w:rPr>
          <w:rFonts w:cs="Arial"/>
        </w:rPr>
        <w:t>Part Z is intended to complement, not replace, Approved Document L (Conservation of fuel and power). Part L sets standards for regulated energy use and operational carbon from modelled dwelling performance (Welsh Government, 2022a). Part Z addresses whole life carbon, using a single metric that combines embodied and operational emissions over a defined study period (RICS, 2024; UK Green Building Council, 2019).</w:t>
      </w:r>
    </w:p>
    <w:p w14:paraId="7E2D5910" w14:textId="3B0BF579" w:rsidR="00C14B5E" w:rsidRPr="00C14B5E" w:rsidRDefault="00C14B5E" w:rsidP="00C14B5E">
      <w:pPr>
        <w:rPr>
          <w:rFonts w:cs="Arial"/>
        </w:rPr>
      </w:pPr>
      <w:r w:rsidRPr="00C14B5E">
        <w:rPr>
          <w:rFonts w:cs="Arial"/>
        </w:rPr>
        <w:t>Part Z should be read alongside Part L. Following this guidance does not remove the duty to comply with relevant provisions of Part L and other functional Parts of the Building Regulations. Designers must still meet the requirements of Approved Documents F (Ventilation) and O (Overheating) so that dwellings provide adequate ventilation, good indoor air quality and a low risk of overheating, while selecting fabrics, materials and systems that minimise whole life carbon (Welsh Government, 2022b; Welsh Government, 2022c). Table Z1 in Appendix A summarises how responsibilities under Part L and Part Z are allocated through design and construction.</w:t>
      </w:r>
    </w:p>
    <w:p w14:paraId="17185EC4" w14:textId="5BBF23EA" w:rsidR="00F37328" w:rsidRPr="00F34EB3" w:rsidRDefault="00C14B5E" w:rsidP="00C14B5E">
      <w:pPr>
        <w:rPr>
          <w:rFonts w:cs="Arial"/>
        </w:rPr>
      </w:pPr>
      <w:r w:rsidRPr="00C14B5E">
        <w:rPr>
          <w:rFonts w:cs="Arial"/>
        </w:rPr>
        <w:t>This guidance sits within a wider professional and policy context: Net Zero Wales and the public sector net-zero route map, plus frameworks from UKGBC, RICS and LETI (Welsh Government, 2021; UK Green Building Council, 2019; RICS, 2024; LETI, 2020).</w:t>
      </w:r>
    </w:p>
    <w:p w14:paraId="74BA9394" w14:textId="1003C1F4" w:rsidR="00C00E20" w:rsidRPr="00F34EB3" w:rsidRDefault="00C00E20" w:rsidP="00C00E20">
      <w:pPr>
        <w:pStyle w:val="Heading1"/>
        <w:numPr>
          <w:ilvl w:val="0"/>
          <w:numId w:val="1"/>
        </w:numPr>
        <w:rPr>
          <w:rFonts w:cs="Arial"/>
          <w:sz w:val="32"/>
          <w:szCs w:val="32"/>
        </w:rPr>
      </w:pPr>
      <w:bookmarkStart w:id="3" w:name="_Toc216033857"/>
      <w:r w:rsidRPr="00F34EB3">
        <w:rPr>
          <w:rFonts w:cs="Arial"/>
          <w:sz w:val="32"/>
          <w:szCs w:val="32"/>
        </w:rPr>
        <w:t>Definitions</w:t>
      </w:r>
      <w:bookmarkEnd w:id="3"/>
    </w:p>
    <w:p w14:paraId="07ED70A0" w14:textId="2D9D2E42" w:rsidR="00157CA8" w:rsidRPr="00F34EB3" w:rsidRDefault="00A61F5A" w:rsidP="00A61F5A">
      <w:pPr>
        <w:rPr>
          <w:rFonts w:cs="Arial"/>
        </w:rPr>
      </w:pPr>
      <w:r w:rsidRPr="00F34EB3">
        <w:rPr>
          <w:rFonts w:cs="Arial"/>
          <w:color w:val="000000"/>
        </w:rPr>
        <w:t>For the purposes of this document, the terms shown are used with the specific meanings outlined in Appendix A Table Z2.</w:t>
      </w:r>
    </w:p>
    <w:p w14:paraId="505BD326" w14:textId="5046AF83" w:rsidR="00CA321D" w:rsidRPr="00F34EB3" w:rsidRDefault="00C47EDC" w:rsidP="00CA321D">
      <w:pPr>
        <w:pStyle w:val="Heading1"/>
        <w:numPr>
          <w:ilvl w:val="0"/>
          <w:numId w:val="1"/>
        </w:numPr>
        <w:rPr>
          <w:rFonts w:cs="Arial"/>
          <w:sz w:val="32"/>
          <w:szCs w:val="32"/>
        </w:rPr>
      </w:pPr>
      <w:bookmarkStart w:id="4" w:name="_Toc216033858"/>
      <w:r w:rsidRPr="00F34EB3">
        <w:rPr>
          <w:rFonts w:cs="Arial"/>
          <w:sz w:val="32"/>
          <w:szCs w:val="32"/>
        </w:rPr>
        <w:t xml:space="preserve">Requirements – Whole Life Carbon </w:t>
      </w:r>
      <w:r w:rsidR="009D36B6" w:rsidRPr="00F34EB3">
        <w:rPr>
          <w:rFonts w:cs="Arial"/>
          <w:sz w:val="32"/>
          <w:szCs w:val="32"/>
        </w:rPr>
        <w:t>Obligations</w:t>
      </w:r>
      <w:bookmarkEnd w:id="4"/>
    </w:p>
    <w:p w14:paraId="36FDB09D" w14:textId="77777777" w:rsidR="006A1861" w:rsidRPr="006A1861" w:rsidRDefault="006A1861" w:rsidP="006A1861">
      <w:pPr>
        <w:rPr>
          <w:rFonts w:cs="Arial"/>
          <w:b/>
          <w:bCs/>
        </w:rPr>
      </w:pPr>
      <w:r w:rsidRPr="006A1861">
        <w:rPr>
          <w:rFonts w:cs="Arial"/>
          <w:b/>
          <w:bCs/>
        </w:rPr>
        <w:t>4.1 General requirement</w:t>
      </w:r>
    </w:p>
    <w:p w14:paraId="269EE938" w14:textId="12D20F09" w:rsidR="006A1861" w:rsidRPr="006A1861" w:rsidRDefault="006A1861" w:rsidP="006A1861">
      <w:pPr>
        <w:rPr>
          <w:rFonts w:cs="Arial"/>
        </w:rPr>
      </w:pPr>
      <w:r w:rsidRPr="006A1861">
        <w:rPr>
          <w:rFonts w:cs="Arial"/>
        </w:rPr>
        <w:t>For buildings within scope, a Whole Life Carbon Assessment (WLCA) shall be carried out using an accepted methodology. The WLCA shall quantify and report whole life carbon impacts in a consistent metric so that options can be compared and decisions support Wales’s net-zero objectives (RICS, 2024; UK Green Building Council, 2019).</w:t>
      </w:r>
    </w:p>
    <w:p w14:paraId="3965DC71" w14:textId="77777777" w:rsidR="006A1861" w:rsidRPr="006A1861" w:rsidRDefault="006A1861" w:rsidP="006A1861">
      <w:pPr>
        <w:rPr>
          <w:rFonts w:cs="Arial"/>
          <w:b/>
          <w:bCs/>
        </w:rPr>
      </w:pPr>
      <w:r w:rsidRPr="006A1861">
        <w:rPr>
          <w:rFonts w:cs="Arial"/>
          <w:b/>
          <w:bCs/>
        </w:rPr>
        <w:t>4.2 Scope of assessment and metric</w:t>
      </w:r>
    </w:p>
    <w:p w14:paraId="45DD659E" w14:textId="63E77668" w:rsidR="006A1861" w:rsidRPr="006A1861" w:rsidRDefault="006A1861" w:rsidP="006A1861">
      <w:pPr>
        <w:rPr>
          <w:rFonts w:cs="Arial"/>
        </w:rPr>
      </w:pPr>
      <w:r w:rsidRPr="006A1861">
        <w:rPr>
          <w:rFonts w:cs="Arial"/>
        </w:rPr>
        <w:t>The requirement in paragraph 4.1 applies to all projects described in Section 1: (a) new-build residential schemes of five or more dwellings, or with a gross internal area (GIA) of 500 m² or greater; (b) any new dwelling or residential scheme that receives Welsh public-sector funding; and (c) major refurbishments or changes of use where more than 50% of the external envelope or primary structure is replaced, or the value of works exceeds 50% of the building’s replacement cost. Small-scale works and minor alterations are outside the mandatory scope but may follow this approach voluntarily.</w:t>
      </w:r>
    </w:p>
    <w:p w14:paraId="0BBEF9DD" w14:textId="05F9FC7C" w:rsidR="006A1861" w:rsidRPr="006A1861" w:rsidRDefault="006A1861" w:rsidP="006A1861">
      <w:pPr>
        <w:rPr>
          <w:rFonts w:cs="Arial"/>
        </w:rPr>
      </w:pPr>
      <w:r w:rsidRPr="006A1861">
        <w:rPr>
          <w:rFonts w:cs="Arial"/>
        </w:rPr>
        <w:t>The WLCA shall cover life-cycle modules A1–A5 (product and construction), relevant use-stage modules including B4 (replacement) and B6 (operational energy), and end-of-life modules C1–C4, with any benefits and loads beyond the system boundary reported separately as module D (British Standards Institution, 2011; RICS, 2024). Unless otherwise justified, a 60-year reference study period shall be adopted (RICS, 2024; LETI, 2020).</w:t>
      </w:r>
    </w:p>
    <w:p w14:paraId="457BD9EF" w14:textId="3A68C0DC" w:rsidR="006A1861" w:rsidRPr="006A1861" w:rsidRDefault="006A1861" w:rsidP="006A1861">
      <w:pPr>
        <w:rPr>
          <w:rFonts w:cs="Arial"/>
        </w:rPr>
      </w:pPr>
      <w:r w:rsidRPr="006A1861">
        <w:rPr>
          <w:rFonts w:cs="Arial"/>
        </w:rPr>
        <w:t xml:space="preserve">Results shall be reported as upfront carbon intensity, expressed as </w:t>
      </w:r>
      <w:proofErr w:type="spellStart"/>
      <w:r w:rsidRPr="006A1861">
        <w:rPr>
          <w:rFonts w:cs="Arial"/>
        </w:rPr>
        <w:t>kgCO</w:t>
      </w:r>
      <w:r w:rsidRPr="006A1861">
        <w:rPr>
          <w:rFonts w:ascii="Cambria Math" w:hAnsi="Cambria Math" w:cs="Cambria Math"/>
        </w:rPr>
        <w:t>₂</w:t>
      </w:r>
      <w:r w:rsidRPr="006A1861">
        <w:rPr>
          <w:rFonts w:cs="Arial"/>
        </w:rPr>
        <w:t>e</w:t>
      </w:r>
      <w:proofErr w:type="spellEnd"/>
      <w:r w:rsidRPr="006A1861">
        <w:rPr>
          <w:rFonts w:cs="Arial"/>
        </w:rPr>
        <w:t xml:space="preserve">/m² GIA for modules A1–A5; whole life carbon intensity, expressed as </w:t>
      </w:r>
      <w:proofErr w:type="spellStart"/>
      <w:r w:rsidRPr="006A1861">
        <w:rPr>
          <w:rFonts w:cs="Arial"/>
        </w:rPr>
        <w:t>kgCO</w:t>
      </w:r>
      <w:r w:rsidRPr="006A1861">
        <w:rPr>
          <w:rFonts w:ascii="Cambria Math" w:hAnsi="Cambria Math" w:cs="Cambria Math"/>
        </w:rPr>
        <w:t>₂</w:t>
      </w:r>
      <w:r w:rsidRPr="006A1861">
        <w:rPr>
          <w:rFonts w:cs="Arial"/>
        </w:rPr>
        <w:t>e</w:t>
      </w:r>
      <w:proofErr w:type="spellEnd"/>
      <w:r w:rsidRPr="006A1861">
        <w:rPr>
          <w:rFonts w:cs="Arial"/>
        </w:rPr>
        <w:t xml:space="preserve">/m² GIA for modules A1–A5, B and C combined; and total whole life carbon, as </w:t>
      </w:r>
      <w:proofErr w:type="spellStart"/>
      <w:r w:rsidRPr="006A1861">
        <w:rPr>
          <w:rFonts w:cs="Arial"/>
        </w:rPr>
        <w:t>tCO</w:t>
      </w:r>
      <w:r w:rsidRPr="006A1861">
        <w:rPr>
          <w:rFonts w:ascii="Cambria Math" w:hAnsi="Cambria Math" w:cs="Cambria Math"/>
        </w:rPr>
        <w:t>₂</w:t>
      </w:r>
      <w:r w:rsidRPr="006A1861">
        <w:rPr>
          <w:rFonts w:cs="Arial"/>
        </w:rPr>
        <w:t>e</w:t>
      </w:r>
      <w:proofErr w:type="spellEnd"/>
      <w:r w:rsidRPr="006A1861">
        <w:rPr>
          <w:rFonts w:cs="Arial"/>
        </w:rPr>
        <w:t xml:space="preserve"> for the project over the study period. These metrics shall be used consistently across all projects within scope and for each dwelling type in a multi-unit scheme (RICS, 2024).</w:t>
      </w:r>
    </w:p>
    <w:p w14:paraId="3B64862F" w14:textId="77777777" w:rsidR="006A1861" w:rsidRPr="006A1861" w:rsidRDefault="006A1861" w:rsidP="006A1861">
      <w:pPr>
        <w:rPr>
          <w:rFonts w:cs="Arial"/>
          <w:b/>
          <w:bCs/>
        </w:rPr>
      </w:pPr>
      <w:r w:rsidRPr="006A1861">
        <w:rPr>
          <w:rFonts w:cs="Arial"/>
          <w:b/>
          <w:bCs/>
        </w:rPr>
        <w:t>4.3 Methodology, documentation and staged reporting</w:t>
      </w:r>
    </w:p>
    <w:p w14:paraId="35C147D7" w14:textId="25EC74D6" w:rsidR="006A1861" w:rsidRPr="006A1861" w:rsidRDefault="006A1861" w:rsidP="006A1861">
      <w:pPr>
        <w:rPr>
          <w:rFonts w:cs="Arial"/>
        </w:rPr>
      </w:pPr>
      <w:r w:rsidRPr="006A1861">
        <w:rPr>
          <w:rFonts w:cs="Arial"/>
        </w:rPr>
        <w:t>WLCAs shall follow a recognised methodology consistent with BS EN 15978 and the RICS Whole life carbon assessment for the built environment standard (British Standards Institution, 2011; RICS, 2024). Data sources shall be clearly identified and prioritise product-specific Environmental Product Declarations (EPDs) prepared in accordance with BS EN 15804, supplemented where necessary by reputable generic datasets (British Standards Institution, 2019).</w:t>
      </w:r>
    </w:p>
    <w:p w14:paraId="52EDCB8F" w14:textId="77777777" w:rsidR="006A1861" w:rsidRPr="006A1861" w:rsidRDefault="006A1861" w:rsidP="006A1861">
      <w:pPr>
        <w:rPr>
          <w:rFonts w:cs="Arial"/>
        </w:rPr>
      </w:pPr>
      <w:r w:rsidRPr="006A1861">
        <w:rPr>
          <w:rFonts w:cs="Arial"/>
        </w:rPr>
        <w:t xml:space="preserve">The following documentation shall be prepared: a summary table of results for each dwelling type, showing GIA, upfront carbon intensity, whole life carbon intensity and total project </w:t>
      </w:r>
      <w:proofErr w:type="spellStart"/>
      <w:r w:rsidRPr="006A1861">
        <w:rPr>
          <w:rFonts w:cs="Arial"/>
        </w:rPr>
        <w:t>tCO</w:t>
      </w:r>
      <w:r w:rsidRPr="006A1861">
        <w:rPr>
          <w:rFonts w:ascii="Cambria Math" w:hAnsi="Cambria Math" w:cs="Cambria Math"/>
        </w:rPr>
        <w:t>₂</w:t>
      </w:r>
      <w:r w:rsidRPr="006A1861">
        <w:rPr>
          <w:rFonts w:cs="Arial"/>
        </w:rPr>
        <w:t>e</w:t>
      </w:r>
      <w:proofErr w:type="spellEnd"/>
      <w:r w:rsidRPr="006A1861">
        <w:rPr>
          <w:rFonts w:cs="Arial"/>
        </w:rPr>
        <w:t>; a short methodology statement confirming the tools used, the system boundary, the reference study period and alignment with BS EN 15978 / RICS guidance; and a statement of key assumptions, including service lives of major components, scenarios for repair and replacement, the grid decarbonisation trajectory used for operational energy and end-of-life scenarios (RICS, 2024; Greater London Authority, 2020).</w:t>
      </w:r>
    </w:p>
    <w:p w14:paraId="07A71F98" w14:textId="77777777" w:rsidR="006A1861" w:rsidRPr="006A1861" w:rsidRDefault="006A1861" w:rsidP="006A1861">
      <w:pPr>
        <w:rPr>
          <w:rFonts w:cs="Arial"/>
        </w:rPr>
      </w:pPr>
    </w:p>
    <w:p w14:paraId="3FBCED49" w14:textId="6A3BEF42" w:rsidR="006A1861" w:rsidRPr="006A1861" w:rsidRDefault="006A1861" w:rsidP="006A1861">
      <w:pPr>
        <w:rPr>
          <w:rFonts w:cs="Arial"/>
        </w:rPr>
      </w:pPr>
      <w:r w:rsidRPr="006A1861">
        <w:rPr>
          <w:rFonts w:cs="Arial"/>
        </w:rPr>
        <w:t>WLCAs shall be prepared at two stages. A design-stage WLCA shall be produced from design intent, indicative specifications and preliminary quantities to inform option appraisal. An as-built WLCA shall then be prepared to reflect final construction information, measured quantities and the actual products installed, providing a record of realised carbon performance (RICS, 2024; UK Green Building Council, 2019).</w:t>
      </w:r>
    </w:p>
    <w:p w14:paraId="4DE7E0A9" w14:textId="77777777" w:rsidR="006A1861" w:rsidRPr="006A1861" w:rsidRDefault="006A1861" w:rsidP="006A1861">
      <w:pPr>
        <w:rPr>
          <w:rFonts w:cs="Arial"/>
          <w:b/>
          <w:bCs/>
        </w:rPr>
      </w:pPr>
      <w:r w:rsidRPr="006A1861">
        <w:rPr>
          <w:rFonts w:cs="Arial"/>
          <w:b/>
          <w:bCs/>
        </w:rPr>
        <w:t>4.4 Performance, benchmarks, variations and responsibilities</w:t>
      </w:r>
    </w:p>
    <w:p w14:paraId="1F7E180C" w14:textId="0347DE33" w:rsidR="006A1861" w:rsidRPr="006A1861" w:rsidRDefault="006A1861" w:rsidP="006A1861">
      <w:pPr>
        <w:rPr>
          <w:rFonts w:cs="Arial"/>
        </w:rPr>
      </w:pPr>
      <w:r w:rsidRPr="006A1861">
        <w:rPr>
          <w:rFonts w:cs="Arial"/>
        </w:rPr>
        <w:t>This guidance focuses on mandatory reporting rather than fixed numerical caps for domestic projects. Compliance is achieved by submitting a WLCA that meets the requirements of Sections 4.2 and 4.3. Designers are expected to use the results to drive reduction and to compare performance against indicative benchmark bands using guidance such as LETI and the RIBA 2030 Climate Challenge (LETI, 2020; RIBA, 2021).</w:t>
      </w:r>
    </w:p>
    <w:p w14:paraId="5200A786" w14:textId="4C22F3BD" w:rsidR="006A1861" w:rsidRPr="006A1861" w:rsidRDefault="006A1861" w:rsidP="006A1861">
      <w:pPr>
        <w:rPr>
          <w:rFonts w:cs="Arial"/>
        </w:rPr>
      </w:pPr>
      <w:r w:rsidRPr="006A1861">
        <w:rPr>
          <w:rFonts w:cs="Arial"/>
        </w:rPr>
        <w:t>Any variation that changes specified materials, structural systems or major building elements that affects embodied carbon shall include an update to the WLCA, recording the increase or decrease in whole life carbon relative to the approved design. Significant increases in upfront or whole life carbon should be avoided or clearly justified in writing (RICS, 2024; Greater London Authority, 2020).</w:t>
      </w:r>
    </w:p>
    <w:p w14:paraId="3D5A5A57" w14:textId="00974520" w:rsidR="00042B42" w:rsidRPr="00F34EB3" w:rsidRDefault="006A1861" w:rsidP="006A1861">
      <w:pPr>
        <w:rPr>
          <w:rFonts w:cs="Arial"/>
        </w:rPr>
      </w:pPr>
      <w:r w:rsidRPr="006A1861">
        <w:rPr>
          <w:rFonts w:cs="Arial"/>
        </w:rPr>
        <w:t>For projects within scope, the client or principal designer shall appoint a Whole Life Carbon Coordinator to manage whole life carbon data. This role will typically be undertaken by the quantity surveyor or cost consultant, working with the design team, energy assessor and main contractor (RICS, 2024). The coordinator shall ensure that the WLCA is updated at each key stage, that assumptions are transparent and that results are provided to the client and, where required, to regulators (RICS, 2024; Welsh Government, 2021).</w:t>
      </w:r>
    </w:p>
    <w:p w14:paraId="1EE80C70" w14:textId="2FF7CB80" w:rsidR="00517E00" w:rsidRDefault="00517E00" w:rsidP="00517E00">
      <w:pPr>
        <w:pStyle w:val="Heading1"/>
        <w:numPr>
          <w:ilvl w:val="0"/>
          <w:numId w:val="1"/>
        </w:numPr>
        <w:rPr>
          <w:rFonts w:cs="Arial"/>
          <w:sz w:val="32"/>
          <w:szCs w:val="32"/>
        </w:rPr>
      </w:pPr>
      <w:bookmarkStart w:id="5" w:name="_Toc216033859"/>
      <w:r w:rsidRPr="00F34EB3">
        <w:rPr>
          <w:rFonts w:cs="Arial"/>
          <w:sz w:val="32"/>
          <w:szCs w:val="32"/>
        </w:rPr>
        <w:t>Methods of Compliance – Doing WLCA in Practice</w:t>
      </w:r>
      <w:bookmarkEnd w:id="5"/>
    </w:p>
    <w:p w14:paraId="49C01976" w14:textId="77777777" w:rsidR="00C646A5" w:rsidRPr="00C646A5" w:rsidRDefault="00C646A5" w:rsidP="00C646A5">
      <w:pPr>
        <w:rPr>
          <w:b/>
          <w:bCs/>
        </w:rPr>
      </w:pPr>
      <w:r w:rsidRPr="00C646A5">
        <w:rPr>
          <w:b/>
          <w:bCs/>
        </w:rPr>
        <w:t>5.1 General</w:t>
      </w:r>
    </w:p>
    <w:p w14:paraId="6089A579" w14:textId="4F8414D8" w:rsidR="00C646A5" w:rsidRDefault="00C646A5" w:rsidP="00C646A5">
      <w:r>
        <w:t>This section outlines recognised methods and steps for Whole Life Carbon Assessment (WLCA) in line with Section 4. Transparent assessments that follow accepted methodologies will normally be treated as demonstrating compliance, although alternative approaches may be accepted where they provide equivalent rigour and coverage (RICS, 2024; UK Green Building Council, 2019).</w:t>
      </w:r>
    </w:p>
    <w:p w14:paraId="1B9E0347" w14:textId="77777777" w:rsidR="00C646A5" w:rsidRPr="00C646A5" w:rsidRDefault="00C646A5" w:rsidP="00C646A5">
      <w:pPr>
        <w:rPr>
          <w:b/>
          <w:bCs/>
        </w:rPr>
      </w:pPr>
      <w:r w:rsidRPr="00C646A5">
        <w:rPr>
          <w:b/>
          <w:bCs/>
        </w:rPr>
        <w:t>5.2 Methodologies and standards</w:t>
      </w:r>
    </w:p>
    <w:p w14:paraId="7F5E2C3E" w14:textId="485FE622" w:rsidR="00C646A5" w:rsidRDefault="00C646A5" w:rsidP="00C646A5">
      <w:r>
        <w:t>WLCAs should follow a recognised methodology covering relevant life-cycle stages. In the UK, the reference is RICS’ Whole life carbon assessment for the built environment, used with BS EN 15978 for building-level assessment and BS EN 15804 for product-level Environmental Product Declarations (EPDs) (RICS, 2024; British Standards Institution, 2011; British Standards Institution, 2019). Frameworks such as the UKGBC Net zero carbon buildings framework and LETI’s Embodied Carbon Primer provide benchmarks; WLCAs aligned with RICS and consistent with UKGBC and LETI guidance should normally be regarded as following an accepted method (UK Green Building Council, 2019; LETI, 2020).</w:t>
      </w:r>
    </w:p>
    <w:p w14:paraId="5AD4386A" w14:textId="77777777" w:rsidR="00C646A5" w:rsidRPr="00C646A5" w:rsidRDefault="00C646A5" w:rsidP="00C646A5">
      <w:pPr>
        <w:rPr>
          <w:b/>
          <w:bCs/>
        </w:rPr>
      </w:pPr>
      <w:r w:rsidRPr="00C646A5">
        <w:rPr>
          <w:b/>
          <w:bCs/>
        </w:rPr>
        <w:t>5.3 Data, scope and metrics</w:t>
      </w:r>
    </w:p>
    <w:p w14:paraId="7EF465CB" w14:textId="69A62879" w:rsidR="00C646A5" w:rsidRDefault="00C646A5" w:rsidP="00C646A5">
      <w:r>
        <w:t xml:space="preserve">Project teams should use product-specific EPDs wherever practicable, checking declared units, life-cycle modules and validity against the WLCA scope. Where EPDs are not available, reputable generic datasets aligned with EN 15804 may be used, with limitations and assumptions clearly reported (British Standards Institution, 2019; RICS, 2024). The WLCA shall adopt a functional unit, normally </w:t>
      </w:r>
      <w:proofErr w:type="spellStart"/>
      <w:r>
        <w:t>kgCO</w:t>
      </w:r>
      <w:r>
        <w:rPr>
          <w:rFonts w:ascii="Cambria Math" w:hAnsi="Cambria Math" w:cs="Cambria Math"/>
        </w:rPr>
        <w:t>₂</w:t>
      </w:r>
      <w:r>
        <w:t>e</w:t>
      </w:r>
      <w:proofErr w:type="spellEnd"/>
      <w:r>
        <w:t xml:space="preserve"> per m</w:t>
      </w:r>
      <w:r>
        <w:rPr>
          <w:rFonts w:cs="Arial"/>
        </w:rPr>
        <w:t>²</w:t>
      </w:r>
      <w:r>
        <w:t xml:space="preserve"> gross internal area (GIA) over a 60-year assessment period (RICS, 2024; LETI, 2020). Results should report upfront carbon (A1–A5) and whole life carbon intensity (A1–A5, relevant B stages and C1–C4) in </w:t>
      </w:r>
      <w:proofErr w:type="spellStart"/>
      <w:r>
        <w:t>kgCO</w:t>
      </w:r>
      <w:r>
        <w:rPr>
          <w:rFonts w:ascii="Cambria Math" w:hAnsi="Cambria Math" w:cs="Cambria Math"/>
        </w:rPr>
        <w:t>₂</w:t>
      </w:r>
      <w:r>
        <w:t>e</w:t>
      </w:r>
      <w:proofErr w:type="spellEnd"/>
      <w:r>
        <w:t>/m</w:t>
      </w:r>
      <w:r>
        <w:rPr>
          <w:rFonts w:cs="Arial"/>
        </w:rPr>
        <w:t>²</w:t>
      </w:r>
      <w:r>
        <w:t xml:space="preserve"> GIA, plus total </w:t>
      </w:r>
      <w:proofErr w:type="spellStart"/>
      <w:r>
        <w:t>tCO</w:t>
      </w:r>
      <w:r>
        <w:rPr>
          <w:rFonts w:ascii="Cambria Math" w:hAnsi="Cambria Math" w:cs="Cambria Math"/>
        </w:rPr>
        <w:t>₂</w:t>
      </w:r>
      <w:r>
        <w:t>e</w:t>
      </w:r>
      <w:proofErr w:type="spellEnd"/>
      <w:r>
        <w:t xml:space="preserve"> for the project.</w:t>
      </w:r>
    </w:p>
    <w:p w14:paraId="00F21682" w14:textId="77777777" w:rsidR="00C646A5" w:rsidRPr="00C646A5" w:rsidRDefault="00C646A5" w:rsidP="00C646A5">
      <w:pPr>
        <w:rPr>
          <w:b/>
          <w:bCs/>
        </w:rPr>
      </w:pPr>
      <w:r w:rsidRPr="00C646A5">
        <w:rPr>
          <w:b/>
          <w:bCs/>
        </w:rPr>
        <w:t>5.4 Process, tools and models</w:t>
      </w:r>
    </w:p>
    <w:p w14:paraId="1FF4FBF2" w14:textId="00236FA3" w:rsidR="00C646A5" w:rsidRDefault="00C646A5" w:rsidP="00C646A5">
      <w:r>
        <w:t xml:space="preserve">A compliant WLCA will normally define purpose, scope, life-cycle stages and metric; assemble suitable design information; link quantities to EPDs or generic factors; calculate emissions by element and module; and express results as </w:t>
      </w:r>
      <w:proofErr w:type="spellStart"/>
      <w:r>
        <w:t>kgCO</w:t>
      </w:r>
      <w:r>
        <w:rPr>
          <w:rFonts w:ascii="Cambria Math" w:hAnsi="Cambria Math" w:cs="Cambria Math"/>
        </w:rPr>
        <w:t>₂</w:t>
      </w:r>
      <w:r>
        <w:t>e</w:t>
      </w:r>
      <w:proofErr w:type="spellEnd"/>
      <w:r>
        <w:t>/m</w:t>
      </w:r>
      <w:r>
        <w:rPr>
          <w:rFonts w:cs="Arial"/>
        </w:rPr>
        <w:t>²</w:t>
      </w:r>
      <w:r>
        <w:t xml:space="preserve"> GIA and total </w:t>
      </w:r>
      <w:proofErr w:type="spellStart"/>
      <w:r>
        <w:t>tCO</w:t>
      </w:r>
      <w:r>
        <w:rPr>
          <w:rFonts w:ascii="Cambria Math" w:hAnsi="Cambria Math" w:cs="Cambria Math"/>
        </w:rPr>
        <w:t>₂</w:t>
      </w:r>
      <w:r>
        <w:t>e</w:t>
      </w:r>
      <w:proofErr w:type="spellEnd"/>
      <w:r>
        <w:t xml:space="preserve"> (RICS, 2024). Results should then be reviewed to identify hotspots and compared with benchmark ranges such as LETI and London Plan guidance (Greater London Authority, 2020; LETI, 2020). Tools may include dedicated LCA software, BIM-integrated plug-ins or spreadsheets, provided methods follow RICS and BS EN 15978, data and assumptions are transparent, and results can be checked and re-run as the design changes (RICS, 2024; UK Green Building Council, 2019).</w:t>
      </w:r>
    </w:p>
    <w:p w14:paraId="14722844" w14:textId="77777777" w:rsidR="00C646A5" w:rsidRPr="00C646A5" w:rsidRDefault="00C646A5" w:rsidP="00C646A5">
      <w:pPr>
        <w:rPr>
          <w:b/>
          <w:bCs/>
        </w:rPr>
      </w:pPr>
      <w:r w:rsidRPr="00C646A5">
        <w:rPr>
          <w:b/>
          <w:bCs/>
        </w:rPr>
        <w:t>5.5 Assumptions, updates and performance gap</w:t>
      </w:r>
    </w:p>
    <w:p w14:paraId="216BE138" w14:textId="7A7F78C3" w:rsidR="00BA3881" w:rsidRPr="006611A9" w:rsidRDefault="00C646A5" w:rsidP="00C646A5">
      <w:r>
        <w:t>Key assumptions shall be recorded, including study period, service lives, replacement strategies and grid decarbonisation, and their influence tested through simple sensitivity checks where material (RICS, 2024; UK Green Building Council, 2019). WLCAs should be updated at concept, technical design and as-built stages, and operational carbon inputs based on credible Part L-consistent modelling, aligned where possible with RIBA 2030 and LETI targets and compared with post-occupancy data to help close the performance gap (RIBA, 2021; LETI, 2020).</w:t>
      </w:r>
    </w:p>
    <w:p w14:paraId="5F3DA344" w14:textId="4D410757" w:rsidR="00122FEA" w:rsidRDefault="008D64CE" w:rsidP="00122FEA">
      <w:pPr>
        <w:pStyle w:val="Heading1"/>
        <w:numPr>
          <w:ilvl w:val="0"/>
          <w:numId w:val="1"/>
        </w:numPr>
        <w:rPr>
          <w:rFonts w:cs="Arial"/>
          <w:sz w:val="32"/>
          <w:szCs w:val="32"/>
        </w:rPr>
      </w:pPr>
      <w:bookmarkStart w:id="6" w:name="_Toc216033860"/>
      <w:r w:rsidRPr="00F34EB3">
        <w:rPr>
          <w:rFonts w:cs="Arial"/>
          <w:sz w:val="32"/>
          <w:szCs w:val="32"/>
        </w:rPr>
        <w:t xml:space="preserve">Design Principles and Good Practice (Non-mandatory </w:t>
      </w:r>
      <w:r w:rsidR="009D36B6" w:rsidRPr="00F34EB3">
        <w:rPr>
          <w:rFonts w:cs="Arial"/>
          <w:sz w:val="32"/>
          <w:szCs w:val="32"/>
        </w:rPr>
        <w:t>Guidance)</w:t>
      </w:r>
      <w:bookmarkEnd w:id="6"/>
    </w:p>
    <w:p w14:paraId="59CB8FB9" w14:textId="77777777" w:rsidR="002B4E76" w:rsidRPr="002B4E76" w:rsidRDefault="002B4E76" w:rsidP="002B4E76">
      <w:pPr>
        <w:rPr>
          <w:b/>
          <w:bCs/>
        </w:rPr>
      </w:pPr>
      <w:r w:rsidRPr="002B4E76">
        <w:rPr>
          <w:b/>
          <w:bCs/>
        </w:rPr>
        <w:t>6.1 Advisory status</w:t>
      </w:r>
    </w:p>
    <w:p w14:paraId="7BD5CB91" w14:textId="7C859649" w:rsidR="002B4E76" w:rsidRDefault="002B4E76" w:rsidP="002B4E76">
      <w:r>
        <w:t>The design principles in this section are non-mandatory guidance on reducing whole life carbon while meeting Parts of the Building Regulations.</w:t>
      </w:r>
    </w:p>
    <w:p w14:paraId="53EF7AED" w14:textId="77777777" w:rsidR="002B4E76" w:rsidRPr="002B4E76" w:rsidRDefault="002B4E76" w:rsidP="002B4E76">
      <w:pPr>
        <w:rPr>
          <w:b/>
          <w:bCs/>
        </w:rPr>
      </w:pPr>
      <w:r w:rsidRPr="002B4E76">
        <w:rPr>
          <w:b/>
          <w:bCs/>
        </w:rPr>
        <w:t>6.2 Overall design approach</w:t>
      </w:r>
    </w:p>
    <w:p w14:paraId="659205DF" w14:textId="1D63B30C" w:rsidR="002B4E76" w:rsidRDefault="002B4E76" w:rsidP="002B4E76">
      <w:r>
        <w:t>Designers should follow an “avoid–reduce–optimise” hierarchy: avoid new build, reduce demand, optimise impacts (Arup, no date; RICS, 2024). A retrofit-first approach is encouraged; retaining structures and façades can significantly cut embodied carbon compared with demolition and rebuild (Landsec, 2021; Welsh Government, 2021).</w:t>
      </w:r>
    </w:p>
    <w:p w14:paraId="2DF831BA" w14:textId="77777777" w:rsidR="002B4E76" w:rsidRPr="002B4E76" w:rsidRDefault="002B4E76" w:rsidP="002B4E76">
      <w:pPr>
        <w:rPr>
          <w:b/>
          <w:bCs/>
        </w:rPr>
      </w:pPr>
      <w:r w:rsidRPr="002B4E76">
        <w:rPr>
          <w:b/>
          <w:bCs/>
        </w:rPr>
        <w:t>6.3 Embodied and operational strategies</w:t>
      </w:r>
    </w:p>
    <w:p w14:paraId="63B7865D" w14:textId="64CB5455" w:rsidR="002B4E76" w:rsidRDefault="002B4E76" w:rsidP="002B4E76">
      <w:r>
        <w:t>The primary structure is often the biggest source of embodied emissions, and replacing conventional concrete frames with mass timber (CLT) can cut structural carbon by around 60% (</w:t>
      </w:r>
      <w:proofErr w:type="spellStart"/>
      <w:r>
        <w:t>BioComposites</w:t>
      </w:r>
      <w:proofErr w:type="spellEnd"/>
      <w:r>
        <w:t xml:space="preserve"> Centre, 2019). Designers should consider timber or low-carbon, high-recycled-content concrete. Bio-based envelopes such as straw-bale or hemp construction can have half the embodied carbon of brick-and-block walls when well detailed (Straw-Bale Building UK, no date; </w:t>
      </w:r>
      <w:proofErr w:type="spellStart"/>
      <w:r>
        <w:t>BioComposites</w:t>
      </w:r>
      <w:proofErr w:type="spellEnd"/>
      <w:r>
        <w:t xml:space="preserve"> Centre, 2019). A fabric-first approach with efficient services and renewables, aligned with RIBA 2030 and LETI targets, remains important for operational performance (Welsh Government, 2022; RIBA, 2021; LETI, 2020).</w:t>
      </w:r>
    </w:p>
    <w:p w14:paraId="12AA844A" w14:textId="77777777" w:rsidR="002B4E76" w:rsidRPr="002B4E76" w:rsidRDefault="002B4E76" w:rsidP="002B4E76">
      <w:pPr>
        <w:rPr>
          <w:b/>
          <w:bCs/>
        </w:rPr>
      </w:pPr>
      <w:r w:rsidRPr="002B4E76">
        <w:rPr>
          <w:b/>
          <w:bCs/>
        </w:rPr>
        <w:t>6.4 Trade-offs</w:t>
      </w:r>
    </w:p>
    <w:p w14:paraId="04D98106" w14:textId="63EAB6E4" w:rsidR="002B4E76" w:rsidRDefault="002B4E76" w:rsidP="002B4E76">
      <w:r>
        <w:t>Design teams should use WLCA to test options and ensure any extra embodied carbon from fabric or systems is justified by lifetime energy savings, using evidence on embodied–operational trade-offs (Giordano et al., 2017; MDPI Sustainability, 2023).</w:t>
      </w:r>
    </w:p>
    <w:p w14:paraId="273783FF" w14:textId="77777777" w:rsidR="002B4E76" w:rsidRPr="002B4E76" w:rsidRDefault="002B4E76" w:rsidP="002B4E76">
      <w:pPr>
        <w:rPr>
          <w:b/>
          <w:bCs/>
        </w:rPr>
      </w:pPr>
      <w:r w:rsidRPr="002B4E76">
        <w:rPr>
          <w:b/>
          <w:bCs/>
        </w:rPr>
        <w:t>6.5 Performance gap</w:t>
      </w:r>
    </w:p>
    <w:p w14:paraId="0F485F52" w14:textId="19C324A6" w:rsidR="002B4E76" w:rsidRDefault="002B4E76" w:rsidP="002B4E76">
      <w:r>
        <w:t>Teams should also allow for the performance gap: many buildings use more energy in practice than predicted, so B6–B7 inputs should rely on robust modelling and, where possible, post-occupancy data (Li et al., 2023; RICS, 2024).</w:t>
      </w:r>
    </w:p>
    <w:p w14:paraId="667D90F9" w14:textId="77777777" w:rsidR="002B4E76" w:rsidRPr="002B4E76" w:rsidRDefault="002B4E76" w:rsidP="002B4E76">
      <w:pPr>
        <w:rPr>
          <w:b/>
          <w:bCs/>
        </w:rPr>
      </w:pPr>
      <w:r w:rsidRPr="002B4E76">
        <w:rPr>
          <w:b/>
          <w:bCs/>
        </w:rPr>
        <w:t>6.6 Illustrative examples and benchmarks</w:t>
      </w:r>
    </w:p>
    <w:p w14:paraId="37830456" w14:textId="7F231B8E" w:rsidR="00B66E42" w:rsidRPr="00B66E42" w:rsidRDefault="002B4E76" w:rsidP="002B4E76">
      <w:r>
        <w:t>Non-mandatory examples of design moves and whole life carbon impacts are provided in Tables Z4 and Z5 in Appendix A. They show how structural reuse, mass timber, bio-based materials, MMC and fabric-first design reduce whole life carbon while remaining compatible with regulatory requirements (Landsec, 2021; Vale of Glamorgan Council, 2021)</w:t>
      </w:r>
      <w:r w:rsidR="00B66E42">
        <w:t>.</w:t>
      </w:r>
    </w:p>
    <w:p w14:paraId="42C42CB7" w14:textId="6CE99745" w:rsidR="00331D30" w:rsidRDefault="00AB0586" w:rsidP="00331D30">
      <w:pPr>
        <w:pStyle w:val="Heading1"/>
        <w:numPr>
          <w:ilvl w:val="0"/>
          <w:numId w:val="1"/>
        </w:numPr>
        <w:rPr>
          <w:rFonts w:cs="Arial"/>
          <w:sz w:val="32"/>
          <w:szCs w:val="32"/>
        </w:rPr>
      </w:pPr>
      <w:bookmarkStart w:id="7" w:name="_Toc216033861"/>
      <w:r w:rsidRPr="00F34EB3">
        <w:rPr>
          <w:rFonts w:cs="Arial"/>
          <w:sz w:val="32"/>
          <w:szCs w:val="32"/>
        </w:rPr>
        <w:t>Implementation and Transitional Arrangement</w:t>
      </w:r>
      <w:r w:rsidR="00D24703" w:rsidRPr="00F34EB3">
        <w:rPr>
          <w:rFonts w:cs="Arial"/>
          <w:sz w:val="32"/>
          <w:szCs w:val="32"/>
        </w:rPr>
        <w:t>s</w:t>
      </w:r>
      <w:bookmarkEnd w:id="7"/>
    </w:p>
    <w:p w14:paraId="7C7D85A8" w14:textId="6C8B70C5" w:rsidR="001D410A" w:rsidRPr="00351D6B" w:rsidRDefault="001D410A" w:rsidP="001D410A">
      <w:pPr>
        <w:rPr>
          <w:b/>
          <w:bCs/>
        </w:rPr>
      </w:pPr>
      <w:r w:rsidRPr="001D410A">
        <w:rPr>
          <w:b/>
          <w:bCs/>
        </w:rPr>
        <w:t>7.1 Phased introduction</w:t>
      </w:r>
      <w:r w:rsidRPr="00A47149">
        <w:br/>
        <w:t>Bringing whole life carbon assessment into the Welsh regulatory framework will require a phased approach, so that industry can develop the necessary skills, tools and data. In the first phase, WLCA would be required as a reporting-only obligation for relevant new dwellings and major refurbishments, using recognised methods such as RICS WLCA and EN 15978, but without mandatory caps. In a later phase, Welsh Ministers may introduce indicative benchmarks or limits, informed by collected data, Net Zero Wales trajectories and public sector net-zero commitments (Welsh Government, 2021; RICS, 2024; UKGBC, 2019).</w:t>
      </w:r>
    </w:p>
    <w:p w14:paraId="48354BF9" w14:textId="1C28557A" w:rsidR="001D410A" w:rsidRPr="00351D6B" w:rsidRDefault="001D410A" w:rsidP="001D410A">
      <w:pPr>
        <w:rPr>
          <w:b/>
          <w:bCs/>
        </w:rPr>
      </w:pPr>
      <w:r w:rsidRPr="001D410A">
        <w:rPr>
          <w:b/>
          <w:bCs/>
        </w:rPr>
        <w:t>7.2 Transitional projects</w:t>
      </w:r>
      <w:r w:rsidRPr="00A47149">
        <w:br/>
        <w:t>New requirements should normally apply to building work where the initial notice, full plans application or equivalent is submitted on or after a specified commencement date. Projects that have already reached an advanced stage of design or secured planning permission by that date may be:</w:t>
      </w:r>
    </w:p>
    <w:p w14:paraId="3FB071D7" w14:textId="77777777" w:rsidR="001D410A" w:rsidRPr="001D410A" w:rsidRDefault="001D410A" w:rsidP="001D410A">
      <w:pPr>
        <w:numPr>
          <w:ilvl w:val="0"/>
          <w:numId w:val="34"/>
        </w:numPr>
      </w:pPr>
      <w:r w:rsidRPr="001D410A">
        <w:t>exempt from WLCA obligations; or</w:t>
      </w:r>
    </w:p>
    <w:p w14:paraId="6F0C0B89" w14:textId="77777777" w:rsidR="001D410A" w:rsidRPr="001D410A" w:rsidRDefault="001D410A" w:rsidP="001D410A">
      <w:pPr>
        <w:numPr>
          <w:ilvl w:val="0"/>
          <w:numId w:val="34"/>
        </w:numPr>
      </w:pPr>
      <w:r w:rsidRPr="001D410A">
        <w:t>subject only to reporting, where proportionate information can be provided without significant redesign.</w:t>
      </w:r>
    </w:p>
    <w:p w14:paraId="3C237D15" w14:textId="77777777" w:rsidR="001D410A" w:rsidRPr="001D410A" w:rsidRDefault="001D410A" w:rsidP="001D410A">
      <w:r w:rsidRPr="001D410A">
        <w:t>This mirrors the approach taken for recent uplifts to Part L, where transitional arrangements balanced carbon ambition with deliverability (Welsh Government, 2022a; Greater London Authority, 2020).</w:t>
      </w:r>
    </w:p>
    <w:p w14:paraId="2BAF0928" w14:textId="178FDE93" w:rsidR="001D410A" w:rsidRPr="00351D6B" w:rsidRDefault="001D410A" w:rsidP="0044001A">
      <w:pPr>
        <w:rPr>
          <w:b/>
          <w:bCs/>
        </w:rPr>
      </w:pPr>
      <w:r w:rsidRPr="001D410A">
        <w:rPr>
          <w:b/>
          <w:bCs/>
        </w:rPr>
        <w:t>7.3 Support, capacity-building and review</w:t>
      </w:r>
      <w:r w:rsidRPr="00A47149">
        <w:br/>
        <w:t>To support implementation, the Welsh Government should publish templates, worked examples and supplementary guidance, and work with professional bodies to provide training for Whole Life Carbon Coordinators and design teams. The operation of this Approved Document should be kept under review and updated periodically as UK benchmarks, databases and net zero building standards evolve, and as Welsh project data becomes available through programmes such as the Net Zero public sector route map (Welsh Government, 2021; RICS, 2024; LETI, 2020).</w:t>
      </w:r>
      <w:r w:rsidR="0044001A" w:rsidRPr="0044001A">
        <w:t xml:space="preserve"> </w:t>
      </w:r>
    </w:p>
    <w:p w14:paraId="316A19AF" w14:textId="662C09C5" w:rsidR="00846356" w:rsidRPr="00F34EB3" w:rsidRDefault="00846356" w:rsidP="00846356">
      <w:pPr>
        <w:pStyle w:val="Heading1"/>
        <w:numPr>
          <w:ilvl w:val="0"/>
          <w:numId w:val="1"/>
        </w:numPr>
        <w:rPr>
          <w:rFonts w:cs="Arial"/>
          <w:sz w:val="32"/>
          <w:szCs w:val="32"/>
        </w:rPr>
      </w:pPr>
      <w:bookmarkStart w:id="8" w:name="_Toc216033862"/>
      <w:r w:rsidRPr="00F34EB3">
        <w:rPr>
          <w:rFonts w:cs="Arial"/>
          <w:sz w:val="32"/>
          <w:szCs w:val="32"/>
        </w:rPr>
        <w:t>Appendi</w:t>
      </w:r>
      <w:r w:rsidR="008B51C5" w:rsidRPr="00F34EB3">
        <w:rPr>
          <w:rFonts w:cs="Arial"/>
          <w:sz w:val="32"/>
          <w:szCs w:val="32"/>
        </w:rPr>
        <w:t>x A</w:t>
      </w:r>
      <w:bookmarkEnd w:id="8"/>
    </w:p>
    <w:tbl>
      <w:tblPr>
        <w:tblStyle w:val="TableGridLight"/>
        <w:tblW w:w="0" w:type="auto"/>
        <w:tblLook w:val="04A0" w:firstRow="1" w:lastRow="0" w:firstColumn="1" w:lastColumn="0" w:noHBand="0" w:noVBand="1"/>
      </w:tblPr>
      <w:tblGrid>
        <w:gridCol w:w="1715"/>
        <w:gridCol w:w="3305"/>
        <w:gridCol w:w="5436"/>
      </w:tblGrid>
      <w:tr w:rsidR="008B51C5" w:rsidRPr="00F34EB3" w14:paraId="6D090A15" w14:textId="77777777" w:rsidTr="008B51C5">
        <w:tc>
          <w:tcPr>
            <w:tcW w:w="0" w:type="auto"/>
            <w:hideMark/>
          </w:tcPr>
          <w:p w14:paraId="56FB26E6" w14:textId="77777777" w:rsidR="008B51C5" w:rsidRPr="00F34EB3" w:rsidRDefault="008B51C5" w:rsidP="008B51C5">
            <w:pPr>
              <w:spacing w:after="160" w:line="259" w:lineRule="auto"/>
              <w:rPr>
                <w:rFonts w:cs="Arial"/>
                <w:b/>
                <w:bCs/>
              </w:rPr>
            </w:pPr>
            <w:r w:rsidRPr="00F34EB3">
              <w:rPr>
                <w:rFonts w:cs="Arial"/>
                <w:b/>
                <w:bCs/>
              </w:rPr>
              <w:t>Aspect</w:t>
            </w:r>
          </w:p>
        </w:tc>
        <w:tc>
          <w:tcPr>
            <w:tcW w:w="0" w:type="auto"/>
            <w:hideMark/>
          </w:tcPr>
          <w:p w14:paraId="7C103160" w14:textId="77777777" w:rsidR="008B51C5" w:rsidRPr="00F34EB3" w:rsidRDefault="008B51C5" w:rsidP="008B51C5">
            <w:pPr>
              <w:spacing w:after="160" w:line="259" w:lineRule="auto"/>
              <w:rPr>
                <w:rFonts w:cs="Arial"/>
                <w:b/>
                <w:bCs/>
              </w:rPr>
            </w:pPr>
            <w:r w:rsidRPr="00F34EB3">
              <w:rPr>
                <w:rFonts w:cs="Arial"/>
                <w:b/>
                <w:bCs/>
              </w:rPr>
              <w:t>Part L (Wales) – Conservation of fuel and power</w:t>
            </w:r>
          </w:p>
        </w:tc>
        <w:tc>
          <w:tcPr>
            <w:tcW w:w="0" w:type="auto"/>
            <w:hideMark/>
          </w:tcPr>
          <w:p w14:paraId="14431854" w14:textId="77777777" w:rsidR="008B51C5" w:rsidRPr="00F34EB3" w:rsidRDefault="008B51C5" w:rsidP="008B51C5">
            <w:pPr>
              <w:spacing w:after="160" w:line="259" w:lineRule="auto"/>
              <w:rPr>
                <w:rFonts w:cs="Arial"/>
                <w:b/>
                <w:bCs/>
              </w:rPr>
            </w:pPr>
            <w:r w:rsidRPr="00F34EB3">
              <w:rPr>
                <w:rFonts w:cs="Arial"/>
                <w:b/>
                <w:bCs/>
              </w:rPr>
              <w:t>Proposed Part Z – Whole life carbon for dwellings</w:t>
            </w:r>
          </w:p>
        </w:tc>
      </w:tr>
      <w:tr w:rsidR="008B51C5" w:rsidRPr="00F34EB3" w14:paraId="7BA3D0B2" w14:textId="77777777" w:rsidTr="008B51C5">
        <w:tc>
          <w:tcPr>
            <w:tcW w:w="0" w:type="auto"/>
            <w:hideMark/>
          </w:tcPr>
          <w:p w14:paraId="0ED4B0FB" w14:textId="77777777" w:rsidR="008B51C5" w:rsidRPr="00F34EB3" w:rsidRDefault="008B51C5" w:rsidP="008B51C5">
            <w:pPr>
              <w:spacing w:after="160" w:line="259" w:lineRule="auto"/>
              <w:rPr>
                <w:rFonts w:cs="Arial"/>
              </w:rPr>
            </w:pPr>
            <w:r w:rsidRPr="00F34EB3">
              <w:rPr>
                <w:rFonts w:cs="Arial"/>
              </w:rPr>
              <w:t>Primary regulatory focus</w:t>
            </w:r>
          </w:p>
        </w:tc>
        <w:tc>
          <w:tcPr>
            <w:tcW w:w="0" w:type="auto"/>
            <w:hideMark/>
          </w:tcPr>
          <w:p w14:paraId="10964FA6" w14:textId="77777777" w:rsidR="008B51C5" w:rsidRPr="00F34EB3" w:rsidRDefault="008B51C5" w:rsidP="008B51C5">
            <w:pPr>
              <w:spacing w:after="160" w:line="259" w:lineRule="auto"/>
              <w:rPr>
                <w:rFonts w:cs="Arial"/>
              </w:rPr>
            </w:pPr>
            <w:r w:rsidRPr="00F34EB3">
              <w:rPr>
                <w:rFonts w:cs="Arial"/>
              </w:rPr>
              <w:t>Regulated operational energy demand and associated CO</w:t>
            </w:r>
            <w:r w:rsidRPr="00F34EB3">
              <w:rPr>
                <w:rFonts w:ascii="Cambria Math" w:hAnsi="Cambria Math" w:cs="Cambria Math"/>
              </w:rPr>
              <w:t>₂</w:t>
            </w:r>
            <w:r w:rsidRPr="00F34EB3">
              <w:rPr>
                <w:rFonts w:cs="Arial"/>
              </w:rPr>
              <w:t xml:space="preserve"> emissions during use (Welsh Government, 2022a).</w:t>
            </w:r>
          </w:p>
        </w:tc>
        <w:tc>
          <w:tcPr>
            <w:tcW w:w="0" w:type="auto"/>
            <w:hideMark/>
          </w:tcPr>
          <w:p w14:paraId="717A4B33" w14:textId="77777777" w:rsidR="008B51C5" w:rsidRPr="00F34EB3" w:rsidRDefault="008B51C5" w:rsidP="008B51C5">
            <w:pPr>
              <w:spacing w:after="160" w:line="259" w:lineRule="auto"/>
              <w:rPr>
                <w:rFonts w:cs="Arial"/>
              </w:rPr>
            </w:pPr>
            <w:r w:rsidRPr="00F34EB3">
              <w:rPr>
                <w:rFonts w:cs="Arial"/>
              </w:rPr>
              <w:t>Whole life greenhouse gas emissions from construction products, construction processes, use, replacement and end-of-life, expressed per m² over a defined study period (Royal Institution of Chartered Surveyors, 2023).</w:t>
            </w:r>
          </w:p>
        </w:tc>
      </w:tr>
      <w:tr w:rsidR="008B51C5" w:rsidRPr="00F34EB3" w14:paraId="3C9E81BC" w14:textId="77777777" w:rsidTr="008B51C5">
        <w:tc>
          <w:tcPr>
            <w:tcW w:w="0" w:type="auto"/>
            <w:hideMark/>
          </w:tcPr>
          <w:p w14:paraId="568A2F87" w14:textId="77777777" w:rsidR="008B51C5" w:rsidRPr="00F34EB3" w:rsidRDefault="008B51C5" w:rsidP="008B51C5">
            <w:pPr>
              <w:spacing w:after="160" w:line="259" w:lineRule="auto"/>
              <w:rPr>
                <w:rFonts w:cs="Arial"/>
              </w:rPr>
            </w:pPr>
            <w:r w:rsidRPr="00F34EB3">
              <w:rPr>
                <w:rFonts w:cs="Arial"/>
              </w:rPr>
              <w:t>Main metric</w:t>
            </w:r>
          </w:p>
        </w:tc>
        <w:tc>
          <w:tcPr>
            <w:tcW w:w="0" w:type="auto"/>
            <w:hideMark/>
          </w:tcPr>
          <w:p w14:paraId="0E4E396B" w14:textId="77777777" w:rsidR="008B51C5" w:rsidRPr="00F34EB3" w:rsidRDefault="008B51C5" w:rsidP="008B51C5">
            <w:pPr>
              <w:spacing w:after="160" w:line="259" w:lineRule="auto"/>
              <w:rPr>
                <w:rFonts w:cs="Arial"/>
              </w:rPr>
            </w:pPr>
            <w:r w:rsidRPr="00F34EB3">
              <w:rPr>
                <w:rFonts w:cs="Arial"/>
              </w:rPr>
              <w:t>Modelled delivered energy and CO</w:t>
            </w:r>
            <w:r w:rsidRPr="00F34EB3">
              <w:rPr>
                <w:rFonts w:ascii="Cambria Math" w:hAnsi="Cambria Math" w:cs="Cambria Math"/>
              </w:rPr>
              <w:t>₂</w:t>
            </w:r>
            <w:r w:rsidRPr="00F34EB3">
              <w:rPr>
                <w:rFonts w:cs="Arial"/>
              </w:rPr>
              <w:t xml:space="preserve"> (e.g. kWh/m²·year, </w:t>
            </w:r>
            <w:proofErr w:type="spellStart"/>
            <w:r w:rsidRPr="00F34EB3">
              <w:rPr>
                <w:rFonts w:cs="Arial"/>
              </w:rPr>
              <w:t>kgCO</w:t>
            </w:r>
            <w:r w:rsidRPr="00F34EB3">
              <w:rPr>
                <w:rFonts w:ascii="Cambria Math" w:hAnsi="Cambria Math" w:cs="Cambria Math"/>
              </w:rPr>
              <w:t>₂</w:t>
            </w:r>
            <w:r w:rsidRPr="00F34EB3">
              <w:rPr>
                <w:rFonts w:cs="Arial"/>
              </w:rPr>
              <w:t>e</w:t>
            </w:r>
            <w:proofErr w:type="spellEnd"/>
            <w:r w:rsidRPr="00F34EB3">
              <w:rPr>
                <w:rFonts w:cs="Arial"/>
              </w:rPr>
              <w:t>/year) from SAP or equivalent compliance tools.</w:t>
            </w:r>
          </w:p>
        </w:tc>
        <w:tc>
          <w:tcPr>
            <w:tcW w:w="0" w:type="auto"/>
            <w:hideMark/>
          </w:tcPr>
          <w:p w14:paraId="69FD7C82" w14:textId="77777777" w:rsidR="008B51C5" w:rsidRPr="00F34EB3" w:rsidRDefault="008B51C5" w:rsidP="008B51C5">
            <w:pPr>
              <w:spacing w:after="160" w:line="259" w:lineRule="auto"/>
              <w:rPr>
                <w:rFonts w:cs="Arial"/>
              </w:rPr>
            </w:pPr>
            <w:r w:rsidRPr="00F34EB3">
              <w:rPr>
                <w:rFonts w:cs="Arial"/>
              </w:rPr>
              <w:t>Whole life carbon intensity (</w:t>
            </w:r>
            <w:proofErr w:type="spellStart"/>
            <w:r w:rsidRPr="00F34EB3">
              <w:rPr>
                <w:rFonts w:cs="Arial"/>
              </w:rPr>
              <w:t>kgCO</w:t>
            </w:r>
            <w:r w:rsidRPr="00F34EB3">
              <w:rPr>
                <w:rFonts w:ascii="Cambria Math" w:hAnsi="Cambria Math" w:cs="Cambria Math"/>
              </w:rPr>
              <w:t>₂</w:t>
            </w:r>
            <w:r w:rsidRPr="00F34EB3">
              <w:rPr>
                <w:rFonts w:cs="Arial"/>
              </w:rPr>
              <w:t>e</w:t>
            </w:r>
            <w:proofErr w:type="spellEnd"/>
            <w:r w:rsidRPr="00F34EB3">
              <w:rPr>
                <w:rFonts w:cs="Arial"/>
              </w:rPr>
              <w:t>/m² GIA over 60 years or other agreed period), based on WLCA in line with RICS/EN 15978 (Royal Institution of Chartered Surveyors, 2023; UK Green Building Council, 2019).</w:t>
            </w:r>
          </w:p>
        </w:tc>
      </w:tr>
      <w:tr w:rsidR="008B51C5" w:rsidRPr="00F34EB3" w14:paraId="633E3175" w14:textId="77777777" w:rsidTr="008B51C5">
        <w:tc>
          <w:tcPr>
            <w:tcW w:w="0" w:type="auto"/>
            <w:hideMark/>
          </w:tcPr>
          <w:p w14:paraId="27E3E277" w14:textId="77777777" w:rsidR="008B51C5" w:rsidRPr="00F34EB3" w:rsidRDefault="008B51C5" w:rsidP="008B51C5">
            <w:pPr>
              <w:spacing w:after="160" w:line="259" w:lineRule="auto"/>
              <w:rPr>
                <w:rFonts w:cs="Arial"/>
              </w:rPr>
            </w:pPr>
            <w:r w:rsidRPr="00F34EB3">
              <w:rPr>
                <w:rFonts w:cs="Arial"/>
              </w:rPr>
              <w:t>Emissions included</w:t>
            </w:r>
          </w:p>
        </w:tc>
        <w:tc>
          <w:tcPr>
            <w:tcW w:w="0" w:type="auto"/>
            <w:hideMark/>
          </w:tcPr>
          <w:p w14:paraId="6C73A88C" w14:textId="77777777" w:rsidR="008B51C5" w:rsidRPr="00F34EB3" w:rsidRDefault="008B51C5" w:rsidP="008B51C5">
            <w:pPr>
              <w:spacing w:after="160" w:line="259" w:lineRule="auto"/>
              <w:rPr>
                <w:rFonts w:cs="Arial"/>
              </w:rPr>
            </w:pPr>
            <w:r w:rsidRPr="00F34EB3">
              <w:rPr>
                <w:rFonts w:cs="Arial"/>
              </w:rPr>
              <w:t>Regulated operational energy (space heating, hot water, fixed lighting, pumps/fans, some auxiliary loads).</w:t>
            </w:r>
          </w:p>
        </w:tc>
        <w:tc>
          <w:tcPr>
            <w:tcW w:w="0" w:type="auto"/>
            <w:hideMark/>
          </w:tcPr>
          <w:p w14:paraId="2C160157" w14:textId="77777777" w:rsidR="008B51C5" w:rsidRPr="00F34EB3" w:rsidRDefault="008B51C5" w:rsidP="008B51C5">
            <w:pPr>
              <w:spacing w:after="160" w:line="259" w:lineRule="auto"/>
              <w:rPr>
                <w:rFonts w:cs="Arial"/>
              </w:rPr>
            </w:pPr>
            <w:r w:rsidRPr="00F34EB3">
              <w:rPr>
                <w:rFonts w:cs="Arial"/>
              </w:rPr>
              <w:t>Upfront embodied carbon (A1–A5), selected use-stage impacts (e.g. B4, B6), end-of-life (C1–C4), with benefits/loads beyond the system boundary reported as D.</w:t>
            </w:r>
          </w:p>
        </w:tc>
      </w:tr>
      <w:tr w:rsidR="008B51C5" w:rsidRPr="00F34EB3" w14:paraId="7BAC87F7" w14:textId="77777777" w:rsidTr="008B51C5">
        <w:tc>
          <w:tcPr>
            <w:tcW w:w="0" w:type="auto"/>
            <w:hideMark/>
          </w:tcPr>
          <w:p w14:paraId="63FC40F3" w14:textId="77777777" w:rsidR="008B51C5" w:rsidRPr="00F34EB3" w:rsidRDefault="008B51C5" w:rsidP="008B51C5">
            <w:pPr>
              <w:spacing w:after="160" w:line="259" w:lineRule="auto"/>
              <w:rPr>
                <w:rFonts w:cs="Arial"/>
              </w:rPr>
            </w:pPr>
            <w:r w:rsidRPr="00F34EB3">
              <w:rPr>
                <w:rFonts w:cs="Arial"/>
              </w:rPr>
              <w:t>Design-stage emphasis</w:t>
            </w:r>
          </w:p>
        </w:tc>
        <w:tc>
          <w:tcPr>
            <w:tcW w:w="0" w:type="auto"/>
            <w:hideMark/>
          </w:tcPr>
          <w:p w14:paraId="5F54963F" w14:textId="77777777" w:rsidR="008B51C5" w:rsidRPr="00F34EB3" w:rsidRDefault="008B51C5" w:rsidP="008B51C5">
            <w:pPr>
              <w:spacing w:after="160" w:line="259" w:lineRule="auto"/>
              <w:rPr>
                <w:rFonts w:cs="Arial"/>
              </w:rPr>
            </w:pPr>
            <w:r w:rsidRPr="00F34EB3">
              <w:rPr>
                <w:rFonts w:cs="Arial"/>
              </w:rPr>
              <w:t>Fabric efficiency, services efficiency, low-carbon heat, limitation of thermal bridges and air leakage (Welsh Government, 2022a).</w:t>
            </w:r>
          </w:p>
        </w:tc>
        <w:tc>
          <w:tcPr>
            <w:tcW w:w="0" w:type="auto"/>
            <w:hideMark/>
          </w:tcPr>
          <w:p w14:paraId="4B14E546" w14:textId="77777777" w:rsidR="008B51C5" w:rsidRPr="00F34EB3" w:rsidRDefault="008B51C5" w:rsidP="008B51C5">
            <w:pPr>
              <w:spacing w:after="160" w:line="259" w:lineRule="auto"/>
              <w:rPr>
                <w:rFonts w:cs="Arial"/>
              </w:rPr>
            </w:pPr>
            <w:r w:rsidRPr="00F34EB3">
              <w:rPr>
                <w:rFonts w:cs="Arial"/>
              </w:rPr>
              <w:t>Material selection, structural and fabric strategies, repair/replacement cycles, circularity and end-of-life strategies to minimise whole life carbon while remaining compliant with Parts L, F, O and others (UK Green Building Council, 2019; LETI, 2020).</w:t>
            </w:r>
          </w:p>
        </w:tc>
      </w:tr>
      <w:tr w:rsidR="008B51C5" w:rsidRPr="00F34EB3" w14:paraId="682CC855" w14:textId="77777777" w:rsidTr="008B51C5">
        <w:tc>
          <w:tcPr>
            <w:tcW w:w="0" w:type="auto"/>
            <w:hideMark/>
          </w:tcPr>
          <w:p w14:paraId="24E91142" w14:textId="77777777" w:rsidR="008B51C5" w:rsidRPr="00F34EB3" w:rsidRDefault="008B51C5" w:rsidP="008B51C5">
            <w:pPr>
              <w:spacing w:after="160" w:line="259" w:lineRule="auto"/>
              <w:rPr>
                <w:rFonts w:cs="Arial"/>
              </w:rPr>
            </w:pPr>
            <w:r w:rsidRPr="00F34EB3">
              <w:rPr>
                <w:rFonts w:cs="Arial"/>
              </w:rPr>
              <w:t>Key compliance outputs</w:t>
            </w:r>
          </w:p>
        </w:tc>
        <w:tc>
          <w:tcPr>
            <w:tcW w:w="0" w:type="auto"/>
            <w:hideMark/>
          </w:tcPr>
          <w:p w14:paraId="1C47D4A4" w14:textId="77777777" w:rsidR="008B51C5" w:rsidRPr="00F34EB3" w:rsidRDefault="008B51C5" w:rsidP="008B51C5">
            <w:pPr>
              <w:spacing w:after="160" w:line="259" w:lineRule="auto"/>
              <w:rPr>
                <w:rFonts w:cs="Arial"/>
              </w:rPr>
            </w:pPr>
            <w:r w:rsidRPr="00F34EB3">
              <w:rPr>
                <w:rFonts w:cs="Arial"/>
              </w:rPr>
              <w:t>SAP calculations, Building Regulations compliance reports, as-built EPCs and air-tightness test results.</w:t>
            </w:r>
          </w:p>
        </w:tc>
        <w:tc>
          <w:tcPr>
            <w:tcW w:w="0" w:type="auto"/>
            <w:hideMark/>
          </w:tcPr>
          <w:p w14:paraId="0AB54BE2" w14:textId="77777777" w:rsidR="008B51C5" w:rsidRPr="00F34EB3" w:rsidRDefault="008B51C5" w:rsidP="008B51C5">
            <w:pPr>
              <w:spacing w:after="160" w:line="259" w:lineRule="auto"/>
              <w:rPr>
                <w:rFonts w:cs="Arial"/>
              </w:rPr>
            </w:pPr>
            <w:r w:rsidRPr="00F34EB3">
              <w:rPr>
                <w:rFonts w:cs="Arial"/>
              </w:rPr>
              <w:t>Whole Life Carbon Assessment report at design and as-built stages, including lifecycle breakdown, key assumptions and summary WLC intensity figure for each dwelling type.</w:t>
            </w:r>
          </w:p>
        </w:tc>
      </w:tr>
      <w:tr w:rsidR="008B51C5" w:rsidRPr="00F34EB3" w14:paraId="183998F0" w14:textId="77777777" w:rsidTr="008B51C5">
        <w:tc>
          <w:tcPr>
            <w:tcW w:w="0" w:type="auto"/>
            <w:hideMark/>
          </w:tcPr>
          <w:p w14:paraId="190E5DAA" w14:textId="77777777" w:rsidR="008B51C5" w:rsidRPr="00F34EB3" w:rsidRDefault="008B51C5" w:rsidP="008B51C5">
            <w:pPr>
              <w:spacing w:after="160" w:line="259" w:lineRule="auto"/>
              <w:rPr>
                <w:rFonts w:cs="Arial"/>
              </w:rPr>
            </w:pPr>
            <w:r w:rsidRPr="00F34EB3">
              <w:rPr>
                <w:rFonts w:cs="Arial"/>
              </w:rPr>
              <w:t>Typical lead professional</w:t>
            </w:r>
          </w:p>
        </w:tc>
        <w:tc>
          <w:tcPr>
            <w:tcW w:w="0" w:type="auto"/>
            <w:hideMark/>
          </w:tcPr>
          <w:p w14:paraId="572C151A" w14:textId="77777777" w:rsidR="008B51C5" w:rsidRPr="00F34EB3" w:rsidRDefault="008B51C5" w:rsidP="008B51C5">
            <w:pPr>
              <w:spacing w:after="160" w:line="259" w:lineRule="auto"/>
              <w:rPr>
                <w:rFonts w:cs="Arial"/>
              </w:rPr>
            </w:pPr>
            <w:r w:rsidRPr="00F34EB3">
              <w:rPr>
                <w:rFonts w:cs="Arial"/>
              </w:rPr>
              <w:t>Energy / SAP assessor, supported by the design team and contractor.</w:t>
            </w:r>
          </w:p>
        </w:tc>
        <w:tc>
          <w:tcPr>
            <w:tcW w:w="0" w:type="auto"/>
            <w:hideMark/>
          </w:tcPr>
          <w:p w14:paraId="51327830" w14:textId="77777777" w:rsidR="008B51C5" w:rsidRPr="00F34EB3" w:rsidRDefault="008B51C5" w:rsidP="008B51C5">
            <w:pPr>
              <w:spacing w:after="160" w:line="259" w:lineRule="auto"/>
              <w:rPr>
                <w:rFonts w:cs="Arial"/>
              </w:rPr>
            </w:pPr>
            <w:r w:rsidRPr="00F34EB3">
              <w:rPr>
                <w:rFonts w:cs="Arial"/>
              </w:rPr>
              <w:t>Whole Life Carbon Coordinator (often the quantity surveyor or cost consultant) supported by designers, product suppliers and the energy assessor (Royal Institution of Chartered Surveyors, 2023).</w:t>
            </w:r>
          </w:p>
        </w:tc>
      </w:tr>
      <w:tr w:rsidR="008B51C5" w:rsidRPr="00F34EB3" w14:paraId="39C2F39D" w14:textId="77777777" w:rsidTr="008B51C5">
        <w:tc>
          <w:tcPr>
            <w:tcW w:w="0" w:type="auto"/>
            <w:hideMark/>
          </w:tcPr>
          <w:p w14:paraId="74ACFE4F" w14:textId="77777777" w:rsidR="008B51C5" w:rsidRPr="00F34EB3" w:rsidRDefault="008B51C5" w:rsidP="008B51C5">
            <w:pPr>
              <w:spacing w:after="160" w:line="259" w:lineRule="auto"/>
              <w:rPr>
                <w:rFonts w:cs="Arial"/>
              </w:rPr>
            </w:pPr>
            <w:r w:rsidRPr="00F34EB3">
              <w:rPr>
                <w:rFonts w:cs="Arial"/>
              </w:rPr>
              <w:t>Relationship to planning / policy</w:t>
            </w:r>
          </w:p>
        </w:tc>
        <w:tc>
          <w:tcPr>
            <w:tcW w:w="0" w:type="auto"/>
            <w:hideMark/>
          </w:tcPr>
          <w:p w14:paraId="2BA515B6" w14:textId="77777777" w:rsidR="008B51C5" w:rsidRPr="00F34EB3" w:rsidRDefault="008B51C5" w:rsidP="008B51C5">
            <w:pPr>
              <w:spacing w:after="160" w:line="259" w:lineRule="auto"/>
              <w:rPr>
                <w:rFonts w:cs="Arial"/>
              </w:rPr>
            </w:pPr>
            <w:r w:rsidRPr="00F34EB3">
              <w:rPr>
                <w:rFonts w:cs="Arial"/>
              </w:rPr>
              <w:t>Provides evidence to demonstrate Building Regulations compliance; may support local planning energy policies.</w:t>
            </w:r>
          </w:p>
        </w:tc>
        <w:tc>
          <w:tcPr>
            <w:tcW w:w="0" w:type="auto"/>
            <w:hideMark/>
          </w:tcPr>
          <w:p w14:paraId="773EA814" w14:textId="77777777" w:rsidR="008B51C5" w:rsidRPr="00F34EB3" w:rsidRDefault="008B51C5" w:rsidP="008B51C5">
            <w:pPr>
              <w:spacing w:after="160" w:line="259" w:lineRule="auto"/>
              <w:rPr>
                <w:rFonts w:cs="Arial"/>
              </w:rPr>
            </w:pPr>
            <w:r w:rsidRPr="00F34EB3">
              <w:rPr>
                <w:rFonts w:cs="Arial"/>
              </w:rPr>
              <w:t>Provides quantitative carbon evidence to support Net Zero Wales, local planning policies on WLC and any client/net-zero commitments (Welsh Government, 2021; UK Green Building Council, 2019).</w:t>
            </w:r>
          </w:p>
        </w:tc>
      </w:tr>
    </w:tbl>
    <w:p w14:paraId="2867B8DC" w14:textId="38ADD102" w:rsidR="008B51C5" w:rsidRDefault="00B56B80" w:rsidP="008B51C5">
      <w:pPr>
        <w:rPr>
          <w:rFonts w:cs="Arial"/>
          <w:i/>
          <w:iCs/>
        </w:rPr>
      </w:pPr>
      <w:r w:rsidRPr="00F34EB3">
        <w:rPr>
          <w:rFonts w:cs="Arial"/>
          <w:i/>
          <w:iCs/>
        </w:rPr>
        <w:t>Tabel Z1 – Provides a high-level of comparison of the roles of Part L and Part Z for domestic projects.</w:t>
      </w:r>
    </w:p>
    <w:p w14:paraId="5B1CCAD6" w14:textId="77777777" w:rsidR="005D6444" w:rsidRPr="00F34EB3" w:rsidRDefault="005D6444" w:rsidP="008B51C5">
      <w:pPr>
        <w:rPr>
          <w:rFonts w:cs="Arial"/>
          <w:i/>
          <w:iCs/>
        </w:rPr>
      </w:pPr>
    </w:p>
    <w:tbl>
      <w:tblPr>
        <w:tblStyle w:val="TableGridLight"/>
        <w:tblW w:w="5000" w:type="pct"/>
        <w:tblLook w:val="04A0" w:firstRow="1" w:lastRow="0" w:firstColumn="1" w:lastColumn="0" w:noHBand="0" w:noVBand="1"/>
      </w:tblPr>
      <w:tblGrid>
        <w:gridCol w:w="2180"/>
        <w:gridCol w:w="8276"/>
      </w:tblGrid>
      <w:tr w:rsidR="001C00AD" w:rsidRPr="00F34EB3" w14:paraId="0E8C4DD4" w14:textId="77777777" w:rsidTr="00E254A5">
        <w:tc>
          <w:tcPr>
            <w:tcW w:w="0" w:type="auto"/>
            <w:hideMark/>
          </w:tcPr>
          <w:p w14:paraId="2920035C" w14:textId="77777777" w:rsidR="001C00AD" w:rsidRPr="00F34EB3" w:rsidRDefault="001C00AD" w:rsidP="0072771C">
            <w:pPr>
              <w:rPr>
                <w:rFonts w:cs="Arial"/>
                <w:b/>
                <w:bCs/>
                <w:kern w:val="0"/>
                <w:lang w:val="en"/>
                <w14:ligatures w14:val="none"/>
              </w:rPr>
            </w:pPr>
            <w:r w:rsidRPr="00F34EB3">
              <w:rPr>
                <w:rFonts w:cs="Arial"/>
                <w:b/>
                <w:bCs/>
                <w:lang w:val="en"/>
              </w:rPr>
              <w:t>Term</w:t>
            </w:r>
          </w:p>
        </w:tc>
        <w:tc>
          <w:tcPr>
            <w:tcW w:w="0" w:type="auto"/>
            <w:hideMark/>
          </w:tcPr>
          <w:p w14:paraId="4C2DA7D4" w14:textId="77777777" w:rsidR="001C00AD" w:rsidRPr="00F34EB3" w:rsidRDefault="001C00AD" w:rsidP="0072771C">
            <w:pPr>
              <w:rPr>
                <w:rFonts w:cs="Arial"/>
                <w:b/>
                <w:bCs/>
                <w:lang w:val="en"/>
              </w:rPr>
            </w:pPr>
            <w:r w:rsidRPr="00F34EB3">
              <w:rPr>
                <w:rFonts w:cs="Arial"/>
                <w:b/>
                <w:bCs/>
                <w:lang w:val="en"/>
              </w:rPr>
              <w:t>Definition / Description</w:t>
            </w:r>
          </w:p>
        </w:tc>
      </w:tr>
      <w:tr w:rsidR="001C00AD" w:rsidRPr="00F34EB3" w14:paraId="0AEB5FA1" w14:textId="77777777" w:rsidTr="00E254A5">
        <w:tc>
          <w:tcPr>
            <w:tcW w:w="0" w:type="auto"/>
            <w:hideMark/>
          </w:tcPr>
          <w:p w14:paraId="37928161" w14:textId="77777777" w:rsidR="001C00AD" w:rsidRPr="00F34EB3" w:rsidRDefault="001C00AD" w:rsidP="0072771C">
            <w:pPr>
              <w:rPr>
                <w:rFonts w:cs="Arial"/>
                <w:lang w:val="en"/>
              </w:rPr>
            </w:pPr>
            <w:r w:rsidRPr="00F34EB3">
              <w:rPr>
                <w:rFonts w:cs="Arial"/>
                <w:lang w:val="en"/>
              </w:rPr>
              <w:t>Embodied carbon / upfront carbon</w:t>
            </w:r>
          </w:p>
        </w:tc>
        <w:tc>
          <w:tcPr>
            <w:tcW w:w="0" w:type="auto"/>
            <w:hideMark/>
          </w:tcPr>
          <w:p w14:paraId="0A7A2508" w14:textId="77777777" w:rsidR="001C00AD" w:rsidRPr="00F34EB3" w:rsidRDefault="001C00AD" w:rsidP="0072771C">
            <w:pPr>
              <w:rPr>
                <w:rFonts w:cs="Arial"/>
                <w:lang w:val="en"/>
              </w:rPr>
            </w:pPr>
            <w:r w:rsidRPr="00F34EB3">
              <w:rPr>
                <w:rFonts w:cs="Arial"/>
                <w:lang w:val="en"/>
              </w:rPr>
              <w:t>Greenhouse gas emissions associated with the extraction, manufacture, transport and installation of construction products and materials, typically reported for life-cycle modules A1–A5. “Upfront carbon” denotes the portion of embodied carbon emitted before practical completion (World Green Building Council, 2019; Royal Institution of Chartered Surveyors, 2023).</w:t>
            </w:r>
          </w:p>
        </w:tc>
      </w:tr>
      <w:tr w:rsidR="001C00AD" w:rsidRPr="00F34EB3" w14:paraId="719AF6D1" w14:textId="77777777" w:rsidTr="00E254A5">
        <w:tc>
          <w:tcPr>
            <w:tcW w:w="0" w:type="auto"/>
            <w:hideMark/>
          </w:tcPr>
          <w:p w14:paraId="02C04E0D" w14:textId="77777777" w:rsidR="001C00AD" w:rsidRPr="00F34EB3" w:rsidRDefault="001C00AD" w:rsidP="0072771C">
            <w:pPr>
              <w:rPr>
                <w:rFonts w:cs="Arial"/>
                <w:lang w:val="en"/>
              </w:rPr>
            </w:pPr>
            <w:r w:rsidRPr="00F34EB3">
              <w:rPr>
                <w:rFonts w:cs="Arial"/>
                <w:lang w:val="en"/>
              </w:rPr>
              <w:t>Operational carbon</w:t>
            </w:r>
          </w:p>
        </w:tc>
        <w:tc>
          <w:tcPr>
            <w:tcW w:w="0" w:type="auto"/>
            <w:hideMark/>
          </w:tcPr>
          <w:p w14:paraId="267F02CB" w14:textId="77777777" w:rsidR="001C00AD" w:rsidRPr="00F34EB3" w:rsidRDefault="001C00AD" w:rsidP="0072771C">
            <w:pPr>
              <w:rPr>
                <w:rFonts w:cs="Arial"/>
                <w:lang w:val="en"/>
              </w:rPr>
            </w:pPr>
            <w:r w:rsidRPr="00F34EB3">
              <w:rPr>
                <w:rFonts w:cs="Arial"/>
                <w:lang w:val="en"/>
              </w:rPr>
              <w:t>Greenhouse gas emissions arising from energy use during the use stage of the building (principally life-cycle module B6), including delivered energy for space heating, domestic hot water, fixed lighting and building services (British Standards Institution, 2011; UK Green Building Council, 2019).</w:t>
            </w:r>
          </w:p>
        </w:tc>
      </w:tr>
      <w:tr w:rsidR="001C00AD" w:rsidRPr="00F34EB3" w14:paraId="1313BE3E" w14:textId="77777777" w:rsidTr="00E254A5">
        <w:tc>
          <w:tcPr>
            <w:tcW w:w="0" w:type="auto"/>
            <w:hideMark/>
          </w:tcPr>
          <w:p w14:paraId="60FBB54C" w14:textId="77777777" w:rsidR="001C00AD" w:rsidRPr="00F34EB3" w:rsidRDefault="001C00AD" w:rsidP="0072771C">
            <w:pPr>
              <w:rPr>
                <w:rFonts w:cs="Arial"/>
                <w:lang w:val="en"/>
              </w:rPr>
            </w:pPr>
            <w:r w:rsidRPr="00F34EB3">
              <w:rPr>
                <w:rFonts w:cs="Arial"/>
                <w:lang w:val="en"/>
              </w:rPr>
              <w:t>Environmental Product Declaration (EPD)</w:t>
            </w:r>
          </w:p>
        </w:tc>
        <w:tc>
          <w:tcPr>
            <w:tcW w:w="0" w:type="auto"/>
            <w:hideMark/>
          </w:tcPr>
          <w:p w14:paraId="33670ABD" w14:textId="77777777" w:rsidR="001C00AD" w:rsidRPr="00F34EB3" w:rsidRDefault="001C00AD" w:rsidP="0072771C">
            <w:pPr>
              <w:rPr>
                <w:rFonts w:cs="Arial"/>
                <w:lang w:val="en"/>
              </w:rPr>
            </w:pPr>
            <w:r w:rsidRPr="00F34EB3">
              <w:rPr>
                <w:rFonts w:cs="Arial"/>
                <w:lang w:val="en"/>
              </w:rPr>
              <w:t xml:space="preserve">A third-party verified, </w:t>
            </w:r>
            <w:proofErr w:type="spellStart"/>
            <w:r w:rsidRPr="00F34EB3">
              <w:rPr>
                <w:rFonts w:cs="Arial"/>
                <w:lang w:val="en"/>
              </w:rPr>
              <w:t>standardised</w:t>
            </w:r>
            <w:proofErr w:type="spellEnd"/>
            <w:r w:rsidRPr="00F34EB3">
              <w:rPr>
                <w:rFonts w:cs="Arial"/>
                <w:lang w:val="en"/>
              </w:rPr>
              <w:t xml:space="preserve"> environmental data sheet for a construction product, based on life-cycle assessment in accordance with EN 15804 and ISO 14025, providing indicators such as global warming potential for specified life-cycle modules (British Standards Institution, 2019).</w:t>
            </w:r>
          </w:p>
        </w:tc>
      </w:tr>
      <w:tr w:rsidR="001C00AD" w:rsidRPr="00F34EB3" w14:paraId="16B4481A" w14:textId="77777777" w:rsidTr="00E254A5">
        <w:tc>
          <w:tcPr>
            <w:tcW w:w="0" w:type="auto"/>
            <w:hideMark/>
          </w:tcPr>
          <w:p w14:paraId="7776123C" w14:textId="77777777" w:rsidR="001C00AD" w:rsidRPr="00F34EB3" w:rsidRDefault="001C00AD" w:rsidP="0072771C">
            <w:pPr>
              <w:rPr>
                <w:rFonts w:cs="Arial"/>
                <w:lang w:val="en"/>
              </w:rPr>
            </w:pPr>
            <w:r w:rsidRPr="00F34EB3">
              <w:rPr>
                <w:rFonts w:cs="Arial"/>
                <w:lang w:val="en"/>
              </w:rPr>
              <w:t>Whole Life Carbon Assessment (WLCA)</w:t>
            </w:r>
          </w:p>
        </w:tc>
        <w:tc>
          <w:tcPr>
            <w:tcW w:w="0" w:type="auto"/>
            <w:hideMark/>
          </w:tcPr>
          <w:p w14:paraId="07A66D1B" w14:textId="77777777" w:rsidR="001C00AD" w:rsidRPr="00F34EB3" w:rsidRDefault="001C00AD" w:rsidP="0072771C">
            <w:pPr>
              <w:rPr>
                <w:rFonts w:cs="Arial"/>
                <w:lang w:val="en"/>
              </w:rPr>
            </w:pPr>
            <w:r w:rsidRPr="00F34EB3">
              <w:rPr>
                <w:rFonts w:cs="Arial"/>
                <w:lang w:val="en"/>
              </w:rPr>
              <w:t xml:space="preserve">A building-level life-cycle assessment that quantifies WLC using </w:t>
            </w:r>
            <w:proofErr w:type="spellStart"/>
            <w:r w:rsidRPr="00F34EB3">
              <w:rPr>
                <w:rFonts w:cs="Arial"/>
                <w:lang w:val="en"/>
              </w:rPr>
              <w:t>recognised</w:t>
            </w:r>
            <w:proofErr w:type="spellEnd"/>
            <w:r w:rsidRPr="00F34EB3">
              <w:rPr>
                <w:rFonts w:cs="Arial"/>
                <w:lang w:val="en"/>
              </w:rPr>
              <w:t xml:space="preserve"> methodologies such as EN 15978 and the Royal Institution of Chartered Surveyors Whole Life Carbon Assessment standard (British Standards Institution, 2011; Royal Institution of Chartered Surveyors, 2023).</w:t>
            </w:r>
          </w:p>
        </w:tc>
      </w:tr>
      <w:tr w:rsidR="001C00AD" w:rsidRPr="00F34EB3" w14:paraId="1473513B" w14:textId="77777777" w:rsidTr="00E254A5">
        <w:tc>
          <w:tcPr>
            <w:tcW w:w="0" w:type="auto"/>
            <w:hideMark/>
          </w:tcPr>
          <w:p w14:paraId="1D3ED621" w14:textId="77777777" w:rsidR="001C00AD" w:rsidRPr="00F34EB3" w:rsidRDefault="001C00AD" w:rsidP="0072771C">
            <w:pPr>
              <w:rPr>
                <w:rFonts w:cs="Arial"/>
                <w:lang w:val="en"/>
              </w:rPr>
            </w:pPr>
            <w:r w:rsidRPr="00F34EB3">
              <w:rPr>
                <w:rFonts w:cs="Arial"/>
                <w:lang w:val="en"/>
              </w:rPr>
              <w:t>Net zero (general)</w:t>
            </w:r>
          </w:p>
        </w:tc>
        <w:tc>
          <w:tcPr>
            <w:tcW w:w="0" w:type="auto"/>
            <w:hideMark/>
          </w:tcPr>
          <w:p w14:paraId="0EA96ACF" w14:textId="77777777" w:rsidR="001C00AD" w:rsidRPr="00F34EB3" w:rsidRDefault="001C00AD" w:rsidP="0072771C">
            <w:pPr>
              <w:rPr>
                <w:rFonts w:cs="Arial"/>
                <w:lang w:val="en"/>
              </w:rPr>
            </w:pPr>
            <w:r w:rsidRPr="00F34EB3">
              <w:rPr>
                <w:rFonts w:cs="Arial"/>
                <w:lang w:val="en"/>
              </w:rPr>
              <w:t>A state in which anthropogenic greenhouse gas emissions are balanced by anthropogenic removals over a specified period, in line with the goals of the Paris Agreement (Intergovernmental Panel on Climate Change, 2018).</w:t>
            </w:r>
          </w:p>
        </w:tc>
      </w:tr>
      <w:tr w:rsidR="001C00AD" w:rsidRPr="00F34EB3" w14:paraId="1B95D604" w14:textId="77777777" w:rsidTr="00E254A5">
        <w:tc>
          <w:tcPr>
            <w:tcW w:w="0" w:type="auto"/>
            <w:hideMark/>
          </w:tcPr>
          <w:p w14:paraId="27000998" w14:textId="77777777" w:rsidR="001C00AD" w:rsidRPr="00F34EB3" w:rsidRDefault="001C00AD" w:rsidP="0072771C">
            <w:pPr>
              <w:rPr>
                <w:rFonts w:cs="Arial"/>
                <w:lang w:val="en"/>
              </w:rPr>
            </w:pPr>
            <w:r w:rsidRPr="00F34EB3">
              <w:rPr>
                <w:rFonts w:cs="Arial"/>
                <w:lang w:val="en"/>
              </w:rPr>
              <w:t>Net zero carbon building – operational</w:t>
            </w:r>
          </w:p>
        </w:tc>
        <w:tc>
          <w:tcPr>
            <w:tcW w:w="0" w:type="auto"/>
            <w:hideMark/>
          </w:tcPr>
          <w:p w14:paraId="477CD8CC" w14:textId="77777777" w:rsidR="001C00AD" w:rsidRPr="00F34EB3" w:rsidRDefault="001C00AD" w:rsidP="0072771C">
            <w:pPr>
              <w:rPr>
                <w:rFonts w:cs="Arial"/>
                <w:lang w:val="en"/>
              </w:rPr>
            </w:pPr>
            <w:r w:rsidRPr="00F34EB3">
              <w:rPr>
                <w:rFonts w:cs="Arial"/>
                <w:lang w:val="en"/>
              </w:rPr>
              <w:t>A building in which annual operational greenhouse gas emissions from energy use are reduced to zero or net-zero on a yearly basis through efficiency, demand reduction and renewable energy, with any residual emissions credibly offset or mitigated (UK Green Building Council, 2019).</w:t>
            </w:r>
          </w:p>
        </w:tc>
      </w:tr>
      <w:tr w:rsidR="001C00AD" w:rsidRPr="00F34EB3" w14:paraId="5A0741A1" w14:textId="77777777" w:rsidTr="00E254A5">
        <w:tc>
          <w:tcPr>
            <w:tcW w:w="0" w:type="auto"/>
            <w:hideMark/>
          </w:tcPr>
          <w:p w14:paraId="5E400B01" w14:textId="77777777" w:rsidR="001C00AD" w:rsidRPr="00F34EB3" w:rsidRDefault="001C00AD" w:rsidP="0072771C">
            <w:pPr>
              <w:rPr>
                <w:rFonts w:cs="Arial"/>
                <w:lang w:val="en"/>
              </w:rPr>
            </w:pPr>
            <w:r w:rsidRPr="00F34EB3">
              <w:rPr>
                <w:rFonts w:cs="Arial"/>
                <w:lang w:val="en"/>
              </w:rPr>
              <w:t>Net zero whole life carbon building</w:t>
            </w:r>
          </w:p>
        </w:tc>
        <w:tc>
          <w:tcPr>
            <w:tcW w:w="0" w:type="auto"/>
            <w:hideMark/>
          </w:tcPr>
          <w:p w14:paraId="59F2FE01" w14:textId="77777777" w:rsidR="001C00AD" w:rsidRPr="00F34EB3" w:rsidRDefault="001C00AD" w:rsidP="0072771C">
            <w:pPr>
              <w:rPr>
                <w:rFonts w:cs="Arial"/>
                <w:lang w:val="en"/>
              </w:rPr>
            </w:pPr>
            <w:r w:rsidRPr="00F34EB3">
              <w:rPr>
                <w:rFonts w:cs="Arial"/>
                <w:lang w:val="en"/>
              </w:rPr>
              <w:t xml:space="preserve">A building for which whole life carbon has been </w:t>
            </w:r>
            <w:proofErr w:type="spellStart"/>
            <w:r w:rsidRPr="00F34EB3">
              <w:rPr>
                <w:rFonts w:cs="Arial"/>
                <w:lang w:val="en"/>
              </w:rPr>
              <w:t>minimised</w:t>
            </w:r>
            <w:proofErr w:type="spellEnd"/>
            <w:r w:rsidRPr="00F34EB3">
              <w:rPr>
                <w:rFonts w:cs="Arial"/>
                <w:lang w:val="en"/>
              </w:rPr>
              <w:t xml:space="preserve"> through design, construction, operation, maintenance and end-of-life strategies, and any residual cradle-to-grave emissions over the assessment period are balanced by verified removals or other robust mitigation consistent with national net-zero pathways (UK Green Building Council, 2019; Royal Institution of Chartered Surveyors, 2023).</w:t>
            </w:r>
          </w:p>
        </w:tc>
      </w:tr>
    </w:tbl>
    <w:p w14:paraId="726D9709" w14:textId="289CBFCF" w:rsidR="001C00AD" w:rsidRDefault="001C00AD" w:rsidP="008B51C5">
      <w:pPr>
        <w:rPr>
          <w:rFonts w:cs="Arial"/>
          <w:i/>
          <w:iCs/>
        </w:rPr>
      </w:pPr>
      <w:r w:rsidRPr="00F34EB3">
        <w:rPr>
          <w:rFonts w:cs="Arial"/>
          <w:i/>
          <w:iCs/>
        </w:rPr>
        <w:t>Table Z2 – Provides an in depth and accurate definition of key terms used within the document.</w:t>
      </w:r>
    </w:p>
    <w:p w14:paraId="2875F349" w14:textId="77777777" w:rsidR="005D6444" w:rsidRPr="00F34EB3" w:rsidRDefault="005D6444" w:rsidP="008B51C5">
      <w:pPr>
        <w:rPr>
          <w:rFonts w:cs="Arial"/>
          <w:i/>
          <w:iCs/>
        </w:rPr>
      </w:pPr>
    </w:p>
    <w:tbl>
      <w:tblPr>
        <w:tblStyle w:val="TableGridLight"/>
        <w:tblW w:w="0" w:type="auto"/>
        <w:tblLook w:val="04A0" w:firstRow="1" w:lastRow="0" w:firstColumn="1" w:lastColumn="0" w:noHBand="0" w:noVBand="1"/>
      </w:tblPr>
      <w:tblGrid>
        <w:gridCol w:w="663"/>
        <w:gridCol w:w="892"/>
      </w:tblGrid>
      <w:tr w:rsidR="00422823" w:rsidRPr="00F34EB3" w14:paraId="1CCFBE4F" w14:textId="77777777" w:rsidTr="00422823">
        <w:trPr>
          <w:cantSplit/>
          <w:trHeight w:val="1134"/>
        </w:trPr>
        <w:tc>
          <w:tcPr>
            <w:tcW w:w="663" w:type="dxa"/>
            <w:textDirection w:val="btLr"/>
            <w:hideMark/>
          </w:tcPr>
          <w:p w14:paraId="157D3760" w14:textId="77777777" w:rsidR="00422823" w:rsidRPr="00F34EB3" w:rsidRDefault="00422823" w:rsidP="00422823">
            <w:pPr>
              <w:spacing w:after="160" w:line="259" w:lineRule="auto"/>
              <w:ind w:left="113" w:right="113"/>
              <w:rPr>
                <w:rFonts w:cs="Arial"/>
                <w:b/>
                <w:bCs/>
              </w:rPr>
            </w:pPr>
            <w:r w:rsidRPr="00F34EB3">
              <w:rPr>
                <w:rFonts w:cs="Arial"/>
                <w:b/>
                <w:bCs/>
              </w:rPr>
              <w:t>Project / scheme name</w:t>
            </w:r>
          </w:p>
        </w:tc>
        <w:tc>
          <w:tcPr>
            <w:tcW w:w="892" w:type="dxa"/>
            <w:textDirection w:val="btLr"/>
          </w:tcPr>
          <w:p w14:paraId="7FC21133" w14:textId="1BD43F16" w:rsidR="00422823" w:rsidRPr="00F34EB3" w:rsidRDefault="00422823" w:rsidP="00422823">
            <w:pPr>
              <w:spacing w:after="160" w:line="259" w:lineRule="auto"/>
              <w:ind w:left="113" w:right="113"/>
              <w:rPr>
                <w:rFonts w:cs="Arial"/>
                <w:b/>
                <w:bCs/>
              </w:rPr>
            </w:pPr>
          </w:p>
        </w:tc>
      </w:tr>
      <w:tr w:rsidR="00422823" w:rsidRPr="00F34EB3" w14:paraId="767C36AA" w14:textId="77777777" w:rsidTr="00422823">
        <w:trPr>
          <w:cantSplit/>
          <w:trHeight w:val="1134"/>
        </w:trPr>
        <w:tc>
          <w:tcPr>
            <w:tcW w:w="663" w:type="dxa"/>
            <w:textDirection w:val="btLr"/>
          </w:tcPr>
          <w:p w14:paraId="53D835D6" w14:textId="5BC5447B" w:rsidR="00422823" w:rsidRPr="00F34EB3" w:rsidRDefault="00422823" w:rsidP="00422823">
            <w:pPr>
              <w:ind w:left="113" w:right="113"/>
              <w:rPr>
                <w:rFonts w:cs="Arial"/>
                <w:b/>
                <w:bCs/>
              </w:rPr>
            </w:pPr>
            <w:r w:rsidRPr="00F34EB3">
              <w:rPr>
                <w:rFonts w:cs="Arial"/>
                <w:b/>
                <w:bCs/>
              </w:rPr>
              <w:t>Dwelling type / block</w:t>
            </w:r>
          </w:p>
        </w:tc>
        <w:tc>
          <w:tcPr>
            <w:tcW w:w="892" w:type="dxa"/>
            <w:textDirection w:val="btLr"/>
          </w:tcPr>
          <w:p w14:paraId="28962AA3" w14:textId="77777777" w:rsidR="00422823" w:rsidRPr="00F34EB3" w:rsidRDefault="00422823" w:rsidP="00422823">
            <w:pPr>
              <w:ind w:left="113" w:right="113"/>
              <w:rPr>
                <w:rFonts w:cs="Arial"/>
                <w:b/>
                <w:bCs/>
              </w:rPr>
            </w:pPr>
          </w:p>
        </w:tc>
      </w:tr>
      <w:tr w:rsidR="00422823" w:rsidRPr="00F34EB3" w14:paraId="33E601DC" w14:textId="77777777" w:rsidTr="00422823">
        <w:trPr>
          <w:cantSplit/>
          <w:trHeight w:val="1134"/>
        </w:trPr>
        <w:tc>
          <w:tcPr>
            <w:tcW w:w="663" w:type="dxa"/>
            <w:textDirection w:val="btLr"/>
          </w:tcPr>
          <w:p w14:paraId="05C87B9D" w14:textId="32B24A89" w:rsidR="00422823" w:rsidRPr="00F34EB3" w:rsidRDefault="00422823" w:rsidP="00422823">
            <w:pPr>
              <w:ind w:left="113" w:right="113"/>
              <w:rPr>
                <w:rFonts w:cs="Arial"/>
                <w:b/>
                <w:bCs/>
              </w:rPr>
            </w:pPr>
            <w:r w:rsidRPr="00F34EB3">
              <w:rPr>
                <w:rFonts w:cs="Arial"/>
                <w:b/>
                <w:bCs/>
              </w:rPr>
              <w:t>Number of units</w:t>
            </w:r>
          </w:p>
        </w:tc>
        <w:tc>
          <w:tcPr>
            <w:tcW w:w="892" w:type="dxa"/>
            <w:textDirection w:val="btLr"/>
          </w:tcPr>
          <w:p w14:paraId="773AEB9B" w14:textId="77777777" w:rsidR="00422823" w:rsidRPr="00F34EB3" w:rsidRDefault="00422823" w:rsidP="00422823">
            <w:pPr>
              <w:ind w:left="113" w:right="113"/>
              <w:rPr>
                <w:rFonts w:cs="Arial"/>
                <w:b/>
                <w:bCs/>
              </w:rPr>
            </w:pPr>
          </w:p>
        </w:tc>
      </w:tr>
      <w:tr w:rsidR="00422823" w:rsidRPr="00F34EB3" w14:paraId="3EF4FB40" w14:textId="77777777" w:rsidTr="00422823">
        <w:trPr>
          <w:cantSplit/>
          <w:trHeight w:val="1134"/>
        </w:trPr>
        <w:tc>
          <w:tcPr>
            <w:tcW w:w="663" w:type="dxa"/>
            <w:textDirection w:val="btLr"/>
          </w:tcPr>
          <w:p w14:paraId="27A29260" w14:textId="25DBBF04" w:rsidR="00422823" w:rsidRPr="00F34EB3" w:rsidRDefault="00422823" w:rsidP="00422823">
            <w:pPr>
              <w:ind w:left="113" w:right="113"/>
              <w:rPr>
                <w:rFonts w:cs="Arial"/>
                <w:b/>
                <w:bCs/>
              </w:rPr>
            </w:pPr>
            <w:r w:rsidRPr="00F34EB3">
              <w:rPr>
                <w:rFonts w:cs="Arial"/>
                <w:b/>
                <w:bCs/>
              </w:rPr>
              <w:t>GIA (m²)</w:t>
            </w:r>
          </w:p>
        </w:tc>
        <w:tc>
          <w:tcPr>
            <w:tcW w:w="892" w:type="dxa"/>
            <w:textDirection w:val="btLr"/>
          </w:tcPr>
          <w:p w14:paraId="22D64298" w14:textId="77777777" w:rsidR="00422823" w:rsidRPr="00F34EB3" w:rsidRDefault="00422823" w:rsidP="00422823">
            <w:pPr>
              <w:ind w:left="113" w:right="113"/>
              <w:rPr>
                <w:rFonts w:cs="Arial"/>
                <w:b/>
                <w:bCs/>
              </w:rPr>
            </w:pPr>
          </w:p>
        </w:tc>
      </w:tr>
      <w:tr w:rsidR="00422823" w:rsidRPr="00F34EB3" w14:paraId="19E8B9EF" w14:textId="77777777" w:rsidTr="00422823">
        <w:trPr>
          <w:cantSplit/>
          <w:trHeight w:val="1134"/>
        </w:trPr>
        <w:tc>
          <w:tcPr>
            <w:tcW w:w="663" w:type="dxa"/>
            <w:textDirection w:val="btLr"/>
          </w:tcPr>
          <w:p w14:paraId="5C20C103" w14:textId="661ABCDA" w:rsidR="00422823" w:rsidRPr="00F34EB3" w:rsidRDefault="00422823" w:rsidP="00422823">
            <w:pPr>
              <w:ind w:left="113" w:right="113"/>
              <w:rPr>
                <w:rFonts w:cs="Arial"/>
                <w:b/>
                <w:bCs/>
              </w:rPr>
            </w:pPr>
            <w:r w:rsidRPr="00F34EB3">
              <w:rPr>
                <w:rFonts w:cs="Arial"/>
                <w:b/>
                <w:bCs/>
              </w:rPr>
              <w:t>Reference study period (years)</w:t>
            </w:r>
          </w:p>
        </w:tc>
        <w:tc>
          <w:tcPr>
            <w:tcW w:w="892" w:type="dxa"/>
            <w:textDirection w:val="btLr"/>
          </w:tcPr>
          <w:p w14:paraId="6F9987E6" w14:textId="77777777" w:rsidR="00422823" w:rsidRPr="00F34EB3" w:rsidRDefault="00422823" w:rsidP="00422823">
            <w:pPr>
              <w:ind w:left="113" w:right="113"/>
              <w:rPr>
                <w:rFonts w:cs="Arial"/>
                <w:b/>
                <w:bCs/>
              </w:rPr>
            </w:pPr>
          </w:p>
        </w:tc>
      </w:tr>
      <w:tr w:rsidR="00422823" w:rsidRPr="00F34EB3" w14:paraId="139D13A4" w14:textId="77777777" w:rsidTr="00422823">
        <w:trPr>
          <w:cantSplit/>
          <w:trHeight w:val="1134"/>
        </w:trPr>
        <w:tc>
          <w:tcPr>
            <w:tcW w:w="663" w:type="dxa"/>
            <w:textDirection w:val="btLr"/>
          </w:tcPr>
          <w:p w14:paraId="2DF8F58B" w14:textId="5657A2E4" w:rsidR="00422823" w:rsidRPr="00F34EB3" w:rsidRDefault="00422823" w:rsidP="00422823">
            <w:pPr>
              <w:ind w:left="113" w:right="113"/>
              <w:rPr>
                <w:rFonts w:cs="Arial"/>
                <w:b/>
                <w:bCs/>
              </w:rPr>
            </w:pPr>
            <w:r w:rsidRPr="00F34EB3">
              <w:rPr>
                <w:rFonts w:cs="Arial"/>
                <w:b/>
                <w:bCs/>
              </w:rPr>
              <w:t>Upfront carbon A1–A5 (</w:t>
            </w:r>
            <w:proofErr w:type="spellStart"/>
            <w:r w:rsidRPr="00F34EB3">
              <w:rPr>
                <w:rFonts w:cs="Arial"/>
                <w:b/>
                <w:bCs/>
              </w:rPr>
              <w:t>kgCO</w:t>
            </w:r>
            <w:r w:rsidRPr="00F34EB3">
              <w:rPr>
                <w:rFonts w:ascii="Cambria Math" w:hAnsi="Cambria Math" w:cs="Cambria Math"/>
                <w:b/>
                <w:bCs/>
              </w:rPr>
              <w:t>₂</w:t>
            </w:r>
            <w:r w:rsidRPr="00F34EB3">
              <w:rPr>
                <w:rFonts w:cs="Arial"/>
                <w:b/>
                <w:bCs/>
              </w:rPr>
              <w:t>e</w:t>
            </w:r>
            <w:proofErr w:type="spellEnd"/>
            <w:r w:rsidRPr="00F34EB3">
              <w:rPr>
                <w:rFonts w:cs="Arial"/>
                <w:b/>
                <w:bCs/>
              </w:rPr>
              <w:t>/m² GIA)</w:t>
            </w:r>
          </w:p>
        </w:tc>
        <w:tc>
          <w:tcPr>
            <w:tcW w:w="892" w:type="dxa"/>
            <w:textDirection w:val="btLr"/>
          </w:tcPr>
          <w:p w14:paraId="42F0AF09" w14:textId="77777777" w:rsidR="00422823" w:rsidRPr="00F34EB3" w:rsidRDefault="00422823" w:rsidP="00422823">
            <w:pPr>
              <w:ind w:left="113" w:right="113"/>
              <w:rPr>
                <w:rFonts w:cs="Arial"/>
                <w:b/>
                <w:bCs/>
              </w:rPr>
            </w:pPr>
          </w:p>
        </w:tc>
      </w:tr>
      <w:tr w:rsidR="00422823" w:rsidRPr="00F34EB3" w14:paraId="2E9865DC" w14:textId="77777777" w:rsidTr="00422823">
        <w:trPr>
          <w:cantSplit/>
          <w:trHeight w:val="1134"/>
        </w:trPr>
        <w:tc>
          <w:tcPr>
            <w:tcW w:w="663" w:type="dxa"/>
            <w:textDirection w:val="btLr"/>
          </w:tcPr>
          <w:p w14:paraId="5D56FC47" w14:textId="4CD31E8E" w:rsidR="00422823" w:rsidRPr="00F34EB3" w:rsidRDefault="00422823" w:rsidP="00422823">
            <w:pPr>
              <w:ind w:left="113" w:right="113"/>
              <w:rPr>
                <w:rFonts w:cs="Arial"/>
                <w:b/>
                <w:bCs/>
              </w:rPr>
            </w:pPr>
            <w:r w:rsidRPr="00F34EB3">
              <w:rPr>
                <w:rFonts w:cs="Arial"/>
                <w:b/>
                <w:bCs/>
              </w:rPr>
              <w:t>Use-stage carbon B4 (</w:t>
            </w:r>
            <w:proofErr w:type="spellStart"/>
            <w:r w:rsidRPr="00F34EB3">
              <w:rPr>
                <w:rFonts w:cs="Arial"/>
                <w:b/>
                <w:bCs/>
              </w:rPr>
              <w:t>kgCO</w:t>
            </w:r>
            <w:r w:rsidRPr="00F34EB3">
              <w:rPr>
                <w:rFonts w:ascii="Cambria Math" w:hAnsi="Cambria Math" w:cs="Cambria Math"/>
                <w:b/>
                <w:bCs/>
              </w:rPr>
              <w:t>₂</w:t>
            </w:r>
            <w:r w:rsidRPr="00F34EB3">
              <w:rPr>
                <w:rFonts w:cs="Arial"/>
                <w:b/>
                <w:bCs/>
              </w:rPr>
              <w:t>e</w:t>
            </w:r>
            <w:proofErr w:type="spellEnd"/>
            <w:r w:rsidRPr="00F34EB3">
              <w:rPr>
                <w:rFonts w:cs="Arial"/>
                <w:b/>
                <w:bCs/>
              </w:rPr>
              <w:t>/m² GIA)</w:t>
            </w:r>
          </w:p>
        </w:tc>
        <w:tc>
          <w:tcPr>
            <w:tcW w:w="892" w:type="dxa"/>
            <w:textDirection w:val="btLr"/>
          </w:tcPr>
          <w:p w14:paraId="6D190F40" w14:textId="77777777" w:rsidR="00422823" w:rsidRPr="00F34EB3" w:rsidRDefault="00422823" w:rsidP="00422823">
            <w:pPr>
              <w:ind w:left="113" w:right="113"/>
              <w:rPr>
                <w:rFonts w:cs="Arial"/>
                <w:b/>
                <w:bCs/>
              </w:rPr>
            </w:pPr>
          </w:p>
        </w:tc>
      </w:tr>
      <w:tr w:rsidR="00422823" w:rsidRPr="00F34EB3" w14:paraId="5C80EACF" w14:textId="77777777" w:rsidTr="00422823">
        <w:trPr>
          <w:cantSplit/>
          <w:trHeight w:val="1134"/>
        </w:trPr>
        <w:tc>
          <w:tcPr>
            <w:tcW w:w="663" w:type="dxa"/>
            <w:textDirection w:val="btLr"/>
          </w:tcPr>
          <w:p w14:paraId="4B3B1F4E" w14:textId="1475D9FC" w:rsidR="00422823" w:rsidRPr="00F34EB3" w:rsidRDefault="00422823" w:rsidP="00422823">
            <w:pPr>
              <w:ind w:left="113" w:right="113"/>
              <w:rPr>
                <w:rFonts w:cs="Arial"/>
                <w:b/>
                <w:bCs/>
              </w:rPr>
            </w:pPr>
            <w:r w:rsidRPr="00F34EB3">
              <w:rPr>
                <w:rFonts w:cs="Arial"/>
                <w:b/>
                <w:bCs/>
              </w:rPr>
              <w:t>Operational carbon B6 (</w:t>
            </w:r>
            <w:proofErr w:type="spellStart"/>
            <w:r w:rsidRPr="00F34EB3">
              <w:rPr>
                <w:rFonts w:cs="Arial"/>
                <w:b/>
                <w:bCs/>
              </w:rPr>
              <w:t>kgCO</w:t>
            </w:r>
            <w:r w:rsidRPr="00F34EB3">
              <w:rPr>
                <w:rFonts w:ascii="Cambria Math" w:hAnsi="Cambria Math" w:cs="Cambria Math"/>
                <w:b/>
                <w:bCs/>
              </w:rPr>
              <w:t>₂</w:t>
            </w:r>
            <w:r w:rsidRPr="00F34EB3">
              <w:rPr>
                <w:rFonts w:cs="Arial"/>
                <w:b/>
                <w:bCs/>
              </w:rPr>
              <w:t>e</w:t>
            </w:r>
            <w:proofErr w:type="spellEnd"/>
            <w:r w:rsidRPr="00F34EB3">
              <w:rPr>
                <w:rFonts w:cs="Arial"/>
                <w:b/>
                <w:bCs/>
              </w:rPr>
              <w:t>/m² GIA)</w:t>
            </w:r>
          </w:p>
        </w:tc>
        <w:tc>
          <w:tcPr>
            <w:tcW w:w="892" w:type="dxa"/>
            <w:textDirection w:val="btLr"/>
          </w:tcPr>
          <w:p w14:paraId="362CC3A9" w14:textId="77777777" w:rsidR="00422823" w:rsidRPr="00F34EB3" w:rsidRDefault="00422823" w:rsidP="00422823">
            <w:pPr>
              <w:ind w:left="113" w:right="113"/>
              <w:rPr>
                <w:rFonts w:cs="Arial"/>
                <w:b/>
                <w:bCs/>
              </w:rPr>
            </w:pPr>
          </w:p>
        </w:tc>
      </w:tr>
      <w:tr w:rsidR="00422823" w:rsidRPr="00F34EB3" w14:paraId="66E46EFF" w14:textId="77777777" w:rsidTr="00422823">
        <w:trPr>
          <w:cantSplit/>
          <w:trHeight w:val="1134"/>
        </w:trPr>
        <w:tc>
          <w:tcPr>
            <w:tcW w:w="663" w:type="dxa"/>
            <w:textDirection w:val="btLr"/>
          </w:tcPr>
          <w:p w14:paraId="74100386" w14:textId="20FF6001" w:rsidR="00422823" w:rsidRPr="00F34EB3" w:rsidRDefault="00422823" w:rsidP="00422823">
            <w:pPr>
              <w:ind w:left="113" w:right="113"/>
              <w:rPr>
                <w:rFonts w:cs="Arial"/>
                <w:b/>
                <w:bCs/>
              </w:rPr>
            </w:pPr>
            <w:r w:rsidRPr="00F34EB3">
              <w:rPr>
                <w:rFonts w:cs="Arial"/>
                <w:b/>
                <w:bCs/>
              </w:rPr>
              <w:t>End-of-life carbon C1–C4 (</w:t>
            </w:r>
            <w:proofErr w:type="spellStart"/>
            <w:r w:rsidRPr="00F34EB3">
              <w:rPr>
                <w:rFonts w:cs="Arial"/>
                <w:b/>
                <w:bCs/>
              </w:rPr>
              <w:t>kgCO</w:t>
            </w:r>
            <w:r w:rsidRPr="00F34EB3">
              <w:rPr>
                <w:rFonts w:ascii="Cambria Math" w:hAnsi="Cambria Math" w:cs="Cambria Math"/>
                <w:b/>
                <w:bCs/>
              </w:rPr>
              <w:t>₂</w:t>
            </w:r>
            <w:r w:rsidRPr="00F34EB3">
              <w:rPr>
                <w:rFonts w:cs="Arial"/>
                <w:b/>
                <w:bCs/>
              </w:rPr>
              <w:t>e</w:t>
            </w:r>
            <w:proofErr w:type="spellEnd"/>
            <w:r w:rsidRPr="00F34EB3">
              <w:rPr>
                <w:rFonts w:cs="Arial"/>
                <w:b/>
                <w:bCs/>
              </w:rPr>
              <w:t>/m² GIA)</w:t>
            </w:r>
          </w:p>
        </w:tc>
        <w:tc>
          <w:tcPr>
            <w:tcW w:w="892" w:type="dxa"/>
            <w:textDirection w:val="btLr"/>
          </w:tcPr>
          <w:p w14:paraId="256416E7" w14:textId="77777777" w:rsidR="00422823" w:rsidRPr="00F34EB3" w:rsidRDefault="00422823" w:rsidP="00422823">
            <w:pPr>
              <w:ind w:left="113" w:right="113"/>
              <w:rPr>
                <w:rFonts w:cs="Arial"/>
                <w:b/>
                <w:bCs/>
              </w:rPr>
            </w:pPr>
          </w:p>
        </w:tc>
      </w:tr>
      <w:tr w:rsidR="00422823" w:rsidRPr="00F34EB3" w14:paraId="088F3E79" w14:textId="77777777" w:rsidTr="00422823">
        <w:trPr>
          <w:cantSplit/>
          <w:trHeight w:val="1134"/>
        </w:trPr>
        <w:tc>
          <w:tcPr>
            <w:tcW w:w="663" w:type="dxa"/>
            <w:textDirection w:val="btLr"/>
          </w:tcPr>
          <w:p w14:paraId="0C66A20D" w14:textId="2D99D791" w:rsidR="00422823" w:rsidRPr="00F34EB3" w:rsidRDefault="00422823" w:rsidP="00422823">
            <w:pPr>
              <w:ind w:left="113" w:right="113"/>
              <w:rPr>
                <w:rFonts w:cs="Arial"/>
                <w:b/>
                <w:bCs/>
              </w:rPr>
            </w:pPr>
            <w:r w:rsidRPr="00F34EB3">
              <w:rPr>
                <w:rFonts w:cs="Arial"/>
                <w:b/>
                <w:bCs/>
              </w:rPr>
              <w:t>Total WLC intensity A–C (</w:t>
            </w:r>
            <w:proofErr w:type="spellStart"/>
            <w:r w:rsidRPr="00F34EB3">
              <w:rPr>
                <w:rFonts w:cs="Arial"/>
                <w:b/>
                <w:bCs/>
              </w:rPr>
              <w:t>kgCO</w:t>
            </w:r>
            <w:r w:rsidRPr="00F34EB3">
              <w:rPr>
                <w:rFonts w:ascii="Cambria Math" w:hAnsi="Cambria Math" w:cs="Cambria Math"/>
                <w:b/>
                <w:bCs/>
              </w:rPr>
              <w:t>₂</w:t>
            </w:r>
            <w:r w:rsidRPr="00F34EB3">
              <w:rPr>
                <w:rFonts w:cs="Arial"/>
                <w:b/>
                <w:bCs/>
              </w:rPr>
              <w:t>e</w:t>
            </w:r>
            <w:proofErr w:type="spellEnd"/>
            <w:r w:rsidRPr="00F34EB3">
              <w:rPr>
                <w:rFonts w:cs="Arial"/>
                <w:b/>
                <w:bCs/>
              </w:rPr>
              <w:t>/m² GIA)</w:t>
            </w:r>
          </w:p>
        </w:tc>
        <w:tc>
          <w:tcPr>
            <w:tcW w:w="892" w:type="dxa"/>
            <w:textDirection w:val="btLr"/>
          </w:tcPr>
          <w:p w14:paraId="586394E1" w14:textId="77777777" w:rsidR="00422823" w:rsidRPr="00F34EB3" w:rsidRDefault="00422823" w:rsidP="00422823">
            <w:pPr>
              <w:ind w:left="113" w:right="113"/>
              <w:rPr>
                <w:rFonts w:cs="Arial"/>
                <w:b/>
                <w:bCs/>
              </w:rPr>
            </w:pPr>
          </w:p>
        </w:tc>
      </w:tr>
      <w:tr w:rsidR="00422823" w:rsidRPr="00F34EB3" w14:paraId="698E717A" w14:textId="77777777" w:rsidTr="00422823">
        <w:trPr>
          <w:cantSplit/>
          <w:trHeight w:val="1134"/>
        </w:trPr>
        <w:tc>
          <w:tcPr>
            <w:tcW w:w="663" w:type="dxa"/>
            <w:textDirection w:val="btLr"/>
          </w:tcPr>
          <w:p w14:paraId="10F46349" w14:textId="1BBA883E" w:rsidR="00422823" w:rsidRPr="00F34EB3" w:rsidRDefault="00422823" w:rsidP="00422823">
            <w:pPr>
              <w:ind w:left="113" w:right="113"/>
              <w:rPr>
                <w:rFonts w:cs="Arial"/>
                <w:b/>
                <w:bCs/>
              </w:rPr>
            </w:pPr>
            <w:r w:rsidRPr="00F34EB3">
              <w:rPr>
                <w:rFonts w:cs="Arial"/>
                <w:b/>
                <w:bCs/>
              </w:rPr>
              <w:t>Benefits/loads beyond boundary D (</w:t>
            </w:r>
            <w:proofErr w:type="spellStart"/>
            <w:r w:rsidRPr="00F34EB3">
              <w:rPr>
                <w:rFonts w:cs="Arial"/>
                <w:b/>
                <w:bCs/>
              </w:rPr>
              <w:t>kgCO</w:t>
            </w:r>
            <w:r w:rsidRPr="00F34EB3">
              <w:rPr>
                <w:rFonts w:ascii="Cambria Math" w:hAnsi="Cambria Math" w:cs="Cambria Math"/>
                <w:b/>
                <w:bCs/>
              </w:rPr>
              <w:t>₂</w:t>
            </w:r>
            <w:r w:rsidRPr="00F34EB3">
              <w:rPr>
                <w:rFonts w:cs="Arial"/>
                <w:b/>
                <w:bCs/>
              </w:rPr>
              <w:t>e</w:t>
            </w:r>
            <w:proofErr w:type="spellEnd"/>
            <w:r w:rsidRPr="00F34EB3">
              <w:rPr>
                <w:rFonts w:cs="Arial"/>
                <w:b/>
                <w:bCs/>
              </w:rPr>
              <w:t>/m² GIA, reported separately)</w:t>
            </w:r>
          </w:p>
        </w:tc>
        <w:tc>
          <w:tcPr>
            <w:tcW w:w="892" w:type="dxa"/>
            <w:textDirection w:val="btLr"/>
          </w:tcPr>
          <w:p w14:paraId="0A91AC9B" w14:textId="77777777" w:rsidR="00422823" w:rsidRPr="00F34EB3" w:rsidRDefault="00422823" w:rsidP="00422823">
            <w:pPr>
              <w:ind w:left="113" w:right="113"/>
              <w:rPr>
                <w:rFonts w:cs="Arial"/>
                <w:b/>
                <w:bCs/>
              </w:rPr>
            </w:pPr>
          </w:p>
        </w:tc>
      </w:tr>
      <w:tr w:rsidR="00422823" w:rsidRPr="00F34EB3" w14:paraId="4A6FC992" w14:textId="77777777" w:rsidTr="00422823">
        <w:trPr>
          <w:cantSplit/>
          <w:trHeight w:val="849"/>
        </w:trPr>
        <w:tc>
          <w:tcPr>
            <w:tcW w:w="663" w:type="dxa"/>
            <w:textDirection w:val="btLr"/>
          </w:tcPr>
          <w:p w14:paraId="79AB4F4B" w14:textId="335DE7AC" w:rsidR="00422823" w:rsidRPr="00F34EB3" w:rsidRDefault="00422823" w:rsidP="00422823">
            <w:pPr>
              <w:ind w:left="113" w:right="113"/>
              <w:rPr>
                <w:rFonts w:cs="Arial"/>
                <w:b/>
                <w:bCs/>
              </w:rPr>
            </w:pPr>
            <w:r w:rsidRPr="00F34EB3">
              <w:rPr>
                <w:rFonts w:cs="Arial"/>
                <w:b/>
                <w:bCs/>
              </w:rPr>
              <w:t>Total whole life carbon A–C (</w:t>
            </w:r>
            <w:proofErr w:type="spellStart"/>
            <w:r w:rsidRPr="00F34EB3">
              <w:rPr>
                <w:rFonts w:cs="Arial"/>
                <w:b/>
                <w:bCs/>
              </w:rPr>
              <w:t>tCO</w:t>
            </w:r>
            <w:r w:rsidRPr="00F34EB3">
              <w:rPr>
                <w:rFonts w:ascii="Cambria Math" w:hAnsi="Cambria Math" w:cs="Cambria Math"/>
                <w:b/>
                <w:bCs/>
              </w:rPr>
              <w:t>₂</w:t>
            </w:r>
            <w:r w:rsidRPr="00F34EB3">
              <w:rPr>
                <w:rFonts w:cs="Arial"/>
                <w:b/>
                <w:bCs/>
              </w:rPr>
              <w:t>e</w:t>
            </w:r>
            <w:proofErr w:type="spellEnd"/>
            <w:r w:rsidRPr="00F34EB3">
              <w:rPr>
                <w:rFonts w:cs="Arial"/>
                <w:b/>
                <w:bCs/>
              </w:rPr>
              <w:t>, project total)</w:t>
            </w:r>
          </w:p>
        </w:tc>
        <w:tc>
          <w:tcPr>
            <w:tcW w:w="892" w:type="dxa"/>
            <w:textDirection w:val="btLr"/>
          </w:tcPr>
          <w:p w14:paraId="3C0DEE0D" w14:textId="77777777" w:rsidR="00422823" w:rsidRPr="00F34EB3" w:rsidRDefault="00422823" w:rsidP="00422823">
            <w:pPr>
              <w:ind w:left="113" w:right="113"/>
              <w:rPr>
                <w:rFonts w:cs="Arial"/>
                <w:b/>
                <w:bCs/>
              </w:rPr>
            </w:pPr>
          </w:p>
        </w:tc>
      </w:tr>
      <w:tr w:rsidR="00422823" w:rsidRPr="00F34EB3" w14:paraId="140FFD0B" w14:textId="77777777" w:rsidTr="00422823">
        <w:trPr>
          <w:trHeight w:val="847"/>
        </w:trPr>
        <w:tc>
          <w:tcPr>
            <w:tcW w:w="663" w:type="dxa"/>
            <w:textDirection w:val="btLr"/>
          </w:tcPr>
          <w:p w14:paraId="617EFF39" w14:textId="45098B1C" w:rsidR="00422823" w:rsidRPr="00F34EB3" w:rsidRDefault="00422823" w:rsidP="00422823">
            <w:pPr>
              <w:rPr>
                <w:rFonts w:cs="Arial"/>
                <w:b/>
                <w:bCs/>
              </w:rPr>
            </w:pPr>
            <w:r w:rsidRPr="00F34EB3">
              <w:rPr>
                <w:rFonts w:cs="Arial"/>
                <w:b/>
                <w:bCs/>
              </w:rPr>
              <w:t>Method / tool used</w:t>
            </w:r>
          </w:p>
        </w:tc>
        <w:tc>
          <w:tcPr>
            <w:tcW w:w="892" w:type="dxa"/>
          </w:tcPr>
          <w:p w14:paraId="601219AD" w14:textId="77777777" w:rsidR="00422823" w:rsidRPr="00F34EB3" w:rsidRDefault="00422823" w:rsidP="00422823">
            <w:pPr>
              <w:rPr>
                <w:rFonts w:cs="Arial"/>
                <w:b/>
                <w:bCs/>
              </w:rPr>
            </w:pPr>
          </w:p>
        </w:tc>
      </w:tr>
      <w:tr w:rsidR="00422823" w:rsidRPr="00F34EB3" w14:paraId="04D81961" w14:textId="77777777" w:rsidTr="00422823">
        <w:trPr>
          <w:trHeight w:val="847"/>
        </w:trPr>
        <w:tc>
          <w:tcPr>
            <w:tcW w:w="663" w:type="dxa"/>
            <w:textDirection w:val="btLr"/>
          </w:tcPr>
          <w:p w14:paraId="0B7A7602" w14:textId="2D411D29" w:rsidR="00422823" w:rsidRPr="00F34EB3" w:rsidRDefault="00422823" w:rsidP="00422823">
            <w:pPr>
              <w:rPr>
                <w:rFonts w:cs="Arial"/>
                <w:b/>
                <w:bCs/>
              </w:rPr>
            </w:pPr>
            <w:r w:rsidRPr="00F34EB3">
              <w:rPr>
                <w:rFonts w:cs="Arial"/>
                <w:b/>
                <w:bCs/>
              </w:rPr>
              <w:t>Main data sources (EPDs / databases)</w:t>
            </w:r>
          </w:p>
        </w:tc>
        <w:tc>
          <w:tcPr>
            <w:tcW w:w="892" w:type="dxa"/>
          </w:tcPr>
          <w:p w14:paraId="740DF08F" w14:textId="77777777" w:rsidR="00422823" w:rsidRPr="00F34EB3" w:rsidRDefault="00422823" w:rsidP="00422823">
            <w:pPr>
              <w:rPr>
                <w:rFonts w:cs="Arial"/>
                <w:b/>
                <w:bCs/>
              </w:rPr>
            </w:pPr>
          </w:p>
        </w:tc>
      </w:tr>
      <w:tr w:rsidR="00422823" w:rsidRPr="00F34EB3" w14:paraId="1AF8C07E" w14:textId="77777777" w:rsidTr="00422823">
        <w:trPr>
          <w:trHeight w:val="847"/>
        </w:trPr>
        <w:tc>
          <w:tcPr>
            <w:tcW w:w="663" w:type="dxa"/>
            <w:textDirection w:val="btLr"/>
          </w:tcPr>
          <w:p w14:paraId="089ABB2D" w14:textId="7DC556B5" w:rsidR="00422823" w:rsidRPr="00F34EB3" w:rsidRDefault="00422823" w:rsidP="00422823">
            <w:pPr>
              <w:rPr>
                <w:rFonts w:cs="Arial"/>
                <w:b/>
                <w:bCs/>
              </w:rPr>
            </w:pPr>
            <w:r w:rsidRPr="00F34EB3">
              <w:rPr>
                <w:rFonts w:cs="Arial"/>
                <w:b/>
                <w:bCs/>
              </w:rPr>
              <w:t>Key assumptions (service lives, grid decarbonisation, end-of-life scenarios)</w:t>
            </w:r>
          </w:p>
        </w:tc>
        <w:tc>
          <w:tcPr>
            <w:tcW w:w="892" w:type="dxa"/>
          </w:tcPr>
          <w:p w14:paraId="330B60AD" w14:textId="77777777" w:rsidR="00422823" w:rsidRPr="00F34EB3" w:rsidRDefault="00422823" w:rsidP="00422823">
            <w:pPr>
              <w:rPr>
                <w:rFonts w:cs="Arial"/>
                <w:b/>
                <w:bCs/>
              </w:rPr>
            </w:pPr>
          </w:p>
        </w:tc>
      </w:tr>
      <w:tr w:rsidR="00422823" w:rsidRPr="00F34EB3" w14:paraId="78652CF1" w14:textId="77777777" w:rsidTr="00422823">
        <w:trPr>
          <w:trHeight w:val="847"/>
        </w:trPr>
        <w:tc>
          <w:tcPr>
            <w:tcW w:w="663" w:type="dxa"/>
            <w:textDirection w:val="btLr"/>
          </w:tcPr>
          <w:p w14:paraId="1DB85DD7" w14:textId="63AAEF06" w:rsidR="00422823" w:rsidRPr="00F34EB3" w:rsidRDefault="00422823" w:rsidP="00422823">
            <w:pPr>
              <w:rPr>
                <w:rFonts w:cs="Arial"/>
                <w:b/>
                <w:bCs/>
              </w:rPr>
            </w:pPr>
            <w:r w:rsidRPr="00F34EB3">
              <w:rPr>
                <w:rFonts w:cs="Arial"/>
                <w:b/>
                <w:bCs/>
              </w:rPr>
              <w:t>Whole Life Carbon Coordinator name and organisation</w:t>
            </w:r>
          </w:p>
        </w:tc>
        <w:tc>
          <w:tcPr>
            <w:tcW w:w="892" w:type="dxa"/>
          </w:tcPr>
          <w:p w14:paraId="44F4D3C0" w14:textId="77777777" w:rsidR="00422823" w:rsidRPr="00F34EB3" w:rsidRDefault="00422823" w:rsidP="00422823">
            <w:pPr>
              <w:rPr>
                <w:rFonts w:cs="Arial"/>
                <w:b/>
                <w:bCs/>
              </w:rPr>
            </w:pPr>
          </w:p>
        </w:tc>
      </w:tr>
      <w:tr w:rsidR="00422823" w:rsidRPr="00F34EB3" w14:paraId="70E9A920" w14:textId="77777777" w:rsidTr="00422823">
        <w:trPr>
          <w:trHeight w:val="847"/>
        </w:trPr>
        <w:tc>
          <w:tcPr>
            <w:tcW w:w="663" w:type="dxa"/>
            <w:textDirection w:val="btLr"/>
          </w:tcPr>
          <w:p w14:paraId="30A624AB" w14:textId="6F189A63" w:rsidR="00422823" w:rsidRPr="00F34EB3" w:rsidRDefault="00422823" w:rsidP="00422823">
            <w:pPr>
              <w:rPr>
                <w:rFonts w:cs="Arial"/>
                <w:b/>
                <w:bCs/>
              </w:rPr>
            </w:pPr>
            <w:r w:rsidRPr="00F34EB3">
              <w:rPr>
                <w:rFonts w:cs="Arial"/>
                <w:b/>
                <w:bCs/>
              </w:rPr>
              <w:t>Date of assessment</w:t>
            </w:r>
          </w:p>
        </w:tc>
        <w:tc>
          <w:tcPr>
            <w:tcW w:w="892" w:type="dxa"/>
          </w:tcPr>
          <w:p w14:paraId="70D971B6" w14:textId="77777777" w:rsidR="00422823" w:rsidRPr="00F34EB3" w:rsidRDefault="00422823" w:rsidP="00422823">
            <w:pPr>
              <w:rPr>
                <w:rFonts w:cs="Arial"/>
                <w:b/>
                <w:bCs/>
              </w:rPr>
            </w:pPr>
          </w:p>
        </w:tc>
      </w:tr>
      <w:tr w:rsidR="00422823" w:rsidRPr="00F34EB3" w14:paraId="53B8D20C" w14:textId="77777777" w:rsidTr="0081448E">
        <w:trPr>
          <w:trHeight w:val="953"/>
        </w:trPr>
        <w:tc>
          <w:tcPr>
            <w:tcW w:w="663" w:type="dxa"/>
            <w:textDirection w:val="btLr"/>
          </w:tcPr>
          <w:p w14:paraId="7830676A" w14:textId="6FFC40C2" w:rsidR="00422823" w:rsidRPr="00F34EB3" w:rsidRDefault="00422823" w:rsidP="00422823">
            <w:pPr>
              <w:rPr>
                <w:rFonts w:cs="Arial"/>
                <w:b/>
                <w:bCs/>
              </w:rPr>
            </w:pPr>
            <w:r w:rsidRPr="00F34EB3">
              <w:rPr>
                <w:rFonts w:cs="Arial"/>
                <w:b/>
                <w:bCs/>
              </w:rPr>
              <w:t>Stage (Design / As-built)</w:t>
            </w:r>
          </w:p>
        </w:tc>
        <w:tc>
          <w:tcPr>
            <w:tcW w:w="892" w:type="dxa"/>
          </w:tcPr>
          <w:p w14:paraId="73FC4B76" w14:textId="77777777" w:rsidR="00422823" w:rsidRPr="00F34EB3" w:rsidRDefault="00422823" w:rsidP="00422823">
            <w:pPr>
              <w:rPr>
                <w:rFonts w:cs="Arial"/>
                <w:b/>
                <w:bCs/>
              </w:rPr>
            </w:pPr>
          </w:p>
        </w:tc>
      </w:tr>
    </w:tbl>
    <w:p w14:paraId="64A057C0" w14:textId="79E580D4" w:rsidR="00960F7B" w:rsidRPr="00F34EB3" w:rsidRDefault="00506071" w:rsidP="008B51C5">
      <w:pPr>
        <w:rPr>
          <w:rFonts w:cs="Arial"/>
          <w:i/>
          <w:iCs/>
        </w:rPr>
      </w:pPr>
      <w:r w:rsidRPr="00F34EB3">
        <w:rPr>
          <w:rFonts w:cs="Arial"/>
          <w:i/>
          <w:iCs/>
        </w:rPr>
        <w:t>Table Z3 – Provides an indicative minimum reporting template for Whole Life Carbon Assessment results, showing the core metrics, assumptions and project information that should be recorded for domestic dwelling schemes within the scope of this document.</w:t>
      </w:r>
    </w:p>
    <w:tbl>
      <w:tblPr>
        <w:tblStyle w:val="TableGridLight"/>
        <w:tblW w:w="0" w:type="auto"/>
        <w:tblLook w:val="04A0" w:firstRow="1" w:lastRow="0" w:firstColumn="1" w:lastColumn="0" w:noHBand="0" w:noVBand="1"/>
      </w:tblPr>
      <w:tblGrid>
        <w:gridCol w:w="2629"/>
        <w:gridCol w:w="2652"/>
        <w:gridCol w:w="5175"/>
      </w:tblGrid>
      <w:tr w:rsidR="003C2FDC" w:rsidRPr="003C2FDC" w14:paraId="7B9E82D9" w14:textId="77777777" w:rsidTr="003C2FDC">
        <w:tc>
          <w:tcPr>
            <w:tcW w:w="0" w:type="auto"/>
            <w:hideMark/>
          </w:tcPr>
          <w:p w14:paraId="30F68BE7" w14:textId="77777777" w:rsidR="003C2FDC" w:rsidRPr="003C2FDC" w:rsidRDefault="003C2FDC" w:rsidP="003C2FDC">
            <w:pPr>
              <w:spacing w:after="160" w:line="259" w:lineRule="auto"/>
              <w:rPr>
                <w:b/>
                <w:bCs/>
              </w:rPr>
            </w:pPr>
            <w:r w:rsidRPr="003C2FDC">
              <w:rPr>
                <w:b/>
                <w:bCs/>
              </w:rPr>
              <w:t>Design move / strategy</w:t>
            </w:r>
          </w:p>
        </w:tc>
        <w:tc>
          <w:tcPr>
            <w:tcW w:w="0" w:type="auto"/>
            <w:hideMark/>
          </w:tcPr>
          <w:p w14:paraId="7D61FB19" w14:textId="77777777" w:rsidR="003C2FDC" w:rsidRPr="003C2FDC" w:rsidRDefault="003C2FDC" w:rsidP="003C2FDC">
            <w:pPr>
              <w:spacing w:after="160" w:line="259" w:lineRule="auto"/>
              <w:rPr>
                <w:b/>
                <w:bCs/>
              </w:rPr>
            </w:pPr>
            <w:r w:rsidRPr="003C2FDC">
              <w:rPr>
                <w:b/>
                <w:bCs/>
              </w:rPr>
              <w:t>Primary WLC lever</w:t>
            </w:r>
          </w:p>
        </w:tc>
        <w:tc>
          <w:tcPr>
            <w:tcW w:w="0" w:type="auto"/>
            <w:hideMark/>
          </w:tcPr>
          <w:p w14:paraId="32EAFAA6" w14:textId="77777777" w:rsidR="003C2FDC" w:rsidRPr="003C2FDC" w:rsidRDefault="003C2FDC" w:rsidP="003C2FDC">
            <w:pPr>
              <w:spacing w:after="160" w:line="259" w:lineRule="auto"/>
              <w:rPr>
                <w:b/>
                <w:bCs/>
              </w:rPr>
            </w:pPr>
            <w:r w:rsidRPr="003C2FDC">
              <w:rPr>
                <w:b/>
                <w:bCs/>
              </w:rPr>
              <w:t>Indicative impact on WLC (qualitative/indicative)</w:t>
            </w:r>
          </w:p>
        </w:tc>
      </w:tr>
      <w:tr w:rsidR="003C2FDC" w:rsidRPr="003C2FDC" w14:paraId="0CEC1DEF" w14:textId="77777777" w:rsidTr="003C2FDC">
        <w:tc>
          <w:tcPr>
            <w:tcW w:w="0" w:type="auto"/>
            <w:hideMark/>
          </w:tcPr>
          <w:p w14:paraId="0B0EC927" w14:textId="77777777" w:rsidR="003C2FDC" w:rsidRPr="003C2FDC" w:rsidRDefault="003C2FDC" w:rsidP="003C2FDC">
            <w:pPr>
              <w:spacing w:after="160" w:line="259" w:lineRule="auto"/>
            </w:pPr>
            <w:r w:rsidRPr="003C2FDC">
              <w:rPr>
                <w:b/>
                <w:bCs/>
              </w:rPr>
              <w:t>Retain existing structure and façades instead of demolishing and rebuilding</w:t>
            </w:r>
          </w:p>
        </w:tc>
        <w:tc>
          <w:tcPr>
            <w:tcW w:w="0" w:type="auto"/>
            <w:hideMark/>
          </w:tcPr>
          <w:p w14:paraId="51479CA2" w14:textId="77777777" w:rsidR="003C2FDC" w:rsidRPr="003C2FDC" w:rsidRDefault="003C2FDC" w:rsidP="003C2FDC">
            <w:pPr>
              <w:spacing w:after="160" w:line="259" w:lineRule="auto"/>
            </w:pPr>
            <w:r w:rsidRPr="003C2FDC">
              <w:t>Avoids large upfront A1–A5 emissions from new concrete and steel; reduces demolition and construction waste at C-stages.</w:t>
            </w:r>
          </w:p>
        </w:tc>
        <w:tc>
          <w:tcPr>
            <w:tcW w:w="0" w:type="auto"/>
            <w:hideMark/>
          </w:tcPr>
          <w:p w14:paraId="4350C6EC" w14:textId="77777777" w:rsidR="003C2FDC" w:rsidRPr="003C2FDC" w:rsidRDefault="003C2FDC" w:rsidP="003C2FDC">
            <w:pPr>
              <w:spacing w:after="160" w:line="259" w:lineRule="auto"/>
            </w:pPr>
            <w:r w:rsidRPr="003C2FDC">
              <w:t xml:space="preserve">Office refurbishments that retain the primary frame and façade have achieved upfront embodied intensities in the region of </w:t>
            </w:r>
            <w:r w:rsidRPr="003C2FDC">
              <w:rPr>
                <w:b/>
                <w:bCs/>
              </w:rPr>
              <w:t xml:space="preserve">~340–400 </w:t>
            </w:r>
            <w:proofErr w:type="spellStart"/>
            <w:r w:rsidRPr="003C2FDC">
              <w:rPr>
                <w:b/>
                <w:bCs/>
              </w:rPr>
              <w:t>kgCO</w:t>
            </w:r>
            <w:r w:rsidRPr="003C2FDC">
              <w:rPr>
                <w:rFonts w:ascii="Cambria Math" w:hAnsi="Cambria Math" w:cs="Cambria Math"/>
                <w:b/>
                <w:bCs/>
              </w:rPr>
              <w:t>₂</w:t>
            </w:r>
            <w:r w:rsidRPr="003C2FDC">
              <w:rPr>
                <w:b/>
                <w:bCs/>
              </w:rPr>
              <w:t>e</w:t>
            </w:r>
            <w:proofErr w:type="spellEnd"/>
            <w:r w:rsidRPr="003C2FDC">
              <w:rPr>
                <w:b/>
                <w:bCs/>
              </w:rPr>
              <w:t>/m</w:t>
            </w:r>
            <w:r w:rsidRPr="003C2FDC">
              <w:rPr>
                <w:rFonts w:cs="Arial"/>
                <w:b/>
                <w:bCs/>
              </w:rPr>
              <w:t>²</w:t>
            </w:r>
            <w:r w:rsidRPr="003C2FDC">
              <w:t xml:space="preserve">, around </w:t>
            </w:r>
            <w:r w:rsidRPr="003C2FDC">
              <w:rPr>
                <w:b/>
                <w:bCs/>
              </w:rPr>
              <w:t>50–70% lower</w:t>
            </w:r>
            <w:r w:rsidRPr="003C2FDC">
              <w:t xml:space="preserve"> than typical new-build offices (~600–1000 </w:t>
            </w:r>
            <w:proofErr w:type="spellStart"/>
            <w:r w:rsidRPr="003C2FDC">
              <w:t>kgCO</w:t>
            </w:r>
            <w:r w:rsidRPr="003C2FDC">
              <w:rPr>
                <w:rFonts w:ascii="Cambria Math" w:hAnsi="Cambria Math" w:cs="Cambria Math"/>
              </w:rPr>
              <w:t>₂</w:t>
            </w:r>
            <w:r w:rsidRPr="003C2FDC">
              <w:t>e</w:t>
            </w:r>
            <w:proofErr w:type="spellEnd"/>
            <w:r w:rsidRPr="003C2FDC">
              <w:t>/m</w:t>
            </w:r>
            <w:r w:rsidRPr="003C2FDC">
              <w:rPr>
                <w:rFonts w:cs="Arial"/>
              </w:rPr>
              <w:t>²</w:t>
            </w:r>
            <w:r w:rsidRPr="003C2FDC">
              <w:t>) when like-for-like floor area is compared (Landsec, 2021; Arup, no date; Historic England, 2020).</w:t>
            </w:r>
          </w:p>
        </w:tc>
      </w:tr>
      <w:tr w:rsidR="003C2FDC" w:rsidRPr="003C2FDC" w14:paraId="50075112" w14:textId="77777777" w:rsidTr="003C2FDC">
        <w:tc>
          <w:tcPr>
            <w:tcW w:w="0" w:type="auto"/>
            <w:hideMark/>
          </w:tcPr>
          <w:p w14:paraId="59451744" w14:textId="77777777" w:rsidR="003C2FDC" w:rsidRPr="003C2FDC" w:rsidRDefault="003C2FDC" w:rsidP="003C2FDC">
            <w:pPr>
              <w:spacing w:after="160" w:line="259" w:lineRule="auto"/>
            </w:pPr>
            <w:r w:rsidRPr="003C2FDC">
              <w:rPr>
                <w:b/>
                <w:bCs/>
              </w:rPr>
              <w:t>Switch from conventional concrete/steel superstructure to mass timber (CLT) or hybrid frame</w:t>
            </w:r>
          </w:p>
        </w:tc>
        <w:tc>
          <w:tcPr>
            <w:tcW w:w="0" w:type="auto"/>
            <w:hideMark/>
          </w:tcPr>
          <w:p w14:paraId="4A9A6372" w14:textId="77777777" w:rsidR="003C2FDC" w:rsidRPr="003C2FDC" w:rsidRDefault="003C2FDC" w:rsidP="003C2FDC">
            <w:pPr>
              <w:spacing w:after="160" w:line="259" w:lineRule="auto"/>
            </w:pPr>
            <w:r w:rsidRPr="003C2FDC">
              <w:t>Replaces high-carbon materials with lower-carbon, biogenic alternatives; potential for short- to medium-term carbon storage in timber.</w:t>
            </w:r>
          </w:p>
        </w:tc>
        <w:tc>
          <w:tcPr>
            <w:tcW w:w="0" w:type="auto"/>
            <w:hideMark/>
          </w:tcPr>
          <w:p w14:paraId="1FE5DACB" w14:textId="77777777" w:rsidR="003C2FDC" w:rsidRPr="003C2FDC" w:rsidRDefault="003C2FDC" w:rsidP="003C2FDC">
            <w:pPr>
              <w:spacing w:after="160" w:line="259" w:lineRule="auto"/>
            </w:pPr>
            <w:r w:rsidRPr="003C2FDC">
              <w:t xml:space="preserve">Analysis for the UK Climate Change Committee indicates that </w:t>
            </w:r>
            <w:r w:rsidRPr="003C2FDC">
              <w:rPr>
                <w:b/>
                <w:bCs/>
              </w:rPr>
              <w:t>CLT superstructures can reduce embodied carbon for the frame by around 60%</w:t>
            </w:r>
            <w:r w:rsidRPr="003C2FDC">
              <w:t xml:space="preserve"> compared with a concrete baseline of equivalent performance, while also enabling lighter foundations (</w:t>
            </w:r>
            <w:proofErr w:type="spellStart"/>
            <w:r w:rsidRPr="003C2FDC">
              <w:t>BioComposites</w:t>
            </w:r>
            <w:proofErr w:type="spellEnd"/>
            <w:r w:rsidRPr="003C2FDC">
              <w:t xml:space="preserve"> Centre, 2019).</w:t>
            </w:r>
          </w:p>
        </w:tc>
      </w:tr>
      <w:tr w:rsidR="003C2FDC" w:rsidRPr="003C2FDC" w14:paraId="7659DEA4" w14:textId="77777777" w:rsidTr="003C2FDC">
        <w:tc>
          <w:tcPr>
            <w:tcW w:w="0" w:type="auto"/>
            <w:hideMark/>
          </w:tcPr>
          <w:p w14:paraId="43BE09A3" w14:textId="77777777" w:rsidR="003C2FDC" w:rsidRPr="003C2FDC" w:rsidRDefault="003C2FDC" w:rsidP="003C2FDC">
            <w:pPr>
              <w:spacing w:after="160" w:line="259" w:lineRule="auto"/>
            </w:pPr>
            <w:r w:rsidRPr="003C2FDC">
              <w:rPr>
                <w:b/>
                <w:bCs/>
              </w:rPr>
              <w:t>Specify high-SCM low-carbon concrete and high-recycled-content reinforcement</w:t>
            </w:r>
          </w:p>
        </w:tc>
        <w:tc>
          <w:tcPr>
            <w:tcW w:w="0" w:type="auto"/>
            <w:hideMark/>
          </w:tcPr>
          <w:p w14:paraId="6C8493D8" w14:textId="77777777" w:rsidR="003C2FDC" w:rsidRPr="003C2FDC" w:rsidRDefault="003C2FDC" w:rsidP="003C2FDC">
            <w:pPr>
              <w:spacing w:after="160" w:line="259" w:lineRule="auto"/>
            </w:pPr>
            <w:r w:rsidRPr="003C2FDC">
              <w:t>Reduces clinker content and primary steel production, cutting emissions associated with structural concrete.</w:t>
            </w:r>
          </w:p>
        </w:tc>
        <w:tc>
          <w:tcPr>
            <w:tcW w:w="0" w:type="auto"/>
            <w:hideMark/>
          </w:tcPr>
          <w:p w14:paraId="3528B94F" w14:textId="77777777" w:rsidR="003C2FDC" w:rsidRPr="003C2FDC" w:rsidRDefault="003C2FDC" w:rsidP="003C2FDC">
            <w:pPr>
              <w:spacing w:after="160" w:line="259" w:lineRule="auto"/>
            </w:pPr>
            <w:r w:rsidRPr="003C2FDC">
              <w:t xml:space="preserve">Case studies such as the Enterprise Centre report </w:t>
            </w:r>
            <w:r w:rsidRPr="003C2FDC">
              <w:rPr>
                <w:b/>
                <w:bCs/>
              </w:rPr>
              <w:t>~62% reduction in concrete-related embodied carbon</w:t>
            </w:r>
            <w:r w:rsidRPr="003C2FDC">
              <w:t xml:space="preserve"> when using ~70% GGBS replacement and high recycled-content reinforcement, contributing to an overall upfront intensity of about </w:t>
            </w:r>
            <w:r w:rsidRPr="003C2FDC">
              <w:rPr>
                <w:b/>
                <w:bCs/>
              </w:rPr>
              <w:t xml:space="preserve">443 </w:t>
            </w:r>
            <w:proofErr w:type="spellStart"/>
            <w:r w:rsidRPr="003C2FDC">
              <w:rPr>
                <w:b/>
                <w:bCs/>
              </w:rPr>
              <w:t>kgCO</w:t>
            </w:r>
            <w:r w:rsidRPr="003C2FDC">
              <w:rPr>
                <w:rFonts w:ascii="Cambria Math" w:hAnsi="Cambria Math" w:cs="Cambria Math"/>
                <w:b/>
                <w:bCs/>
              </w:rPr>
              <w:t>₂</w:t>
            </w:r>
            <w:r w:rsidRPr="003C2FDC">
              <w:rPr>
                <w:b/>
                <w:bCs/>
              </w:rPr>
              <w:t>e</w:t>
            </w:r>
            <w:proofErr w:type="spellEnd"/>
            <w:r w:rsidRPr="003C2FDC">
              <w:rPr>
                <w:b/>
                <w:bCs/>
              </w:rPr>
              <w:t>/m</w:t>
            </w:r>
            <w:r w:rsidRPr="003C2FDC">
              <w:rPr>
                <w:rFonts w:cs="Arial"/>
                <w:b/>
                <w:bCs/>
              </w:rPr>
              <w:t>²</w:t>
            </w:r>
            <w:r w:rsidRPr="003C2FDC">
              <w:t xml:space="preserve">, roughly </w:t>
            </w:r>
            <w:r w:rsidRPr="003C2FDC">
              <w:rPr>
                <w:b/>
                <w:bCs/>
              </w:rPr>
              <w:t>65% lower</w:t>
            </w:r>
            <w:r w:rsidRPr="003C2FDC">
              <w:t xml:space="preserve"> than a conventional university building benchmark (UK Green Building Council, no date; </w:t>
            </w:r>
            <w:proofErr w:type="spellStart"/>
            <w:r w:rsidRPr="003C2FDC">
              <w:t>BioComposites</w:t>
            </w:r>
            <w:proofErr w:type="spellEnd"/>
            <w:r w:rsidRPr="003C2FDC">
              <w:t xml:space="preserve"> Centre, 2019).</w:t>
            </w:r>
          </w:p>
        </w:tc>
      </w:tr>
      <w:tr w:rsidR="003C2FDC" w:rsidRPr="003C2FDC" w14:paraId="4C158824" w14:textId="77777777" w:rsidTr="003C2FDC">
        <w:tc>
          <w:tcPr>
            <w:tcW w:w="0" w:type="auto"/>
            <w:hideMark/>
          </w:tcPr>
          <w:p w14:paraId="70BF3CB3" w14:textId="77777777" w:rsidR="003C2FDC" w:rsidRPr="003C2FDC" w:rsidRDefault="003C2FDC" w:rsidP="003C2FDC">
            <w:pPr>
              <w:spacing w:after="160" w:line="259" w:lineRule="auto"/>
            </w:pPr>
            <w:r w:rsidRPr="003C2FDC">
              <w:rPr>
                <w:b/>
                <w:bCs/>
              </w:rPr>
              <w:t>Use bio-based wall and roof build-ups (e.g. straw-bale, hempcrete, cellulose) with design for disassembly</w:t>
            </w:r>
          </w:p>
        </w:tc>
        <w:tc>
          <w:tcPr>
            <w:tcW w:w="0" w:type="auto"/>
            <w:hideMark/>
          </w:tcPr>
          <w:p w14:paraId="73889A6E" w14:textId="77777777" w:rsidR="003C2FDC" w:rsidRPr="003C2FDC" w:rsidRDefault="003C2FDC" w:rsidP="003C2FDC">
            <w:pPr>
              <w:spacing w:after="160" w:line="259" w:lineRule="auto"/>
            </w:pPr>
            <w:r w:rsidRPr="003C2FDC">
              <w:t>Low-carbon materials, potential carbon sequestration, and future reuse or recycling of components at end-of-life.</w:t>
            </w:r>
          </w:p>
        </w:tc>
        <w:tc>
          <w:tcPr>
            <w:tcW w:w="0" w:type="auto"/>
            <w:hideMark/>
          </w:tcPr>
          <w:p w14:paraId="5A997475" w14:textId="77777777" w:rsidR="003C2FDC" w:rsidRPr="003C2FDC" w:rsidRDefault="003C2FDC" w:rsidP="003C2FDC">
            <w:pPr>
              <w:spacing w:after="160" w:line="259" w:lineRule="auto"/>
            </w:pPr>
            <w:r w:rsidRPr="003C2FDC">
              <w:t xml:space="preserve">Straw-bale and similar bio-based wall systems have been shown to have </w:t>
            </w:r>
            <w:r w:rsidRPr="003C2FDC">
              <w:rPr>
                <w:b/>
                <w:bCs/>
              </w:rPr>
              <w:t>around half the embodied carbon</w:t>
            </w:r>
            <w:r w:rsidRPr="003C2FDC">
              <w:t xml:space="preserve"> of equivalent brick-and-block constructions, while storing carbon during service life, provided detailing manages moisture and fire risk; design for disassembly can further reduce C-stage impacts by enabling recovery and reuse (Straw-Bale Building UK, no date; World Green Building Council, 2019).</w:t>
            </w:r>
          </w:p>
        </w:tc>
      </w:tr>
      <w:tr w:rsidR="003C2FDC" w:rsidRPr="003C2FDC" w14:paraId="3D0B7545" w14:textId="77777777" w:rsidTr="003C2FDC">
        <w:tc>
          <w:tcPr>
            <w:tcW w:w="0" w:type="auto"/>
            <w:hideMark/>
          </w:tcPr>
          <w:p w14:paraId="7114AC89" w14:textId="77777777" w:rsidR="003C2FDC" w:rsidRPr="003C2FDC" w:rsidRDefault="003C2FDC" w:rsidP="003C2FDC">
            <w:pPr>
              <w:spacing w:after="160" w:line="259" w:lineRule="auto"/>
            </w:pPr>
            <w:r w:rsidRPr="003C2FDC">
              <w:rPr>
                <w:b/>
                <w:bCs/>
              </w:rPr>
              <w:t>Combine fabric-first envelope, efficient services, heat pumps and on-site PV sized to realistic demand</w:t>
            </w:r>
          </w:p>
        </w:tc>
        <w:tc>
          <w:tcPr>
            <w:tcW w:w="0" w:type="auto"/>
            <w:hideMark/>
          </w:tcPr>
          <w:p w14:paraId="412BED58" w14:textId="77777777" w:rsidR="003C2FDC" w:rsidRPr="003C2FDC" w:rsidRDefault="003C2FDC" w:rsidP="003C2FDC">
            <w:pPr>
              <w:spacing w:after="160" w:line="259" w:lineRule="auto"/>
            </w:pPr>
            <w:r w:rsidRPr="003C2FDC">
              <w:t>Reduces B6 operational energy and associated carbon, particularly as the electricity grid decarbonises.</w:t>
            </w:r>
          </w:p>
        </w:tc>
        <w:tc>
          <w:tcPr>
            <w:tcW w:w="0" w:type="auto"/>
            <w:hideMark/>
          </w:tcPr>
          <w:p w14:paraId="4D3D2042" w14:textId="77777777" w:rsidR="003C2FDC" w:rsidRPr="003C2FDC" w:rsidRDefault="003C2FDC" w:rsidP="003C2FDC">
            <w:pPr>
              <w:spacing w:after="160" w:line="259" w:lineRule="auto"/>
            </w:pPr>
            <w:r w:rsidRPr="003C2FDC">
              <w:t xml:space="preserve">Passivhaus and similar ultra-low-energy buildings demonstrate </w:t>
            </w:r>
            <w:r w:rsidRPr="003C2FDC">
              <w:rPr>
                <w:b/>
                <w:bCs/>
              </w:rPr>
              <w:t>70–90% lower space-heating demand</w:t>
            </w:r>
            <w:r w:rsidRPr="003C2FDC">
              <w:t xml:space="preserve"> than typical UK stock. When assessed on a whole-life basis, most residual emissions can then sit in materials, underlining the need to pair deep fabric and systems efficiency with low-carbon construction (Giordano et al., 2017; RIBA, 2021).</w:t>
            </w:r>
          </w:p>
        </w:tc>
      </w:tr>
    </w:tbl>
    <w:p w14:paraId="437F199C" w14:textId="5EF73F75" w:rsidR="00846356" w:rsidRDefault="003C2FDC" w:rsidP="003C2FDC">
      <w:pPr>
        <w:rPr>
          <w:i/>
          <w:iCs/>
        </w:rPr>
      </w:pPr>
      <w:r w:rsidRPr="003C2FDC">
        <w:rPr>
          <w:i/>
          <w:iCs/>
        </w:rPr>
        <w:t>Table Z4 – Illustrative design moves and indicative whole life carbon impacts (non-mandatory)</w:t>
      </w:r>
    </w:p>
    <w:tbl>
      <w:tblPr>
        <w:tblStyle w:val="TableGridLight"/>
        <w:tblW w:w="0" w:type="auto"/>
        <w:tblLook w:val="04A0" w:firstRow="1" w:lastRow="0" w:firstColumn="1" w:lastColumn="0" w:noHBand="0" w:noVBand="1"/>
      </w:tblPr>
      <w:tblGrid>
        <w:gridCol w:w="2207"/>
        <w:gridCol w:w="3818"/>
        <w:gridCol w:w="4431"/>
      </w:tblGrid>
      <w:tr w:rsidR="00BE7EFF" w:rsidRPr="00BE7EFF" w14:paraId="4BBEF34A" w14:textId="77777777" w:rsidTr="00BE7EFF">
        <w:tc>
          <w:tcPr>
            <w:tcW w:w="0" w:type="auto"/>
            <w:hideMark/>
          </w:tcPr>
          <w:p w14:paraId="2B538B4E" w14:textId="77777777" w:rsidR="00BE7EFF" w:rsidRPr="00BE7EFF" w:rsidRDefault="00BE7EFF" w:rsidP="00BE7EFF">
            <w:pPr>
              <w:spacing w:after="160" w:line="259" w:lineRule="auto"/>
              <w:rPr>
                <w:b/>
                <w:bCs/>
              </w:rPr>
            </w:pPr>
            <w:r w:rsidRPr="00BE7EFF">
              <w:rPr>
                <w:b/>
                <w:bCs/>
              </w:rPr>
              <w:t>Project</w:t>
            </w:r>
          </w:p>
        </w:tc>
        <w:tc>
          <w:tcPr>
            <w:tcW w:w="0" w:type="auto"/>
            <w:hideMark/>
          </w:tcPr>
          <w:p w14:paraId="3F13F53F" w14:textId="77777777" w:rsidR="00BE7EFF" w:rsidRPr="00BE7EFF" w:rsidRDefault="00BE7EFF" w:rsidP="00BE7EFF">
            <w:pPr>
              <w:spacing w:after="160" w:line="259" w:lineRule="auto"/>
              <w:rPr>
                <w:b/>
                <w:bCs/>
              </w:rPr>
            </w:pPr>
            <w:r w:rsidRPr="00BE7EFF">
              <w:rPr>
                <w:b/>
                <w:bCs/>
              </w:rPr>
              <w:t>Reported / target carbon intensity (where stated)</w:t>
            </w:r>
          </w:p>
        </w:tc>
        <w:tc>
          <w:tcPr>
            <w:tcW w:w="0" w:type="auto"/>
            <w:hideMark/>
          </w:tcPr>
          <w:p w14:paraId="7BB4376B" w14:textId="77777777" w:rsidR="00BE7EFF" w:rsidRPr="00BE7EFF" w:rsidRDefault="00BE7EFF" w:rsidP="00BE7EFF">
            <w:pPr>
              <w:spacing w:after="160" w:line="259" w:lineRule="auto"/>
              <w:rPr>
                <w:b/>
                <w:bCs/>
              </w:rPr>
            </w:pPr>
            <w:r w:rsidRPr="00BE7EFF">
              <w:rPr>
                <w:b/>
                <w:bCs/>
              </w:rPr>
              <w:t>Key design principles and WLC lessons</w:t>
            </w:r>
          </w:p>
        </w:tc>
      </w:tr>
      <w:tr w:rsidR="00BE7EFF" w:rsidRPr="00BE7EFF" w14:paraId="5C5FE47F" w14:textId="77777777" w:rsidTr="00BE7EFF">
        <w:tc>
          <w:tcPr>
            <w:tcW w:w="0" w:type="auto"/>
            <w:hideMark/>
          </w:tcPr>
          <w:p w14:paraId="77883B9D" w14:textId="77777777" w:rsidR="00BE7EFF" w:rsidRPr="00BE7EFF" w:rsidRDefault="00BE7EFF" w:rsidP="00BE7EFF">
            <w:pPr>
              <w:spacing w:after="160" w:line="259" w:lineRule="auto"/>
            </w:pPr>
            <w:r w:rsidRPr="00BE7EFF">
              <w:rPr>
                <w:b/>
                <w:bCs/>
              </w:rPr>
              <w:t>The Enterprise Centre, University of East Anglia</w:t>
            </w:r>
          </w:p>
        </w:tc>
        <w:tc>
          <w:tcPr>
            <w:tcW w:w="0" w:type="auto"/>
            <w:hideMark/>
          </w:tcPr>
          <w:p w14:paraId="4063FF27" w14:textId="77777777" w:rsidR="00BE7EFF" w:rsidRPr="00BE7EFF" w:rsidRDefault="00BE7EFF" w:rsidP="00BE7EFF">
            <w:pPr>
              <w:spacing w:after="160" w:line="259" w:lineRule="auto"/>
            </w:pPr>
            <w:r w:rsidRPr="00BE7EFF">
              <w:t xml:space="preserve">Reported </w:t>
            </w:r>
            <w:r w:rsidRPr="00BE7EFF">
              <w:rPr>
                <w:b/>
                <w:bCs/>
              </w:rPr>
              <w:t xml:space="preserve">~443 </w:t>
            </w:r>
            <w:proofErr w:type="spellStart"/>
            <w:r w:rsidRPr="00BE7EFF">
              <w:rPr>
                <w:b/>
                <w:bCs/>
              </w:rPr>
              <w:t>kgCO</w:t>
            </w:r>
            <w:r w:rsidRPr="00BE7EFF">
              <w:rPr>
                <w:rFonts w:ascii="Cambria Math" w:hAnsi="Cambria Math" w:cs="Cambria Math"/>
                <w:b/>
                <w:bCs/>
              </w:rPr>
              <w:t>₂</w:t>
            </w:r>
            <w:r w:rsidRPr="00BE7EFF">
              <w:rPr>
                <w:b/>
                <w:bCs/>
              </w:rPr>
              <w:t>e</w:t>
            </w:r>
            <w:proofErr w:type="spellEnd"/>
            <w:r w:rsidRPr="00BE7EFF">
              <w:rPr>
                <w:b/>
                <w:bCs/>
              </w:rPr>
              <w:t>/m</w:t>
            </w:r>
            <w:r w:rsidRPr="00BE7EFF">
              <w:rPr>
                <w:rFonts w:cs="Arial"/>
                <w:b/>
                <w:bCs/>
              </w:rPr>
              <w:t>²</w:t>
            </w:r>
            <w:r w:rsidRPr="00BE7EFF">
              <w:t xml:space="preserve"> upfront embodied carbon (cradle-to-practical completion), approximately </w:t>
            </w:r>
            <w:r w:rsidRPr="00BE7EFF">
              <w:rPr>
                <w:b/>
                <w:bCs/>
              </w:rPr>
              <w:t>65% lower</w:t>
            </w:r>
            <w:r w:rsidRPr="00BE7EFF">
              <w:t xml:space="preserve"> than a conventional UK university building benchmark at the time (UK Green Building Council, no date; </w:t>
            </w:r>
            <w:proofErr w:type="spellStart"/>
            <w:r w:rsidRPr="00BE7EFF">
              <w:t>BioComposites</w:t>
            </w:r>
            <w:proofErr w:type="spellEnd"/>
            <w:r w:rsidRPr="00BE7EFF">
              <w:t xml:space="preserve"> Centre, 2019).</w:t>
            </w:r>
          </w:p>
        </w:tc>
        <w:tc>
          <w:tcPr>
            <w:tcW w:w="0" w:type="auto"/>
            <w:hideMark/>
          </w:tcPr>
          <w:p w14:paraId="57406497" w14:textId="77777777" w:rsidR="00BE7EFF" w:rsidRPr="00BE7EFF" w:rsidRDefault="00BE7EFF" w:rsidP="00BE7EFF">
            <w:pPr>
              <w:spacing w:after="160" w:line="259" w:lineRule="auto"/>
            </w:pPr>
            <w:r w:rsidRPr="00BE7EFF">
              <w:t xml:space="preserve">Glulam timber frame; extensive use of bio-based materials (thatch, timber, hemp); high-GGBS concrete mixes; high recycled-content steel; MMC and careful detailing to minimise waste. Demonstrates how combining a </w:t>
            </w:r>
            <w:r w:rsidRPr="00BE7EFF">
              <w:rPr>
                <w:b/>
                <w:bCs/>
              </w:rPr>
              <w:t>timber structure with bio-based and recycled materials</w:t>
            </w:r>
            <w:r w:rsidRPr="00BE7EFF">
              <w:t xml:space="preserve"> can more than halve upfront embodied carbon while delivering high performance.</w:t>
            </w:r>
          </w:p>
        </w:tc>
      </w:tr>
      <w:tr w:rsidR="00BE7EFF" w:rsidRPr="00BE7EFF" w14:paraId="7ECA7C64" w14:textId="77777777" w:rsidTr="00BE7EFF">
        <w:tc>
          <w:tcPr>
            <w:tcW w:w="0" w:type="auto"/>
            <w:hideMark/>
          </w:tcPr>
          <w:p w14:paraId="65CDCEB3" w14:textId="77777777" w:rsidR="00BE7EFF" w:rsidRPr="00BE7EFF" w:rsidRDefault="00BE7EFF" w:rsidP="00BE7EFF">
            <w:pPr>
              <w:spacing w:after="160" w:line="259" w:lineRule="auto"/>
            </w:pPr>
            <w:r w:rsidRPr="00BE7EFF">
              <w:rPr>
                <w:b/>
                <w:bCs/>
              </w:rPr>
              <w:t>Portland House, London (major office refurbishment)</w:t>
            </w:r>
          </w:p>
        </w:tc>
        <w:tc>
          <w:tcPr>
            <w:tcW w:w="0" w:type="auto"/>
            <w:hideMark/>
          </w:tcPr>
          <w:p w14:paraId="237F9ED1" w14:textId="77777777" w:rsidR="00BE7EFF" w:rsidRPr="00BE7EFF" w:rsidRDefault="00BE7EFF" w:rsidP="00BE7EFF">
            <w:pPr>
              <w:spacing w:after="160" w:line="259" w:lineRule="auto"/>
            </w:pPr>
            <w:r w:rsidRPr="00BE7EFF">
              <w:t xml:space="preserve">Embodied carbon estimated at </w:t>
            </w:r>
            <w:r w:rsidRPr="00BE7EFF">
              <w:rPr>
                <w:b/>
                <w:bCs/>
              </w:rPr>
              <w:t xml:space="preserve">~342 </w:t>
            </w:r>
            <w:proofErr w:type="spellStart"/>
            <w:r w:rsidRPr="00BE7EFF">
              <w:rPr>
                <w:b/>
                <w:bCs/>
              </w:rPr>
              <w:t>kgCO</w:t>
            </w:r>
            <w:r w:rsidRPr="00BE7EFF">
              <w:rPr>
                <w:rFonts w:ascii="Cambria Math" w:hAnsi="Cambria Math" w:cs="Cambria Math"/>
                <w:b/>
                <w:bCs/>
              </w:rPr>
              <w:t>₂</w:t>
            </w:r>
            <w:r w:rsidRPr="00BE7EFF">
              <w:rPr>
                <w:b/>
                <w:bCs/>
              </w:rPr>
              <w:t>e</w:t>
            </w:r>
            <w:proofErr w:type="spellEnd"/>
            <w:r w:rsidRPr="00BE7EFF">
              <w:rPr>
                <w:b/>
                <w:bCs/>
              </w:rPr>
              <w:t>/m</w:t>
            </w:r>
            <w:r w:rsidRPr="00BE7EFF">
              <w:rPr>
                <w:rFonts w:cs="Arial"/>
                <w:b/>
                <w:bCs/>
              </w:rPr>
              <w:t>²</w:t>
            </w:r>
            <w:r w:rsidRPr="00BE7EFF">
              <w:t xml:space="preserve">, roughly </w:t>
            </w:r>
            <w:r w:rsidRPr="00BE7EFF">
              <w:rPr>
                <w:b/>
                <w:bCs/>
              </w:rPr>
              <w:t>one third</w:t>
            </w:r>
            <w:r w:rsidRPr="00BE7EFF">
              <w:t xml:space="preserve"> of a typical new-build London office of similar scale (Landsec, 2021; Arup, no date).</w:t>
            </w:r>
          </w:p>
        </w:tc>
        <w:tc>
          <w:tcPr>
            <w:tcW w:w="0" w:type="auto"/>
            <w:hideMark/>
          </w:tcPr>
          <w:p w14:paraId="71FC8014" w14:textId="77777777" w:rsidR="00BE7EFF" w:rsidRPr="00BE7EFF" w:rsidRDefault="00BE7EFF" w:rsidP="00BE7EFF">
            <w:pPr>
              <w:spacing w:after="160" w:line="259" w:lineRule="auto"/>
            </w:pPr>
            <w:r w:rsidRPr="00BE7EFF">
              <w:t xml:space="preserve">Retention of the existing concrete frame and façades; targeted strengthening and repairs; upgraded services and fabric. Provides a clear example of a </w:t>
            </w:r>
            <w:r w:rsidRPr="00BE7EFF">
              <w:rPr>
                <w:b/>
                <w:bCs/>
              </w:rPr>
              <w:t>“retrofit-first” structural reuse</w:t>
            </w:r>
            <w:r w:rsidRPr="00BE7EFF">
              <w:t xml:space="preserve"> approach, showing how deep refurbishment can dramatically reduce A1–A5 emissions compared with demolition and rebuild.</w:t>
            </w:r>
          </w:p>
        </w:tc>
      </w:tr>
      <w:tr w:rsidR="00BE7EFF" w:rsidRPr="00BE7EFF" w14:paraId="6D0C33D5" w14:textId="77777777" w:rsidTr="00BE7EFF">
        <w:tc>
          <w:tcPr>
            <w:tcW w:w="0" w:type="auto"/>
            <w:hideMark/>
          </w:tcPr>
          <w:p w14:paraId="391315B8" w14:textId="77777777" w:rsidR="00BE7EFF" w:rsidRPr="00BE7EFF" w:rsidRDefault="00BE7EFF" w:rsidP="00BE7EFF">
            <w:pPr>
              <w:spacing w:after="160" w:line="259" w:lineRule="auto"/>
            </w:pPr>
            <w:r w:rsidRPr="00BE7EFF">
              <w:rPr>
                <w:b/>
                <w:bCs/>
              </w:rPr>
              <w:t>Vale of Glamorgan net-zero primary school pilot</w:t>
            </w:r>
          </w:p>
        </w:tc>
        <w:tc>
          <w:tcPr>
            <w:tcW w:w="0" w:type="auto"/>
            <w:hideMark/>
          </w:tcPr>
          <w:p w14:paraId="2C350465" w14:textId="77777777" w:rsidR="00BE7EFF" w:rsidRPr="00BE7EFF" w:rsidRDefault="00BE7EFF" w:rsidP="00BE7EFF">
            <w:pPr>
              <w:spacing w:after="160" w:line="259" w:lineRule="auto"/>
            </w:pPr>
            <w:r w:rsidRPr="00BE7EFF">
              <w:t xml:space="preserve">Embodied carbon design target of </w:t>
            </w:r>
            <w:r w:rsidRPr="00BE7EFF">
              <w:rPr>
                <w:b/>
                <w:bCs/>
              </w:rPr>
              <w:t xml:space="preserve">&lt;600 </w:t>
            </w:r>
            <w:proofErr w:type="spellStart"/>
            <w:r w:rsidRPr="00BE7EFF">
              <w:rPr>
                <w:b/>
                <w:bCs/>
              </w:rPr>
              <w:t>kgCO</w:t>
            </w:r>
            <w:r w:rsidRPr="00BE7EFF">
              <w:rPr>
                <w:rFonts w:ascii="Cambria Math" w:hAnsi="Cambria Math" w:cs="Cambria Math"/>
                <w:b/>
                <w:bCs/>
              </w:rPr>
              <w:t>₂</w:t>
            </w:r>
            <w:r w:rsidRPr="00BE7EFF">
              <w:rPr>
                <w:b/>
                <w:bCs/>
              </w:rPr>
              <w:t>e</w:t>
            </w:r>
            <w:proofErr w:type="spellEnd"/>
            <w:r w:rsidRPr="00BE7EFF">
              <w:rPr>
                <w:b/>
                <w:bCs/>
              </w:rPr>
              <w:t>/m</w:t>
            </w:r>
            <w:r w:rsidRPr="00BE7EFF">
              <w:rPr>
                <w:rFonts w:cs="Arial"/>
                <w:b/>
                <w:bCs/>
              </w:rPr>
              <w:t>²</w:t>
            </w:r>
            <w:r w:rsidRPr="00BE7EFF">
              <w:t xml:space="preserve"> for a new primary school, aligned with emerging low-carbon school benchmarks, alongside net-zero operational performance over a typical year (Vale of Glamorgan Council, 2021; CLAW, 2020).</w:t>
            </w:r>
          </w:p>
        </w:tc>
        <w:tc>
          <w:tcPr>
            <w:tcW w:w="0" w:type="auto"/>
            <w:hideMark/>
          </w:tcPr>
          <w:p w14:paraId="08F65449" w14:textId="77777777" w:rsidR="00BE7EFF" w:rsidRPr="00BE7EFF" w:rsidRDefault="00BE7EFF" w:rsidP="00BE7EFF">
            <w:pPr>
              <w:spacing w:after="160" w:line="259" w:lineRule="auto"/>
            </w:pPr>
            <w:r w:rsidRPr="00BE7EFF">
              <w:t xml:space="preserve">Timber-based structure; high fabric performance; heat pumps and roof-mounted PV; WLCA integrated into early design decision-making. Illustrates how </w:t>
            </w:r>
            <w:r w:rsidRPr="00BE7EFF">
              <w:rPr>
                <w:b/>
                <w:bCs/>
              </w:rPr>
              <w:t>explicit WLC targets</w:t>
            </w:r>
            <w:r w:rsidRPr="00BE7EFF">
              <w:t xml:space="preserve"> at briefing stage can steer material selection and systems towards lower-carbon solutions.</w:t>
            </w:r>
          </w:p>
        </w:tc>
      </w:tr>
      <w:tr w:rsidR="00BE7EFF" w:rsidRPr="00BE7EFF" w14:paraId="09FD7B30" w14:textId="77777777" w:rsidTr="00BE7EFF">
        <w:tc>
          <w:tcPr>
            <w:tcW w:w="0" w:type="auto"/>
            <w:hideMark/>
          </w:tcPr>
          <w:p w14:paraId="082D5EE1" w14:textId="77777777" w:rsidR="00BE7EFF" w:rsidRPr="00BE7EFF" w:rsidRDefault="00BE7EFF" w:rsidP="00BE7EFF">
            <w:pPr>
              <w:spacing w:after="160" w:line="259" w:lineRule="auto"/>
            </w:pPr>
            <w:r w:rsidRPr="00BE7EFF">
              <w:rPr>
                <w:b/>
                <w:bCs/>
              </w:rPr>
              <w:t>UK Passivhaus-standard social housing schemes (various)</w:t>
            </w:r>
          </w:p>
        </w:tc>
        <w:tc>
          <w:tcPr>
            <w:tcW w:w="0" w:type="auto"/>
            <w:hideMark/>
          </w:tcPr>
          <w:p w14:paraId="4F9D91D0" w14:textId="77777777" w:rsidR="00BE7EFF" w:rsidRPr="00BE7EFF" w:rsidRDefault="00BE7EFF" w:rsidP="00BE7EFF">
            <w:pPr>
              <w:spacing w:after="160" w:line="259" w:lineRule="auto"/>
            </w:pPr>
            <w:r w:rsidRPr="00BE7EFF">
              <w:t xml:space="preserve">Case studies report </w:t>
            </w:r>
            <w:r w:rsidRPr="00BE7EFF">
              <w:rPr>
                <w:b/>
                <w:bCs/>
              </w:rPr>
              <w:t>70–90% reductions in space-heating energy demand</w:t>
            </w:r>
            <w:r w:rsidRPr="00BE7EFF">
              <w:t xml:space="preserve">, with embodied carbon intensities typically in the </w:t>
            </w:r>
            <w:r w:rsidRPr="00BE7EFF">
              <w:rPr>
                <w:b/>
                <w:bCs/>
              </w:rPr>
              <w:t xml:space="preserve">300–400 </w:t>
            </w:r>
            <w:proofErr w:type="spellStart"/>
            <w:r w:rsidRPr="00BE7EFF">
              <w:rPr>
                <w:b/>
                <w:bCs/>
              </w:rPr>
              <w:t>kgCO</w:t>
            </w:r>
            <w:r w:rsidRPr="00BE7EFF">
              <w:rPr>
                <w:rFonts w:ascii="Cambria Math" w:hAnsi="Cambria Math" w:cs="Cambria Math"/>
                <w:b/>
                <w:bCs/>
              </w:rPr>
              <w:t>₂</w:t>
            </w:r>
            <w:r w:rsidRPr="00BE7EFF">
              <w:rPr>
                <w:b/>
                <w:bCs/>
              </w:rPr>
              <w:t>e</w:t>
            </w:r>
            <w:proofErr w:type="spellEnd"/>
            <w:r w:rsidRPr="00BE7EFF">
              <w:rPr>
                <w:b/>
                <w:bCs/>
              </w:rPr>
              <w:t>/m</w:t>
            </w:r>
            <w:r w:rsidRPr="00BE7EFF">
              <w:rPr>
                <w:rFonts w:cs="Arial"/>
                <w:b/>
                <w:bCs/>
              </w:rPr>
              <w:t>²</w:t>
            </w:r>
            <w:r w:rsidRPr="00BE7EFF">
              <w:t xml:space="preserve"> range for dense low-rise schemes (Giordano et al., 2017; LETI, 2020; Sustainability, 2023).</w:t>
            </w:r>
          </w:p>
        </w:tc>
        <w:tc>
          <w:tcPr>
            <w:tcW w:w="0" w:type="auto"/>
            <w:hideMark/>
          </w:tcPr>
          <w:p w14:paraId="6AEFBB9E" w14:textId="77777777" w:rsidR="00BE7EFF" w:rsidRPr="00BE7EFF" w:rsidRDefault="00BE7EFF" w:rsidP="00BE7EFF">
            <w:pPr>
              <w:spacing w:after="160" w:line="259" w:lineRule="auto"/>
            </w:pPr>
            <w:r w:rsidRPr="00BE7EFF">
              <w:t xml:space="preserve">Compact, fabric-first designs with high insulation and airtightness, MVHR, simplified forms and often timber or hybrid structures. These schemes show how </w:t>
            </w:r>
            <w:r w:rsidRPr="00BE7EFF">
              <w:rPr>
                <w:b/>
                <w:bCs/>
              </w:rPr>
              <w:t>deep operational reductions and controlled embodied carbon</w:t>
            </w:r>
            <w:r w:rsidRPr="00BE7EFF">
              <w:t xml:space="preserve"> must be considered together in WLCA to avoid simply shifting emissions from B-stages to A-stages.</w:t>
            </w:r>
          </w:p>
        </w:tc>
      </w:tr>
    </w:tbl>
    <w:p w14:paraId="00E2B387" w14:textId="3F99A1B1" w:rsidR="003C2FDC" w:rsidRPr="003C2FDC" w:rsidRDefault="00BE7EFF" w:rsidP="003C2FDC">
      <w:pPr>
        <w:rPr>
          <w:i/>
          <w:iCs/>
        </w:rPr>
      </w:pPr>
      <w:r w:rsidRPr="00BE7EFF">
        <w:rPr>
          <w:i/>
          <w:iCs/>
        </w:rPr>
        <w:t>Table Z5 – Example projects illustrating whole life carbon-focused design (non-mandatory)</w:t>
      </w:r>
    </w:p>
    <w:p w14:paraId="41DD72F1" w14:textId="77777777" w:rsidR="00846356" w:rsidRPr="00F34EB3" w:rsidRDefault="00846356" w:rsidP="00846356">
      <w:pPr>
        <w:pStyle w:val="Heading1"/>
        <w:numPr>
          <w:ilvl w:val="0"/>
          <w:numId w:val="1"/>
        </w:numPr>
        <w:rPr>
          <w:rFonts w:cs="Arial"/>
          <w:sz w:val="32"/>
          <w:szCs w:val="32"/>
        </w:rPr>
      </w:pPr>
      <w:bookmarkStart w:id="9" w:name="_Toc216033863"/>
      <w:r w:rsidRPr="00F34EB3">
        <w:rPr>
          <w:rFonts w:cs="Arial"/>
          <w:sz w:val="32"/>
          <w:szCs w:val="32"/>
        </w:rPr>
        <w:t>Reference List</w:t>
      </w:r>
      <w:bookmarkEnd w:id="9"/>
    </w:p>
    <w:p w14:paraId="622455D1"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Arup (no date) </w:t>
      </w:r>
      <w:r w:rsidRPr="00DE61F6">
        <w:rPr>
          <w:rStyle w:val="Emphasis"/>
          <w:rFonts w:ascii="Arial" w:eastAsiaTheme="majorEastAsia" w:hAnsi="Arial" w:cs="Arial"/>
          <w:sz w:val="22"/>
          <w:szCs w:val="22"/>
        </w:rPr>
        <w:t>Net-zero buildings: where do we stand?</w:t>
      </w:r>
      <w:r w:rsidRPr="00DE61F6">
        <w:rPr>
          <w:rFonts w:ascii="Arial" w:hAnsi="Arial" w:cs="Arial"/>
          <w:sz w:val="22"/>
          <w:szCs w:val="22"/>
        </w:rPr>
        <w:t xml:space="preserve"> London: Arup. Available at: </w:t>
      </w:r>
      <w:hyperlink r:id="rId7" w:tgtFrame="_new" w:history="1">
        <w:r w:rsidRPr="00DE61F6">
          <w:rPr>
            <w:rStyle w:val="Hyperlink"/>
            <w:rFonts w:ascii="Arial" w:eastAsiaTheme="majorEastAsia" w:hAnsi="Arial" w:cs="Arial"/>
            <w:sz w:val="22"/>
            <w:szCs w:val="22"/>
          </w:rPr>
          <w:t>https://www.arup.com/globalassets/downloads/insights/net-zero-buildings-where-do-we-stand.pdf</w:t>
        </w:r>
      </w:hyperlink>
      <w:r w:rsidRPr="00DE61F6">
        <w:rPr>
          <w:rFonts w:ascii="Arial" w:hAnsi="Arial" w:cs="Arial"/>
          <w:sz w:val="22"/>
          <w:szCs w:val="22"/>
        </w:rPr>
        <w:t xml:space="preserve"> (Accessed: 3 December 2025).</w:t>
      </w:r>
    </w:p>
    <w:p w14:paraId="26FD1D2D" w14:textId="77777777" w:rsidR="00DE61F6" w:rsidRPr="00DE61F6" w:rsidRDefault="00DE61F6" w:rsidP="00DE61F6">
      <w:pPr>
        <w:pStyle w:val="NormalWeb"/>
        <w:numPr>
          <w:ilvl w:val="0"/>
          <w:numId w:val="36"/>
        </w:numPr>
        <w:rPr>
          <w:rFonts w:ascii="Arial" w:hAnsi="Arial" w:cs="Arial"/>
          <w:sz w:val="22"/>
          <w:szCs w:val="22"/>
        </w:rPr>
      </w:pPr>
      <w:proofErr w:type="spellStart"/>
      <w:r w:rsidRPr="00DE61F6">
        <w:rPr>
          <w:rFonts w:ascii="Arial" w:hAnsi="Arial" w:cs="Arial"/>
          <w:sz w:val="22"/>
          <w:szCs w:val="22"/>
        </w:rPr>
        <w:t>BioComposites</w:t>
      </w:r>
      <w:proofErr w:type="spellEnd"/>
      <w:r w:rsidRPr="00DE61F6">
        <w:rPr>
          <w:rFonts w:ascii="Arial" w:hAnsi="Arial" w:cs="Arial"/>
          <w:sz w:val="22"/>
          <w:szCs w:val="22"/>
        </w:rPr>
        <w:t xml:space="preserve"> Centre (2019) </w:t>
      </w:r>
      <w:r w:rsidRPr="00DE61F6">
        <w:rPr>
          <w:rStyle w:val="Emphasis"/>
          <w:rFonts w:ascii="Arial" w:eastAsiaTheme="majorEastAsia" w:hAnsi="Arial" w:cs="Arial"/>
          <w:sz w:val="22"/>
          <w:szCs w:val="22"/>
        </w:rPr>
        <w:t>Wood in construction in the UK: an analysis of carbon abatement potential.</w:t>
      </w:r>
      <w:r w:rsidRPr="00DE61F6">
        <w:rPr>
          <w:rFonts w:ascii="Arial" w:hAnsi="Arial" w:cs="Arial"/>
          <w:sz w:val="22"/>
          <w:szCs w:val="22"/>
        </w:rPr>
        <w:t xml:space="preserve"> Report for the Committee on Climate Change. Available at: </w:t>
      </w:r>
      <w:hyperlink r:id="rId8" w:tgtFrame="_new" w:history="1">
        <w:r w:rsidRPr="00DE61F6">
          <w:rPr>
            <w:rStyle w:val="Hyperlink"/>
            <w:rFonts w:ascii="Arial" w:eastAsiaTheme="majorEastAsia" w:hAnsi="Arial" w:cs="Arial"/>
            <w:sz w:val="22"/>
            <w:szCs w:val="22"/>
          </w:rPr>
          <w:t>https://www.theccc.org.uk/wp-content/uploads/2019/07/Wood-in-Construction-in-the-UK-An-Analysis-of-Carbon-Abatement-Potential-BioComposites-Centre.pdf</w:t>
        </w:r>
      </w:hyperlink>
      <w:r w:rsidRPr="00DE61F6">
        <w:rPr>
          <w:rFonts w:ascii="Arial" w:hAnsi="Arial" w:cs="Arial"/>
          <w:sz w:val="22"/>
          <w:szCs w:val="22"/>
        </w:rPr>
        <w:t xml:space="preserve"> (Accessed: 3 December 2025).</w:t>
      </w:r>
    </w:p>
    <w:p w14:paraId="5755108D"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British Standards Institution (2011) </w:t>
      </w:r>
      <w:r w:rsidRPr="00DE61F6">
        <w:rPr>
          <w:rStyle w:val="Emphasis"/>
          <w:rFonts w:ascii="Arial" w:eastAsiaTheme="majorEastAsia" w:hAnsi="Arial" w:cs="Arial"/>
          <w:sz w:val="22"/>
          <w:szCs w:val="22"/>
        </w:rPr>
        <w:t>BS EN 15978:2011 Sustainability of construction works – Assessment of environmental performance of buildings – Calculation method.</w:t>
      </w:r>
      <w:r w:rsidRPr="00DE61F6">
        <w:rPr>
          <w:rFonts w:ascii="Arial" w:hAnsi="Arial" w:cs="Arial"/>
          <w:sz w:val="22"/>
          <w:szCs w:val="22"/>
        </w:rPr>
        <w:t xml:space="preserve"> London: BSI. Available at: </w:t>
      </w:r>
      <w:hyperlink r:id="rId9" w:tgtFrame="_new" w:history="1">
        <w:r w:rsidRPr="00DE61F6">
          <w:rPr>
            <w:rStyle w:val="Hyperlink"/>
            <w:rFonts w:ascii="Arial" w:eastAsiaTheme="majorEastAsia" w:hAnsi="Arial" w:cs="Arial"/>
            <w:sz w:val="22"/>
            <w:szCs w:val="22"/>
          </w:rPr>
          <w:t>https://knowledge.bsigroup.com</w:t>
        </w:r>
      </w:hyperlink>
      <w:r w:rsidRPr="00DE61F6">
        <w:rPr>
          <w:rFonts w:ascii="Arial" w:hAnsi="Arial" w:cs="Arial"/>
          <w:sz w:val="22"/>
          <w:szCs w:val="22"/>
        </w:rPr>
        <w:t xml:space="preserve"> (Accessed: 3 December 2025).</w:t>
      </w:r>
    </w:p>
    <w:p w14:paraId="7568DCD1"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British Standards Institution (2019) </w:t>
      </w:r>
      <w:r w:rsidRPr="00DE61F6">
        <w:rPr>
          <w:rStyle w:val="Emphasis"/>
          <w:rFonts w:ascii="Arial" w:eastAsiaTheme="majorEastAsia" w:hAnsi="Arial" w:cs="Arial"/>
          <w:sz w:val="22"/>
          <w:szCs w:val="22"/>
        </w:rPr>
        <w:t>BS EN 15804:2012+A2:2019 Sustainability of construction works – Environmental product declarations – Core rules for the product category of construction products.</w:t>
      </w:r>
      <w:r w:rsidRPr="00DE61F6">
        <w:rPr>
          <w:rFonts w:ascii="Arial" w:hAnsi="Arial" w:cs="Arial"/>
          <w:sz w:val="22"/>
          <w:szCs w:val="22"/>
        </w:rPr>
        <w:t xml:space="preserve"> London: BSI. Available at: </w:t>
      </w:r>
      <w:hyperlink r:id="rId10" w:tgtFrame="_new" w:history="1">
        <w:r w:rsidRPr="00DE61F6">
          <w:rPr>
            <w:rStyle w:val="Hyperlink"/>
            <w:rFonts w:ascii="Arial" w:eastAsiaTheme="majorEastAsia" w:hAnsi="Arial" w:cs="Arial"/>
            <w:sz w:val="22"/>
            <w:szCs w:val="22"/>
          </w:rPr>
          <w:t>https://knowledge.bsigroup.com</w:t>
        </w:r>
      </w:hyperlink>
      <w:r w:rsidRPr="00DE61F6">
        <w:rPr>
          <w:rFonts w:ascii="Arial" w:hAnsi="Arial" w:cs="Arial"/>
          <w:sz w:val="22"/>
          <w:szCs w:val="22"/>
        </w:rPr>
        <w:t xml:space="preserve"> (Accessed: 3 December 2025).</w:t>
      </w:r>
    </w:p>
    <w:p w14:paraId="52EC37D5"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Giordano, R. et al. (2017) ‘Embodied energy versus operational energy in a nearly zero energy building case study’, </w:t>
      </w:r>
      <w:r w:rsidRPr="00DE61F6">
        <w:rPr>
          <w:rStyle w:val="Emphasis"/>
          <w:rFonts w:ascii="Arial" w:eastAsiaTheme="majorEastAsia" w:hAnsi="Arial" w:cs="Arial"/>
          <w:sz w:val="22"/>
          <w:szCs w:val="22"/>
        </w:rPr>
        <w:t>Energy Procedia</w:t>
      </w:r>
      <w:r w:rsidRPr="00DE61F6">
        <w:rPr>
          <w:rFonts w:ascii="Arial" w:hAnsi="Arial" w:cs="Arial"/>
          <w:sz w:val="22"/>
          <w:szCs w:val="22"/>
        </w:rPr>
        <w:t>, 111, pp. 367–376.</w:t>
      </w:r>
    </w:p>
    <w:p w14:paraId="4B26D499"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Greater London Authority (2020) </w:t>
      </w:r>
      <w:r w:rsidRPr="00DE61F6">
        <w:rPr>
          <w:rStyle w:val="Emphasis"/>
          <w:rFonts w:ascii="Arial" w:eastAsiaTheme="majorEastAsia" w:hAnsi="Arial" w:cs="Arial"/>
          <w:sz w:val="22"/>
          <w:szCs w:val="22"/>
        </w:rPr>
        <w:t>Whole Life-Cycle Carbon Assessments: London Plan Guidance (draft for consultation).</w:t>
      </w:r>
      <w:r w:rsidRPr="00DE61F6">
        <w:rPr>
          <w:rFonts w:ascii="Arial" w:hAnsi="Arial" w:cs="Arial"/>
          <w:sz w:val="22"/>
          <w:szCs w:val="22"/>
        </w:rPr>
        <w:t xml:space="preserve"> London: Greater London Authority. Available at: </w:t>
      </w:r>
      <w:hyperlink r:id="rId11" w:tgtFrame="_new" w:history="1">
        <w:r w:rsidRPr="00DE61F6">
          <w:rPr>
            <w:rStyle w:val="Hyperlink"/>
            <w:rFonts w:ascii="Arial" w:eastAsiaTheme="majorEastAsia" w:hAnsi="Arial" w:cs="Arial"/>
            <w:sz w:val="22"/>
            <w:szCs w:val="22"/>
          </w:rPr>
          <w:t>https://www.london.gov.uk/programmes-strategies/planning/implementing-london-plan/london-plan-guidance/whole-life-cycle-carbon-assessments-guidance</w:t>
        </w:r>
      </w:hyperlink>
      <w:r w:rsidRPr="00DE61F6">
        <w:rPr>
          <w:rFonts w:ascii="Arial" w:hAnsi="Arial" w:cs="Arial"/>
          <w:sz w:val="22"/>
          <w:szCs w:val="22"/>
        </w:rPr>
        <w:t xml:space="preserve"> (Accessed: 3 December 2025).</w:t>
      </w:r>
    </w:p>
    <w:p w14:paraId="2BB6D2D7"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Historic England (2020) </w:t>
      </w:r>
      <w:r w:rsidRPr="00DE61F6">
        <w:rPr>
          <w:rStyle w:val="Emphasis"/>
          <w:rFonts w:ascii="Arial" w:eastAsiaTheme="majorEastAsia" w:hAnsi="Arial" w:cs="Arial"/>
          <w:sz w:val="22"/>
          <w:szCs w:val="22"/>
        </w:rPr>
        <w:t>Measuring carbon emissions in the built environment.</w:t>
      </w:r>
      <w:r w:rsidRPr="00DE61F6">
        <w:rPr>
          <w:rFonts w:ascii="Arial" w:hAnsi="Arial" w:cs="Arial"/>
          <w:sz w:val="22"/>
          <w:szCs w:val="22"/>
        </w:rPr>
        <w:t xml:space="preserve"> Heritage Counts. Available at: </w:t>
      </w:r>
      <w:hyperlink r:id="rId12" w:tgtFrame="_new" w:history="1">
        <w:r w:rsidRPr="00DE61F6">
          <w:rPr>
            <w:rStyle w:val="Hyperlink"/>
            <w:rFonts w:ascii="Arial" w:eastAsiaTheme="majorEastAsia" w:hAnsi="Arial" w:cs="Arial"/>
            <w:sz w:val="22"/>
            <w:szCs w:val="22"/>
          </w:rPr>
          <w:t>https://historicengland.org.uk/research/heritage-counts/heritage-and-environment/pathway-to-net-zero/built-environment-emissions/</w:t>
        </w:r>
      </w:hyperlink>
      <w:r w:rsidRPr="00DE61F6">
        <w:rPr>
          <w:rFonts w:ascii="Arial" w:hAnsi="Arial" w:cs="Arial"/>
          <w:sz w:val="22"/>
          <w:szCs w:val="22"/>
        </w:rPr>
        <w:t xml:space="preserve"> (Accessed: 2 December 2025).</w:t>
      </w:r>
    </w:p>
    <w:p w14:paraId="1FC3531B"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Intergovernmental Panel on Climate Change (2018) </w:t>
      </w:r>
      <w:r w:rsidRPr="00DE61F6">
        <w:rPr>
          <w:rStyle w:val="Emphasis"/>
          <w:rFonts w:ascii="Arial" w:eastAsiaTheme="majorEastAsia" w:hAnsi="Arial" w:cs="Arial"/>
          <w:sz w:val="22"/>
          <w:szCs w:val="22"/>
        </w:rPr>
        <w:t>Global warming of 1.5°C: An IPCC special report.</w:t>
      </w:r>
      <w:r w:rsidRPr="00DE61F6">
        <w:rPr>
          <w:rFonts w:ascii="Arial" w:hAnsi="Arial" w:cs="Arial"/>
          <w:sz w:val="22"/>
          <w:szCs w:val="22"/>
        </w:rPr>
        <w:t xml:space="preserve"> Geneva: IPCC. Available at: </w:t>
      </w:r>
      <w:hyperlink r:id="rId13" w:tgtFrame="_new" w:history="1">
        <w:r w:rsidRPr="00DE61F6">
          <w:rPr>
            <w:rStyle w:val="Hyperlink"/>
            <w:rFonts w:ascii="Arial" w:eastAsiaTheme="majorEastAsia" w:hAnsi="Arial" w:cs="Arial"/>
            <w:sz w:val="22"/>
            <w:szCs w:val="22"/>
          </w:rPr>
          <w:t>https://www.ipcc.ch/sr15/</w:t>
        </w:r>
      </w:hyperlink>
      <w:r w:rsidRPr="00DE61F6">
        <w:rPr>
          <w:rFonts w:ascii="Arial" w:hAnsi="Arial" w:cs="Arial"/>
          <w:sz w:val="22"/>
          <w:szCs w:val="22"/>
        </w:rPr>
        <w:t xml:space="preserve"> (Accessed: 3 December 2025).</w:t>
      </w:r>
    </w:p>
    <w:p w14:paraId="2357F3D9"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Landsec (2021) </w:t>
      </w:r>
      <w:r w:rsidRPr="00DE61F6">
        <w:rPr>
          <w:rStyle w:val="Emphasis"/>
          <w:rFonts w:ascii="Arial" w:eastAsiaTheme="majorEastAsia" w:hAnsi="Arial" w:cs="Arial"/>
          <w:sz w:val="22"/>
          <w:szCs w:val="22"/>
        </w:rPr>
        <w:t>Environmental review 2021.</w:t>
      </w:r>
      <w:r w:rsidRPr="00DE61F6">
        <w:rPr>
          <w:rFonts w:ascii="Arial" w:hAnsi="Arial" w:cs="Arial"/>
          <w:sz w:val="22"/>
          <w:szCs w:val="22"/>
        </w:rPr>
        <w:t xml:space="preserve"> London: Land Securities Group plc. Available at: </w:t>
      </w:r>
      <w:hyperlink r:id="rId14" w:tgtFrame="_new" w:history="1">
        <w:r w:rsidRPr="00DE61F6">
          <w:rPr>
            <w:rStyle w:val="Hyperlink"/>
            <w:rFonts w:ascii="Arial" w:eastAsiaTheme="majorEastAsia" w:hAnsi="Arial" w:cs="Arial"/>
            <w:sz w:val="22"/>
            <w:szCs w:val="22"/>
          </w:rPr>
          <w:t>https://landsec.com/sites/default/files/2021-06/Landsec_AR2021_Environmental_review.pdf</w:t>
        </w:r>
      </w:hyperlink>
      <w:r w:rsidRPr="00DE61F6">
        <w:rPr>
          <w:rFonts w:ascii="Arial" w:hAnsi="Arial" w:cs="Arial"/>
          <w:sz w:val="22"/>
          <w:szCs w:val="22"/>
        </w:rPr>
        <w:t xml:space="preserve"> (Accessed: 3 December 2025).</w:t>
      </w:r>
    </w:p>
    <w:p w14:paraId="003298CA"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LETI (2020) </w:t>
      </w:r>
      <w:r w:rsidRPr="00DE61F6">
        <w:rPr>
          <w:rStyle w:val="Emphasis"/>
          <w:rFonts w:ascii="Arial" w:eastAsiaTheme="majorEastAsia" w:hAnsi="Arial" w:cs="Arial"/>
          <w:sz w:val="22"/>
          <w:szCs w:val="22"/>
        </w:rPr>
        <w:t>Embodied carbon primer.</w:t>
      </w:r>
      <w:r w:rsidRPr="00DE61F6">
        <w:rPr>
          <w:rFonts w:ascii="Arial" w:hAnsi="Arial" w:cs="Arial"/>
          <w:sz w:val="22"/>
          <w:szCs w:val="22"/>
        </w:rPr>
        <w:t xml:space="preserve"> London Energy Transformation Initiative. Available at: </w:t>
      </w:r>
      <w:hyperlink r:id="rId15" w:tgtFrame="_new" w:history="1">
        <w:r w:rsidRPr="00DE61F6">
          <w:rPr>
            <w:rStyle w:val="Hyperlink"/>
            <w:rFonts w:ascii="Arial" w:eastAsiaTheme="majorEastAsia" w:hAnsi="Arial" w:cs="Arial"/>
            <w:sz w:val="22"/>
            <w:szCs w:val="22"/>
          </w:rPr>
          <w:t>https://www.leti.uk/ecp</w:t>
        </w:r>
      </w:hyperlink>
      <w:r w:rsidRPr="00DE61F6">
        <w:rPr>
          <w:rFonts w:ascii="Arial" w:hAnsi="Arial" w:cs="Arial"/>
          <w:sz w:val="22"/>
          <w:szCs w:val="22"/>
        </w:rPr>
        <w:t xml:space="preserve"> (Accessed: 3 December 2025).</w:t>
      </w:r>
    </w:p>
    <w:p w14:paraId="301C1F67"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Li, D. et al. (2023) ‘A review of the energy performance gap between predicted and actual use in buildings’, </w:t>
      </w:r>
      <w:r w:rsidRPr="00DE61F6">
        <w:rPr>
          <w:rStyle w:val="Emphasis"/>
          <w:rFonts w:ascii="Arial" w:eastAsiaTheme="majorEastAsia" w:hAnsi="Arial" w:cs="Arial"/>
          <w:sz w:val="22"/>
          <w:szCs w:val="22"/>
        </w:rPr>
        <w:t>Building Simulation Conference Proceedings</w:t>
      </w:r>
      <w:r w:rsidRPr="00DE61F6">
        <w:rPr>
          <w:rFonts w:ascii="Arial" w:hAnsi="Arial" w:cs="Arial"/>
          <w:sz w:val="22"/>
          <w:szCs w:val="22"/>
        </w:rPr>
        <w:t>.</w:t>
      </w:r>
    </w:p>
    <w:p w14:paraId="41ED77BA"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MDPI Sustainability (2023) ‘Whole life carbon assessment of a typical UK residential building using different embodied carbon data sources’, </w:t>
      </w:r>
      <w:r w:rsidRPr="00DE61F6">
        <w:rPr>
          <w:rStyle w:val="Emphasis"/>
          <w:rFonts w:ascii="Arial" w:eastAsiaTheme="majorEastAsia" w:hAnsi="Arial" w:cs="Arial"/>
          <w:sz w:val="22"/>
          <w:szCs w:val="22"/>
        </w:rPr>
        <w:t>Sustainability</w:t>
      </w:r>
      <w:r w:rsidRPr="00DE61F6">
        <w:rPr>
          <w:rFonts w:ascii="Arial" w:hAnsi="Arial" w:cs="Arial"/>
          <w:sz w:val="22"/>
          <w:szCs w:val="22"/>
        </w:rPr>
        <w:t xml:space="preserve">, 15(6), 5115. Available at: </w:t>
      </w:r>
      <w:hyperlink r:id="rId16" w:tgtFrame="_new" w:history="1">
        <w:r w:rsidRPr="00DE61F6">
          <w:rPr>
            <w:rStyle w:val="Hyperlink"/>
            <w:rFonts w:ascii="Arial" w:eastAsiaTheme="majorEastAsia" w:hAnsi="Arial" w:cs="Arial"/>
            <w:sz w:val="22"/>
            <w:szCs w:val="22"/>
          </w:rPr>
          <w:t>https://www.mdpi.com/2071-1050/15/6/5115</w:t>
        </w:r>
      </w:hyperlink>
      <w:r w:rsidRPr="00DE61F6">
        <w:rPr>
          <w:rFonts w:ascii="Arial" w:hAnsi="Arial" w:cs="Arial"/>
          <w:sz w:val="22"/>
          <w:szCs w:val="22"/>
        </w:rPr>
        <w:t xml:space="preserve"> (Accessed: 3 December 2025).</w:t>
      </w:r>
    </w:p>
    <w:p w14:paraId="4E170378"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Pearson, D. (2024) ‘Weighing embodied vs operational carbon trade-offs’, </w:t>
      </w:r>
      <w:proofErr w:type="spellStart"/>
      <w:r w:rsidRPr="00DE61F6">
        <w:rPr>
          <w:rStyle w:val="Emphasis"/>
          <w:rFonts w:ascii="Arial" w:eastAsiaTheme="majorEastAsia" w:hAnsi="Arial" w:cs="Arial"/>
          <w:sz w:val="22"/>
          <w:szCs w:val="22"/>
        </w:rPr>
        <w:t>BuildingGreen</w:t>
      </w:r>
      <w:proofErr w:type="spellEnd"/>
      <w:r w:rsidRPr="00DE61F6">
        <w:rPr>
          <w:rFonts w:ascii="Arial" w:hAnsi="Arial" w:cs="Arial"/>
          <w:sz w:val="22"/>
          <w:szCs w:val="22"/>
        </w:rPr>
        <w:t xml:space="preserve">. Available at: </w:t>
      </w:r>
      <w:hyperlink r:id="rId17" w:tgtFrame="_new" w:history="1">
        <w:r w:rsidRPr="00DE61F6">
          <w:rPr>
            <w:rStyle w:val="Hyperlink"/>
            <w:rFonts w:ascii="Arial" w:eastAsiaTheme="majorEastAsia" w:hAnsi="Arial" w:cs="Arial"/>
            <w:sz w:val="22"/>
            <w:szCs w:val="22"/>
          </w:rPr>
          <w:t>https://www.buildinggreen.com/explainer/weighing-embodied-vs-operational-carbon-tradeoffs</w:t>
        </w:r>
      </w:hyperlink>
      <w:r w:rsidRPr="00DE61F6">
        <w:rPr>
          <w:rFonts w:ascii="Arial" w:hAnsi="Arial" w:cs="Arial"/>
          <w:sz w:val="22"/>
          <w:szCs w:val="22"/>
        </w:rPr>
        <w:t xml:space="preserve"> (Accessed: 3 December 2025).</w:t>
      </w:r>
    </w:p>
    <w:p w14:paraId="63ECF7D2"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RIBA (Royal Institute of British Architects) (2021) </w:t>
      </w:r>
      <w:r w:rsidRPr="00DE61F6">
        <w:rPr>
          <w:rStyle w:val="Emphasis"/>
          <w:rFonts w:ascii="Arial" w:eastAsiaTheme="majorEastAsia" w:hAnsi="Arial" w:cs="Arial"/>
          <w:sz w:val="22"/>
          <w:szCs w:val="22"/>
        </w:rPr>
        <w:t>RIBA 2030 Climate Challenge.</w:t>
      </w:r>
      <w:r w:rsidRPr="00DE61F6">
        <w:rPr>
          <w:rFonts w:ascii="Arial" w:hAnsi="Arial" w:cs="Arial"/>
          <w:sz w:val="22"/>
          <w:szCs w:val="22"/>
        </w:rPr>
        <w:t xml:space="preserve"> London: RIBA. Available at: </w:t>
      </w:r>
      <w:hyperlink r:id="rId18" w:tgtFrame="_new" w:history="1">
        <w:r w:rsidRPr="00DE61F6">
          <w:rPr>
            <w:rStyle w:val="Hyperlink"/>
            <w:rFonts w:ascii="Arial" w:eastAsiaTheme="majorEastAsia" w:hAnsi="Arial" w:cs="Arial"/>
            <w:sz w:val="22"/>
            <w:szCs w:val="22"/>
          </w:rPr>
          <w:t>https://www.architecture.com/about/policy/climate-action/2030-climate-challenge</w:t>
        </w:r>
      </w:hyperlink>
      <w:r w:rsidRPr="00DE61F6">
        <w:rPr>
          <w:rFonts w:ascii="Arial" w:hAnsi="Arial" w:cs="Arial"/>
          <w:sz w:val="22"/>
          <w:szCs w:val="22"/>
        </w:rPr>
        <w:t xml:space="preserve"> (Accessed: 3 December 2025).</w:t>
      </w:r>
    </w:p>
    <w:p w14:paraId="14EC1C57"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RICS (Royal Institution of Chartered Surveyors) (2024) </w:t>
      </w:r>
      <w:r w:rsidRPr="00DE61F6">
        <w:rPr>
          <w:rStyle w:val="Emphasis"/>
          <w:rFonts w:ascii="Arial" w:eastAsiaTheme="majorEastAsia" w:hAnsi="Arial" w:cs="Arial"/>
          <w:sz w:val="22"/>
          <w:szCs w:val="22"/>
        </w:rPr>
        <w:t>Whole life carbon assessment for the built environment.</w:t>
      </w:r>
      <w:r w:rsidRPr="00DE61F6">
        <w:rPr>
          <w:rFonts w:ascii="Arial" w:hAnsi="Arial" w:cs="Arial"/>
          <w:sz w:val="22"/>
          <w:szCs w:val="22"/>
        </w:rPr>
        <w:t xml:space="preserve"> 2nd </w:t>
      </w:r>
      <w:proofErr w:type="spellStart"/>
      <w:r w:rsidRPr="00DE61F6">
        <w:rPr>
          <w:rFonts w:ascii="Arial" w:hAnsi="Arial" w:cs="Arial"/>
          <w:sz w:val="22"/>
          <w:szCs w:val="22"/>
        </w:rPr>
        <w:t>edn</w:t>
      </w:r>
      <w:proofErr w:type="spellEnd"/>
      <w:r w:rsidRPr="00DE61F6">
        <w:rPr>
          <w:rFonts w:ascii="Arial" w:hAnsi="Arial" w:cs="Arial"/>
          <w:sz w:val="22"/>
          <w:szCs w:val="22"/>
        </w:rPr>
        <w:t xml:space="preserve">. London: Royal Institution of Chartered Surveyors. Available at: </w:t>
      </w:r>
      <w:hyperlink r:id="rId19" w:tgtFrame="_new" w:history="1">
        <w:r w:rsidRPr="00DE61F6">
          <w:rPr>
            <w:rStyle w:val="Hyperlink"/>
            <w:rFonts w:ascii="Arial" w:eastAsiaTheme="majorEastAsia" w:hAnsi="Arial" w:cs="Arial"/>
            <w:sz w:val="22"/>
            <w:szCs w:val="22"/>
          </w:rPr>
          <w:t>https://www.rics.org/profession-standards/rics-standards-and-guidance/sector-standards/construction-standards/whole-life-carbon-assessment</w:t>
        </w:r>
      </w:hyperlink>
      <w:r w:rsidRPr="00DE61F6">
        <w:rPr>
          <w:rFonts w:ascii="Arial" w:hAnsi="Arial" w:cs="Arial"/>
          <w:sz w:val="22"/>
          <w:szCs w:val="22"/>
        </w:rPr>
        <w:t xml:space="preserve"> (Accessed: 3 December 2025).</w:t>
      </w:r>
    </w:p>
    <w:p w14:paraId="41080268"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Straw-Bale Building UK (no date) </w:t>
      </w:r>
      <w:r w:rsidRPr="00DE61F6">
        <w:rPr>
          <w:rStyle w:val="Emphasis"/>
          <w:rFonts w:ascii="Arial" w:eastAsiaTheme="majorEastAsia" w:hAnsi="Arial" w:cs="Arial"/>
          <w:sz w:val="22"/>
          <w:szCs w:val="22"/>
        </w:rPr>
        <w:t>About straw-bale building.</w:t>
      </w:r>
      <w:r w:rsidRPr="00DE61F6">
        <w:rPr>
          <w:rFonts w:ascii="Arial" w:hAnsi="Arial" w:cs="Arial"/>
          <w:sz w:val="22"/>
          <w:szCs w:val="22"/>
        </w:rPr>
        <w:t xml:space="preserve"> Available at: </w:t>
      </w:r>
      <w:hyperlink r:id="rId20" w:tgtFrame="_new" w:history="1">
        <w:r w:rsidRPr="00DE61F6">
          <w:rPr>
            <w:rStyle w:val="Hyperlink"/>
            <w:rFonts w:ascii="Arial" w:eastAsiaTheme="majorEastAsia" w:hAnsi="Arial" w:cs="Arial"/>
            <w:sz w:val="22"/>
            <w:szCs w:val="22"/>
          </w:rPr>
          <w:t>https://www.strawbuildinguk.org/self-build</w:t>
        </w:r>
      </w:hyperlink>
      <w:r w:rsidRPr="00DE61F6">
        <w:rPr>
          <w:rFonts w:ascii="Arial" w:hAnsi="Arial" w:cs="Arial"/>
          <w:sz w:val="22"/>
          <w:szCs w:val="22"/>
        </w:rPr>
        <w:t xml:space="preserve"> (Accessed: 3 December 2025).</w:t>
      </w:r>
    </w:p>
    <w:p w14:paraId="6B513096"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UK Green Building Council (2019) </w:t>
      </w:r>
      <w:r w:rsidRPr="00DE61F6">
        <w:rPr>
          <w:rStyle w:val="Emphasis"/>
          <w:rFonts w:ascii="Arial" w:eastAsiaTheme="majorEastAsia" w:hAnsi="Arial" w:cs="Arial"/>
          <w:sz w:val="22"/>
          <w:szCs w:val="22"/>
        </w:rPr>
        <w:t>Net zero carbon buildings: a framework definition.</w:t>
      </w:r>
      <w:r w:rsidRPr="00DE61F6">
        <w:rPr>
          <w:rFonts w:ascii="Arial" w:hAnsi="Arial" w:cs="Arial"/>
          <w:sz w:val="22"/>
          <w:szCs w:val="22"/>
        </w:rPr>
        <w:t xml:space="preserve"> London: UK Green Building Council. Available at: </w:t>
      </w:r>
      <w:hyperlink r:id="rId21" w:tgtFrame="_new" w:history="1">
        <w:r w:rsidRPr="00DE61F6">
          <w:rPr>
            <w:rStyle w:val="Hyperlink"/>
            <w:rFonts w:ascii="Arial" w:eastAsiaTheme="majorEastAsia" w:hAnsi="Arial" w:cs="Arial"/>
            <w:sz w:val="22"/>
            <w:szCs w:val="22"/>
          </w:rPr>
          <w:t>https://ukgbc.org/resources/net-zero-carbon-buildings-a-framework-definition/</w:t>
        </w:r>
      </w:hyperlink>
      <w:r w:rsidRPr="00DE61F6">
        <w:rPr>
          <w:rFonts w:ascii="Arial" w:hAnsi="Arial" w:cs="Arial"/>
          <w:sz w:val="22"/>
          <w:szCs w:val="22"/>
        </w:rPr>
        <w:t xml:space="preserve"> (Accessed: 3 December 2025).</w:t>
      </w:r>
    </w:p>
    <w:p w14:paraId="24C1DE69"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UK Green Building Council (no date) </w:t>
      </w:r>
      <w:r w:rsidRPr="00DE61F6">
        <w:rPr>
          <w:rStyle w:val="Emphasis"/>
          <w:rFonts w:ascii="Arial" w:eastAsiaTheme="majorEastAsia" w:hAnsi="Arial" w:cs="Arial"/>
          <w:sz w:val="22"/>
          <w:szCs w:val="22"/>
        </w:rPr>
        <w:t>The Enterprise Centre – case study.</w:t>
      </w:r>
      <w:r w:rsidRPr="00DE61F6">
        <w:rPr>
          <w:rFonts w:ascii="Arial" w:hAnsi="Arial" w:cs="Arial"/>
          <w:sz w:val="22"/>
          <w:szCs w:val="22"/>
        </w:rPr>
        <w:t xml:space="preserve"> Available at: </w:t>
      </w:r>
      <w:hyperlink r:id="rId22" w:tgtFrame="_new" w:history="1">
        <w:r w:rsidRPr="00DE61F6">
          <w:rPr>
            <w:rStyle w:val="Hyperlink"/>
            <w:rFonts w:ascii="Arial" w:eastAsiaTheme="majorEastAsia" w:hAnsi="Arial" w:cs="Arial"/>
            <w:sz w:val="22"/>
            <w:szCs w:val="22"/>
          </w:rPr>
          <w:t>https://ukgbc.org/resources/the-enterprise-centre/</w:t>
        </w:r>
      </w:hyperlink>
      <w:r w:rsidRPr="00DE61F6">
        <w:rPr>
          <w:rFonts w:ascii="Arial" w:hAnsi="Arial" w:cs="Arial"/>
          <w:sz w:val="22"/>
          <w:szCs w:val="22"/>
        </w:rPr>
        <w:t xml:space="preserve"> (Accessed: 3 December 2025).</w:t>
      </w:r>
    </w:p>
    <w:p w14:paraId="3C7E159F"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Vale of Glamorgan Council (2021) </w:t>
      </w:r>
      <w:r w:rsidRPr="00DE61F6">
        <w:rPr>
          <w:rStyle w:val="Emphasis"/>
          <w:rFonts w:ascii="Arial" w:eastAsiaTheme="majorEastAsia" w:hAnsi="Arial" w:cs="Arial"/>
          <w:sz w:val="22"/>
          <w:szCs w:val="22"/>
        </w:rPr>
        <w:t xml:space="preserve">Net-zero </w:t>
      </w:r>
      <w:proofErr w:type="gramStart"/>
      <w:r w:rsidRPr="00DE61F6">
        <w:rPr>
          <w:rStyle w:val="Emphasis"/>
          <w:rFonts w:ascii="Arial" w:eastAsiaTheme="majorEastAsia" w:hAnsi="Arial" w:cs="Arial"/>
          <w:sz w:val="22"/>
          <w:szCs w:val="22"/>
        </w:rPr>
        <w:t>carbon</w:t>
      </w:r>
      <w:proofErr w:type="gramEnd"/>
      <w:r w:rsidRPr="00DE61F6">
        <w:rPr>
          <w:rStyle w:val="Emphasis"/>
          <w:rFonts w:ascii="Arial" w:eastAsiaTheme="majorEastAsia" w:hAnsi="Arial" w:cs="Arial"/>
          <w:sz w:val="22"/>
          <w:szCs w:val="22"/>
        </w:rPr>
        <w:t xml:space="preserve"> school journey document (English).</w:t>
      </w:r>
      <w:r w:rsidRPr="00DE61F6">
        <w:rPr>
          <w:rFonts w:ascii="Arial" w:hAnsi="Arial" w:cs="Arial"/>
          <w:sz w:val="22"/>
          <w:szCs w:val="22"/>
        </w:rPr>
        <w:t xml:space="preserve"> Available at: </w:t>
      </w:r>
      <w:hyperlink r:id="rId23" w:tgtFrame="_new" w:history="1">
        <w:r w:rsidRPr="00DE61F6">
          <w:rPr>
            <w:rStyle w:val="Hyperlink"/>
            <w:rFonts w:ascii="Arial" w:eastAsiaTheme="majorEastAsia" w:hAnsi="Arial" w:cs="Arial"/>
            <w:sz w:val="22"/>
            <w:szCs w:val="22"/>
          </w:rPr>
          <w:t>https://sewscap.co.uk/documents/Vale-Net-Zero-Carbon-School-Journey-Document-English-3-primaries.pdf</w:t>
        </w:r>
      </w:hyperlink>
      <w:r w:rsidRPr="00DE61F6">
        <w:rPr>
          <w:rFonts w:ascii="Arial" w:hAnsi="Arial" w:cs="Arial"/>
          <w:sz w:val="22"/>
          <w:szCs w:val="22"/>
        </w:rPr>
        <w:t xml:space="preserve"> (Accessed: 3 December 2025).</w:t>
      </w:r>
    </w:p>
    <w:p w14:paraId="4C10466F"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Welsh Government (2015) </w:t>
      </w:r>
      <w:r w:rsidRPr="00DE61F6">
        <w:rPr>
          <w:rStyle w:val="Emphasis"/>
          <w:rFonts w:ascii="Arial" w:eastAsiaTheme="majorEastAsia" w:hAnsi="Arial" w:cs="Arial"/>
          <w:sz w:val="22"/>
          <w:szCs w:val="22"/>
        </w:rPr>
        <w:t>Well-being of Future Generations (Wales) Act 2015: the essentials.</w:t>
      </w:r>
      <w:r w:rsidRPr="00DE61F6">
        <w:rPr>
          <w:rFonts w:ascii="Arial" w:hAnsi="Arial" w:cs="Arial"/>
          <w:sz w:val="22"/>
          <w:szCs w:val="22"/>
        </w:rPr>
        <w:t xml:space="preserve"> Available at: </w:t>
      </w:r>
      <w:hyperlink r:id="rId24" w:tgtFrame="_new" w:history="1">
        <w:r w:rsidRPr="00DE61F6">
          <w:rPr>
            <w:rStyle w:val="Hyperlink"/>
            <w:rFonts w:ascii="Arial" w:eastAsiaTheme="majorEastAsia" w:hAnsi="Arial" w:cs="Arial"/>
            <w:sz w:val="22"/>
            <w:szCs w:val="22"/>
          </w:rPr>
          <w:t>https://www.gov.wales/well-being-future-generations-act-essentials-html</w:t>
        </w:r>
      </w:hyperlink>
      <w:r w:rsidRPr="00DE61F6">
        <w:rPr>
          <w:rFonts w:ascii="Arial" w:hAnsi="Arial" w:cs="Arial"/>
          <w:sz w:val="22"/>
          <w:szCs w:val="22"/>
        </w:rPr>
        <w:t xml:space="preserve"> (Accessed: 2 December 2025).</w:t>
      </w:r>
    </w:p>
    <w:p w14:paraId="276AE9B7"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Welsh Government (2021) </w:t>
      </w:r>
      <w:r w:rsidRPr="00DE61F6">
        <w:rPr>
          <w:rStyle w:val="Emphasis"/>
          <w:rFonts w:ascii="Arial" w:eastAsiaTheme="majorEastAsia" w:hAnsi="Arial" w:cs="Arial"/>
          <w:sz w:val="22"/>
          <w:szCs w:val="22"/>
        </w:rPr>
        <w:t>Net Zero Wales: carbon budget 2 (2021–2025).</w:t>
      </w:r>
      <w:r w:rsidRPr="00DE61F6">
        <w:rPr>
          <w:rFonts w:ascii="Arial" w:hAnsi="Arial" w:cs="Arial"/>
          <w:sz w:val="22"/>
          <w:szCs w:val="22"/>
        </w:rPr>
        <w:t xml:space="preserve"> Cardiff: Welsh Government. Available at: </w:t>
      </w:r>
      <w:hyperlink r:id="rId25" w:tgtFrame="_new" w:history="1">
        <w:r w:rsidRPr="00DE61F6">
          <w:rPr>
            <w:rStyle w:val="Hyperlink"/>
            <w:rFonts w:ascii="Arial" w:eastAsiaTheme="majorEastAsia" w:hAnsi="Arial" w:cs="Arial"/>
            <w:sz w:val="22"/>
            <w:szCs w:val="22"/>
          </w:rPr>
          <w:t>https://www.gov.wales/net-zero-wales-carbon-budget-2</w:t>
        </w:r>
      </w:hyperlink>
      <w:r w:rsidRPr="00DE61F6">
        <w:rPr>
          <w:rFonts w:ascii="Arial" w:hAnsi="Arial" w:cs="Arial"/>
          <w:sz w:val="22"/>
          <w:szCs w:val="22"/>
        </w:rPr>
        <w:t xml:space="preserve"> (Accessed: 3 December 2025).</w:t>
      </w:r>
    </w:p>
    <w:p w14:paraId="4B94DFB5"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Welsh Government (2021) </w:t>
      </w:r>
      <w:r w:rsidRPr="00DE61F6">
        <w:rPr>
          <w:rStyle w:val="Emphasis"/>
          <w:rFonts w:ascii="Arial" w:eastAsiaTheme="majorEastAsia" w:hAnsi="Arial" w:cs="Arial"/>
          <w:sz w:val="22"/>
          <w:szCs w:val="22"/>
        </w:rPr>
        <w:t>Net zero carbon status by 2030: public sector route map.</w:t>
      </w:r>
      <w:r w:rsidRPr="00DE61F6">
        <w:rPr>
          <w:rFonts w:ascii="Arial" w:hAnsi="Arial" w:cs="Arial"/>
          <w:sz w:val="22"/>
          <w:szCs w:val="22"/>
        </w:rPr>
        <w:t xml:space="preserve"> Cardiff: Welsh Government. Available at: </w:t>
      </w:r>
      <w:hyperlink r:id="rId26" w:tgtFrame="_new" w:history="1">
        <w:r w:rsidRPr="00DE61F6">
          <w:rPr>
            <w:rStyle w:val="Hyperlink"/>
            <w:rFonts w:ascii="Arial" w:eastAsiaTheme="majorEastAsia" w:hAnsi="Arial" w:cs="Arial"/>
            <w:sz w:val="22"/>
            <w:szCs w:val="22"/>
          </w:rPr>
          <w:t>https://www.gov.wales/net-zero-carbon-status-2030-public-sector-route-map</w:t>
        </w:r>
      </w:hyperlink>
      <w:r w:rsidRPr="00DE61F6">
        <w:rPr>
          <w:rFonts w:ascii="Arial" w:hAnsi="Arial" w:cs="Arial"/>
          <w:sz w:val="22"/>
          <w:szCs w:val="22"/>
        </w:rPr>
        <w:t xml:space="preserve"> (Accessed: 3 December 2025).</w:t>
      </w:r>
    </w:p>
    <w:p w14:paraId="2956EE82"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Welsh Government (2022a) </w:t>
      </w:r>
      <w:r w:rsidRPr="00DE61F6">
        <w:rPr>
          <w:rStyle w:val="Emphasis"/>
          <w:rFonts w:ascii="Arial" w:eastAsiaTheme="majorEastAsia" w:hAnsi="Arial" w:cs="Arial"/>
          <w:sz w:val="22"/>
          <w:szCs w:val="22"/>
        </w:rPr>
        <w:t>Approved Document L: Conservation of fuel and power, Volume 1 – Dwellings (Wales).</w:t>
      </w:r>
      <w:r w:rsidRPr="00DE61F6">
        <w:rPr>
          <w:rFonts w:ascii="Arial" w:hAnsi="Arial" w:cs="Arial"/>
          <w:sz w:val="22"/>
          <w:szCs w:val="22"/>
        </w:rPr>
        <w:t xml:space="preserve"> Cardiff: Welsh Government.</w:t>
      </w:r>
    </w:p>
    <w:p w14:paraId="0708BD35"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Welsh Government (2022b) </w:t>
      </w:r>
      <w:r w:rsidRPr="00DE61F6">
        <w:rPr>
          <w:rStyle w:val="Emphasis"/>
          <w:rFonts w:ascii="Arial" w:eastAsiaTheme="majorEastAsia" w:hAnsi="Arial" w:cs="Arial"/>
          <w:sz w:val="22"/>
          <w:szCs w:val="22"/>
        </w:rPr>
        <w:t>Approved Document F: Ventilation (Wales).</w:t>
      </w:r>
      <w:r w:rsidRPr="00DE61F6">
        <w:rPr>
          <w:rFonts w:ascii="Arial" w:hAnsi="Arial" w:cs="Arial"/>
          <w:sz w:val="22"/>
          <w:szCs w:val="22"/>
        </w:rPr>
        <w:t xml:space="preserve"> Cardiff: Welsh Government.</w:t>
      </w:r>
    </w:p>
    <w:p w14:paraId="754F54C5"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Welsh Government (2022c) </w:t>
      </w:r>
      <w:r w:rsidRPr="00DE61F6">
        <w:rPr>
          <w:rStyle w:val="Emphasis"/>
          <w:rFonts w:ascii="Arial" w:eastAsiaTheme="majorEastAsia" w:hAnsi="Arial" w:cs="Arial"/>
          <w:sz w:val="22"/>
          <w:szCs w:val="22"/>
        </w:rPr>
        <w:t>Approved Document O: Overheating (Wales).</w:t>
      </w:r>
      <w:r w:rsidRPr="00DE61F6">
        <w:rPr>
          <w:rFonts w:ascii="Arial" w:hAnsi="Arial" w:cs="Arial"/>
          <w:sz w:val="22"/>
          <w:szCs w:val="22"/>
        </w:rPr>
        <w:t xml:space="preserve"> Cardiff: Welsh Government.</w:t>
      </w:r>
    </w:p>
    <w:p w14:paraId="7F740472" w14:textId="77777777" w:rsidR="00DE61F6"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World Green Building Council (no date) </w:t>
      </w:r>
      <w:r w:rsidRPr="00DE61F6">
        <w:rPr>
          <w:rStyle w:val="Emphasis"/>
          <w:rFonts w:ascii="Arial" w:eastAsiaTheme="majorEastAsia" w:hAnsi="Arial" w:cs="Arial"/>
          <w:sz w:val="22"/>
          <w:szCs w:val="22"/>
        </w:rPr>
        <w:t>What is a sustainable built environment?</w:t>
      </w:r>
      <w:r w:rsidRPr="00DE61F6">
        <w:rPr>
          <w:rFonts w:ascii="Arial" w:hAnsi="Arial" w:cs="Arial"/>
          <w:sz w:val="22"/>
          <w:szCs w:val="22"/>
        </w:rPr>
        <w:t xml:space="preserve"> Available at: </w:t>
      </w:r>
      <w:hyperlink r:id="rId27" w:tgtFrame="_new" w:history="1">
        <w:r w:rsidRPr="00DE61F6">
          <w:rPr>
            <w:rStyle w:val="Hyperlink"/>
            <w:rFonts w:ascii="Arial" w:eastAsiaTheme="majorEastAsia" w:hAnsi="Arial" w:cs="Arial"/>
            <w:sz w:val="22"/>
            <w:szCs w:val="22"/>
          </w:rPr>
          <w:t>https://worldgbc.org/what-is-a-sustainable-built-environment/</w:t>
        </w:r>
      </w:hyperlink>
      <w:r w:rsidRPr="00DE61F6">
        <w:rPr>
          <w:rFonts w:ascii="Arial" w:hAnsi="Arial" w:cs="Arial"/>
          <w:sz w:val="22"/>
          <w:szCs w:val="22"/>
        </w:rPr>
        <w:t xml:space="preserve"> (Accessed: 2 December 2025).</w:t>
      </w:r>
    </w:p>
    <w:p w14:paraId="0F770C65" w14:textId="786A77E9" w:rsidR="00F34EB3" w:rsidRPr="00DE61F6" w:rsidRDefault="00DE61F6" w:rsidP="00DE61F6">
      <w:pPr>
        <w:pStyle w:val="NormalWeb"/>
        <w:numPr>
          <w:ilvl w:val="0"/>
          <w:numId w:val="36"/>
        </w:numPr>
        <w:rPr>
          <w:rFonts w:ascii="Arial" w:hAnsi="Arial" w:cs="Arial"/>
          <w:sz w:val="22"/>
          <w:szCs w:val="22"/>
        </w:rPr>
      </w:pPr>
      <w:r w:rsidRPr="00DE61F6">
        <w:rPr>
          <w:rFonts w:ascii="Arial" w:hAnsi="Arial" w:cs="Arial"/>
          <w:sz w:val="22"/>
          <w:szCs w:val="22"/>
        </w:rPr>
        <w:t xml:space="preserve">World Green Building Council (2019) </w:t>
      </w:r>
      <w:r w:rsidRPr="00DE61F6">
        <w:rPr>
          <w:rStyle w:val="Emphasis"/>
          <w:rFonts w:ascii="Arial" w:eastAsiaTheme="majorEastAsia" w:hAnsi="Arial" w:cs="Arial"/>
          <w:sz w:val="22"/>
          <w:szCs w:val="22"/>
        </w:rPr>
        <w:t>Bringing embodied carbon upfront: coordinated action for the building and construction sector to tackle embodied carbon.</w:t>
      </w:r>
      <w:r w:rsidRPr="00DE61F6">
        <w:rPr>
          <w:rFonts w:ascii="Arial" w:hAnsi="Arial" w:cs="Arial"/>
          <w:sz w:val="22"/>
          <w:szCs w:val="22"/>
        </w:rPr>
        <w:t xml:space="preserve"> London: World Green Building Council.</w:t>
      </w:r>
    </w:p>
    <w:p w14:paraId="21012D02" w14:textId="71FBE174" w:rsidR="001839D8" w:rsidRDefault="00846356" w:rsidP="005A7D9D">
      <w:pPr>
        <w:pStyle w:val="Heading1"/>
        <w:numPr>
          <w:ilvl w:val="0"/>
          <w:numId w:val="29"/>
        </w:numPr>
        <w:rPr>
          <w:rFonts w:cs="Arial"/>
          <w:sz w:val="32"/>
          <w:szCs w:val="32"/>
        </w:rPr>
      </w:pPr>
      <w:bookmarkStart w:id="10" w:name="_Toc216033864"/>
      <w:r w:rsidRPr="00F34EB3">
        <w:rPr>
          <w:rFonts w:cs="Arial"/>
          <w:sz w:val="32"/>
          <w:szCs w:val="32"/>
        </w:rPr>
        <w:t>Bibliography</w:t>
      </w:r>
      <w:bookmarkEnd w:id="10"/>
    </w:p>
    <w:p w14:paraId="67D8B0C3" w14:textId="51244A0E"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Part Z (2021)</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Proposal to amend UK Building Regulations to regulate whole-life carbon (industry-led initiative)</w:t>
      </w:r>
      <w:r w:rsidRPr="002C07BD">
        <w:rPr>
          <w:rFonts w:eastAsia="Times New Roman" w:cs="Arial"/>
          <w:kern w:val="0"/>
          <w:lang w:eastAsia="en-GB"/>
          <w14:ligatures w14:val="none"/>
        </w:rPr>
        <w:t xml:space="preserve">.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https://part-z.uk/proposal (Accessed: 7 December 2025).</w:t>
      </w:r>
    </w:p>
    <w:p w14:paraId="7F021BDA" w14:textId="7839E183"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UK Green Building Council (2021)</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Net Zero Whole Life Carbon Roadmap: Pathway to Net Zero for the UK Built Environment</w:t>
      </w:r>
      <w:r w:rsidRPr="002C07BD">
        <w:rPr>
          <w:rFonts w:eastAsia="Times New Roman" w:cs="Arial"/>
          <w:kern w:val="0"/>
          <w:lang w:eastAsia="en-GB"/>
          <w14:ligatures w14:val="none"/>
        </w:rPr>
        <w:t xml:space="preserve">. London: UKGBC.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https://www.ukgbc.org/wp-content/uploads/2021/11/UKGBC-Whole-Life-Carbon-Roadmap-Technical-Report.pdf (Accessed: 7 December 2025).</w:t>
      </w:r>
    </w:p>
    <w:p w14:paraId="0EF37EE6" w14:textId="5F8D5B0B"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British Standards Institution (2023)</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PAS 2080:2023 – Carbon management in buildings and infrastructure</w:t>
      </w:r>
      <w:r w:rsidRPr="002C07BD">
        <w:rPr>
          <w:rFonts w:eastAsia="Times New Roman" w:cs="Arial"/>
          <w:kern w:val="0"/>
          <w:lang w:eastAsia="en-GB"/>
          <w14:ligatures w14:val="none"/>
        </w:rPr>
        <w:t xml:space="preserve">. London: BSI.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https://www.bsigroup.com/en-GB/pas-2080-carbon-management-in-infrastructure (Accessed: 7 December 2025).</w:t>
      </w:r>
    </w:p>
    <w:p w14:paraId="2E57E50B" w14:textId="2FF316A7"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House of Commons Environmental Audit Committee (2022)</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Building to Net Zero: Costing Carbon in Construction</w:t>
      </w:r>
      <w:r w:rsidRPr="002C07BD">
        <w:rPr>
          <w:rFonts w:eastAsia="Times New Roman" w:cs="Arial"/>
          <w:kern w:val="0"/>
          <w:lang w:eastAsia="en-GB"/>
          <w14:ligatures w14:val="none"/>
        </w:rPr>
        <w:t xml:space="preserve">. HC 103, 11 May 2022. London: UK Parliament.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https://committees.parliament.uk/publications/22427/documents/165446/default/ (Accessed: 7 December 2025).</w:t>
      </w:r>
    </w:p>
    <w:p w14:paraId="7CFAA644" w14:textId="1BB8D6F1"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HM Government (2021)</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Net Zero Strategy: Build Back Greener</w:t>
      </w:r>
      <w:r w:rsidRPr="002C07BD">
        <w:rPr>
          <w:rFonts w:eastAsia="Times New Roman" w:cs="Arial"/>
          <w:kern w:val="0"/>
          <w:lang w:eastAsia="en-GB"/>
          <w14:ligatures w14:val="none"/>
        </w:rPr>
        <w:t xml:space="preserve"> London: HM Government (Policy paper, Dept. for BEIS).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https://www.gov.uk/government/publications/net-zero-strategy (Accessed: 7 December 2025).</w:t>
      </w:r>
    </w:p>
    <w:p w14:paraId="36C985A6" w14:textId="1D1A9FF6"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Institution of Structural Engineers (2025)</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How to Calculate Embodied Carbon (Third Edition</w:t>
      </w:r>
      <w:r w:rsidRPr="002C07BD">
        <w:rPr>
          <w:rFonts w:eastAsia="Times New Roman" w:cs="Arial"/>
          <w:kern w:val="0"/>
          <w:lang w:eastAsia="en-GB"/>
          <w14:ligatures w14:val="none"/>
        </w:rPr>
        <w:t xml:space="preserve">. London: </w:t>
      </w:r>
      <w:proofErr w:type="spellStart"/>
      <w:r w:rsidRPr="002C07BD">
        <w:rPr>
          <w:rFonts w:eastAsia="Times New Roman" w:cs="Arial"/>
          <w:kern w:val="0"/>
          <w:lang w:eastAsia="en-GB"/>
          <w14:ligatures w14:val="none"/>
        </w:rPr>
        <w:t>IStructE</w:t>
      </w:r>
      <w:proofErr w:type="spellEnd"/>
      <w:r w:rsidRPr="002C07BD">
        <w:rPr>
          <w:rFonts w:eastAsia="Times New Roman" w:cs="Arial"/>
          <w:kern w:val="0"/>
          <w:lang w:eastAsia="en-GB"/>
          <w14:ligatures w14:val="none"/>
        </w:rPr>
        <w:t xml:space="preserve">.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https://www.istructe.org/resources/guidance/how-to-calculate-embodied-carbon/ (Accessed: 7 December 2025).</w:t>
      </w:r>
    </w:p>
    <w:p w14:paraId="6C191063" w14:textId="47934C90"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United Nations Environment Programme (2022)</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Global Status Report for Buildings and Construction 2022</w:t>
      </w:r>
      <w:r w:rsidRPr="002C07BD">
        <w:rPr>
          <w:rFonts w:eastAsia="Times New Roman" w:cs="Arial"/>
          <w:kern w:val="0"/>
          <w:lang w:eastAsia="en-GB"/>
          <w14:ligatures w14:val="none"/>
        </w:rPr>
        <w:t>. Nairobi: UNEP/</w:t>
      </w:r>
      <w:proofErr w:type="spellStart"/>
      <w:r w:rsidRPr="002C07BD">
        <w:rPr>
          <w:rFonts w:eastAsia="Times New Roman" w:cs="Arial"/>
          <w:kern w:val="0"/>
          <w:lang w:eastAsia="en-GB"/>
          <w14:ligatures w14:val="none"/>
        </w:rPr>
        <w:t>GlobalABC</w:t>
      </w:r>
      <w:proofErr w:type="spellEnd"/>
      <w:r w:rsidRPr="002C07BD">
        <w:rPr>
          <w:rFonts w:eastAsia="Times New Roman" w:cs="Arial"/>
          <w:kern w:val="0"/>
          <w:lang w:eastAsia="en-GB"/>
          <w14:ligatures w14:val="none"/>
        </w:rPr>
        <w:t xml:space="preserve">.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https://www.unep.org/resources/publication/2022-global-status-report-buildings-and-construction (Accessed: 7 December 2025).</w:t>
      </w:r>
    </w:p>
    <w:p w14:paraId="18969310" w14:textId="78ED05F4"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Committee on Climate Change (2019)</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 xml:space="preserve">UK Housing: Fit for the </w:t>
      </w:r>
      <w:proofErr w:type="gramStart"/>
      <w:r w:rsidRPr="002C07BD">
        <w:rPr>
          <w:rFonts w:eastAsia="Times New Roman" w:cs="Arial"/>
          <w:i/>
          <w:iCs/>
          <w:kern w:val="0"/>
          <w:lang w:eastAsia="en-GB"/>
          <w14:ligatures w14:val="none"/>
        </w:rPr>
        <w:t>Future?</w:t>
      </w:r>
      <w:r w:rsidRPr="002C07BD">
        <w:rPr>
          <w:rFonts w:eastAsia="Times New Roman" w:cs="Arial"/>
          <w:kern w:val="0"/>
          <w:lang w:eastAsia="en-GB"/>
          <w14:ligatures w14:val="none"/>
        </w:rPr>
        <w:t>.</w:t>
      </w:r>
      <w:proofErr w:type="gramEnd"/>
      <w:r w:rsidRPr="002C07BD">
        <w:rPr>
          <w:rFonts w:eastAsia="Times New Roman" w:cs="Arial"/>
          <w:kern w:val="0"/>
          <w:lang w:eastAsia="en-GB"/>
          <w14:ligatures w14:val="none"/>
        </w:rPr>
        <w:t xml:space="preserve"> London: CCC.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https://www.theccc.org.uk/wp-content/uploads/2019/02/UK-housing-Fit-for-the-future-CCC-2019.pdf (Accessed: 7 December 2025).</w:t>
      </w:r>
    </w:p>
    <w:p w14:paraId="63949245" w14:textId="380A5315"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Green Construction Board Low Carbon Concrete Group (2022)</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 xml:space="preserve">Low Carbon Concrete </w:t>
      </w:r>
      <w:proofErr w:type="spellStart"/>
      <w:r w:rsidRPr="002C07BD">
        <w:rPr>
          <w:rFonts w:eastAsia="Times New Roman" w:cs="Arial"/>
          <w:i/>
          <w:iCs/>
          <w:kern w:val="0"/>
          <w:lang w:eastAsia="en-GB"/>
          <w14:ligatures w14:val="none"/>
        </w:rPr>
        <w:t>Routemap</w:t>
      </w:r>
      <w:proofErr w:type="spellEnd"/>
      <w:r w:rsidRPr="002C07BD">
        <w:rPr>
          <w:rFonts w:eastAsia="Times New Roman" w:cs="Arial"/>
          <w:kern w:val="0"/>
          <w:lang w:eastAsia="en-GB"/>
          <w14:ligatures w14:val="none"/>
        </w:rPr>
        <w:t xml:space="preserve">. London: Institution of Civil Engineers.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https://www.ice.org.uk/areas-of-interest/decarbonisation/low-carbon-concrete-routemap (Accessed: 7 December 2025).</w:t>
      </w:r>
    </w:p>
    <w:p w14:paraId="493A3408" w14:textId="7F2226C4" w:rsidR="002C07BD" w:rsidRPr="002C07BD" w:rsidRDefault="002C07BD" w:rsidP="002C07BD">
      <w:pPr>
        <w:numPr>
          <w:ilvl w:val="0"/>
          <w:numId w:val="43"/>
        </w:numPr>
        <w:spacing w:before="100" w:beforeAutospacing="1" w:after="100" w:afterAutospacing="1" w:line="240" w:lineRule="auto"/>
        <w:rPr>
          <w:rFonts w:eastAsia="Times New Roman" w:cs="Arial"/>
          <w:kern w:val="0"/>
          <w:lang w:eastAsia="en-GB"/>
          <w14:ligatures w14:val="none"/>
        </w:rPr>
      </w:pPr>
      <w:r w:rsidRPr="002C07BD">
        <w:rPr>
          <w:rFonts w:eastAsia="Times New Roman" w:cs="Arial"/>
          <w:b/>
          <w:bCs/>
          <w:kern w:val="0"/>
          <w:lang w:eastAsia="en-GB"/>
          <w14:ligatures w14:val="none"/>
        </w:rPr>
        <w:t>Royal Academy of Engineering (2020)</w:t>
      </w:r>
      <w:r w:rsidRPr="002C07BD">
        <w:rPr>
          <w:rFonts w:eastAsia="Times New Roman" w:cs="Arial"/>
          <w:kern w:val="0"/>
          <w:lang w:eastAsia="en-GB"/>
          <w14:ligatures w14:val="none"/>
        </w:rPr>
        <w:t xml:space="preserve"> – </w:t>
      </w:r>
      <w:r w:rsidRPr="002C07BD">
        <w:rPr>
          <w:rFonts w:eastAsia="Times New Roman" w:cs="Arial"/>
          <w:i/>
          <w:iCs/>
          <w:kern w:val="0"/>
          <w:lang w:eastAsia="en-GB"/>
          <w14:ligatures w14:val="none"/>
        </w:rPr>
        <w:t>Decarbonising Construction: Building a New Net Zero Industry</w:t>
      </w:r>
      <w:r w:rsidRPr="002C07BD">
        <w:rPr>
          <w:rFonts w:eastAsia="Times New Roman" w:cs="Arial"/>
          <w:kern w:val="0"/>
          <w:lang w:eastAsia="en-GB"/>
          <w14:ligatures w14:val="none"/>
        </w:rPr>
        <w:t xml:space="preserve">. London: National Engineering Policy Centre. </w:t>
      </w:r>
      <w:r w:rsidRPr="002C07BD">
        <w:rPr>
          <w:rFonts w:eastAsia="Times New Roman" w:cs="Arial"/>
          <w:i/>
          <w:iCs/>
          <w:kern w:val="0"/>
          <w:lang w:eastAsia="en-GB"/>
          <w14:ligatures w14:val="none"/>
        </w:rPr>
        <w:t>Available at:</w:t>
      </w:r>
      <w:r w:rsidRPr="002C07BD">
        <w:rPr>
          <w:rFonts w:eastAsia="Times New Roman" w:cs="Arial"/>
          <w:kern w:val="0"/>
          <w:lang w:eastAsia="en-GB"/>
          <w14:ligatures w14:val="none"/>
        </w:rPr>
        <w:t xml:space="preserve"> https://nepc.raeng.org.uk/media/trylegie/nepc-decarbonising-construction.pdf (Accessed: 7 December 2025).</w:t>
      </w:r>
    </w:p>
    <w:sectPr w:rsidR="002C07BD" w:rsidRPr="002C07BD" w:rsidSect="00CE4B1F">
      <w:headerReference w:type="first" r:id="rId28"/>
      <w:footerReference w:type="first" r:id="rId29"/>
      <w:pgSz w:w="11906" w:h="16838"/>
      <w:pgMar w:top="720" w:right="720" w:bottom="720" w:left="720" w:header="708"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93709" w14:textId="77777777" w:rsidR="0056014A" w:rsidRDefault="0056014A" w:rsidP="00D70038">
      <w:pPr>
        <w:spacing w:after="0" w:line="240" w:lineRule="auto"/>
      </w:pPr>
      <w:r>
        <w:separator/>
      </w:r>
    </w:p>
  </w:endnote>
  <w:endnote w:type="continuationSeparator" w:id="0">
    <w:p w14:paraId="5416F098" w14:textId="77777777" w:rsidR="0056014A" w:rsidRDefault="0056014A" w:rsidP="00D70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519DD" w14:textId="29B9D6FD" w:rsidR="00E17742" w:rsidRPr="00E17742" w:rsidRDefault="00E17742" w:rsidP="00E17742">
    <w:pPr>
      <w:pStyle w:val="Footer"/>
      <w:rPr>
        <w:rFonts w:cs="Arial"/>
        <w:color w:val="345888"/>
        <w:sz w:val="36"/>
        <w:szCs w:val="36"/>
      </w:rPr>
    </w:pPr>
    <w:r>
      <w:rPr>
        <w:rFonts w:cs="Arial"/>
        <w:color w:val="345888"/>
        <w:sz w:val="36"/>
        <w:szCs w:val="36"/>
      </w:rPr>
      <w:t xml:space="preserve">2025 edition – For use in </w:t>
    </w:r>
    <w:r w:rsidR="007E2A32">
      <w:rPr>
        <w:rFonts w:cs="Arial"/>
        <w:color w:val="345888"/>
        <w:sz w:val="36"/>
        <w:szCs w:val="36"/>
      </w:rPr>
      <w:t>Wales*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B0444" w14:textId="77777777" w:rsidR="0056014A" w:rsidRDefault="0056014A" w:rsidP="00D70038">
      <w:pPr>
        <w:spacing w:after="0" w:line="240" w:lineRule="auto"/>
      </w:pPr>
      <w:r>
        <w:separator/>
      </w:r>
    </w:p>
  </w:footnote>
  <w:footnote w:type="continuationSeparator" w:id="0">
    <w:p w14:paraId="209C5885" w14:textId="77777777" w:rsidR="0056014A" w:rsidRDefault="0056014A" w:rsidP="00D70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5A235" w14:textId="40C3BAC0" w:rsidR="00D70038" w:rsidRDefault="00D70038" w:rsidP="00D70038">
    <w:pPr>
      <w:pStyle w:val="Header"/>
      <w:jc w:val="right"/>
    </w:pPr>
    <w:r w:rsidRPr="00D70038">
      <w:rPr>
        <w:noProof/>
      </w:rPr>
      <w:drawing>
        <wp:anchor distT="0" distB="0" distL="114300" distR="114300" simplePos="0" relativeHeight="251658240" behindDoc="0" locked="0" layoutInCell="1" allowOverlap="1" wp14:anchorId="05D9A227" wp14:editId="28A688FB">
          <wp:simplePos x="0" y="0"/>
          <wp:positionH relativeFrom="column">
            <wp:posOffset>5181600</wp:posOffset>
          </wp:positionH>
          <wp:positionV relativeFrom="paragraph">
            <wp:posOffset>-1905</wp:posOffset>
          </wp:positionV>
          <wp:extent cx="1257300" cy="1479652"/>
          <wp:effectExtent l="0" t="0" r="0" b="6350"/>
          <wp:wrapSquare wrapText="bothSides"/>
          <wp:docPr id="1032602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4796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4F60"/>
    <w:multiLevelType w:val="multilevel"/>
    <w:tmpl w:val="A2E6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B04EC"/>
    <w:multiLevelType w:val="multilevel"/>
    <w:tmpl w:val="13F2A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902E9"/>
    <w:multiLevelType w:val="multilevel"/>
    <w:tmpl w:val="C3BA4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11612"/>
    <w:multiLevelType w:val="multilevel"/>
    <w:tmpl w:val="E3721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92F29"/>
    <w:multiLevelType w:val="multilevel"/>
    <w:tmpl w:val="CAD25F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6F643F"/>
    <w:multiLevelType w:val="multilevel"/>
    <w:tmpl w:val="458C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23FEE"/>
    <w:multiLevelType w:val="multilevel"/>
    <w:tmpl w:val="BC96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74595"/>
    <w:multiLevelType w:val="multilevel"/>
    <w:tmpl w:val="5650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642E1"/>
    <w:multiLevelType w:val="hybridMultilevel"/>
    <w:tmpl w:val="E82ECB6C"/>
    <w:lvl w:ilvl="0" w:tplc="FFFFFFFF">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53622D"/>
    <w:multiLevelType w:val="multilevel"/>
    <w:tmpl w:val="3BC2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303C0F"/>
    <w:multiLevelType w:val="multilevel"/>
    <w:tmpl w:val="93C0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1347B4"/>
    <w:multiLevelType w:val="multilevel"/>
    <w:tmpl w:val="205A7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695890"/>
    <w:multiLevelType w:val="multilevel"/>
    <w:tmpl w:val="972C0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920163"/>
    <w:multiLevelType w:val="multilevel"/>
    <w:tmpl w:val="B4D6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D5810"/>
    <w:multiLevelType w:val="multilevel"/>
    <w:tmpl w:val="5E660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63B93"/>
    <w:multiLevelType w:val="multilevel"/>
    <w:tmpl w:val="7BFE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42A63"/>
    <w:multiLevelType w:val="multilevel"/>
    <w:tmpl w:val="98EE6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0C0454"/>
    <w:multiLevelType w:val="multilevel"/>
    <w:tmpl w:val="81C8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A6589"/>
    <w:multiLevelType w:val="multilevel"/>
    <w:tmpl w:val="1BCEF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F618D6"/>
    <w:multiLevelType w:val="multilevel"/>
    <w:tmpl w:val="E1A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E16956"/>
    <w:multiLevelType w:val="hybridMultilevel"/>
    <w:tmpl w:val="8D5A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AE0CBC"/>
    <w:multiLevelType w:val="hybridMultilevel"/>
    <w:tmpl w:val="D6D435F4"/>
    <w:lvl w:ilvl="0" w:tplc="FFFFFFFF">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2C64D78"/>
    <w:multiLevelType w:val="multilevel"/>
    <w:tmpl w:val="7F28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A65F71"/>
    <w:multiLevelType w:val="hybridMultilevel"/>
    <w:tmpl w:val="93BE63EA"/>
    <w:lvl w:ilvl="0" w:tplc="830250F8">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095052"/>
    <w:multiLevelType w:val="multilevel"/>
    <w:tmpl w:val="4ADE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6534FC"/>
    <w:multiLevelType w:val="multilevel"/>
    <w:tmpl w:val="CC0A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B440B4"/>
    <w:multiLevelType w:val="hybridMultilevel"/>
    <w:tmpl w:val="F2DA5C82"/>
    <w:lvl w:ilvl="0" w:tplc="B398635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893D5D"/>
    <w:multiLevelType w:val="multilevel"/>
    <w:tmpl w:val="D22A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9F034F"/>
    <w:multiLevelType w:val="hybridMultilevel"/>
    <w:tmpl w:val="1EC0FB58"/>
    <w:lvl w:ilvl="0" w:tplc="FFFFFFFF">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5E7E5D"/>
    <w:multiLevelType w:val="multilevel"/>
    <w:tmpl w:val="38BE37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DE6341"/>
    <w:multiLevelType w:val="multilevel"/>
    <w:tmpl w:val="E8FE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DF65E3"/>
    <w:multiLevelType w:val="multilevel"/>
    <w:tmpl w:val="1242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BC7B1D"/>
    <w:multiLevelType w:val="multilevel"/>
    <w:tmpl w:val="D728D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3944A5"/>
    <w:multiLevelType w:val="multilevel"/>
    <w:tmpl w:val="6AC0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DE5B35"/>
    <w:multiLevelType w:val="hybridMultilevel"/>
    <w:tmpl w:val="2B22FEA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4095936"/>
    <w:multiLevelType w:val="hybridMultilevel"/>
    <w:tmpl w:val="8B38507A"/>
    <w:lvl w:ilvl="0" w:tplc="57DAC1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F5294"/>
    <w:multiLevelType w:val="multilevel"/>
    <w:tmpl w:val="91A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B93D12"/>
    <w:multiLevelType w:val="multilevel"/>
    <w:tmpl w:val="42E49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7F79DC"/>
    <w:multiLevelType w:val="multilevel"/>
    <w:tmpl w:val="64D8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046987"/>
    <w:multiLevelType w:val="hybridMultilevel"/>
    <w:tmpl w:val="1EC0FB58"/>
    <w:lvl w:ilvl="0" w:tplc="C0D6544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A20CDF"/>
    <w:multiLevelType w:val="multilevel"/>
    <w:tmpl w:val="E2A43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F5840"/>
    <w:multiLevelType w:val="hybridMultilevel"/>
    <w:tmpl w:val="9710C944"/>
    <w:lvl w:ilvl="0" w:tplc="15EC43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566875"/>
    <w:multiLevelType w:val="multilevel"/>
    <w:tmpl w:val="5050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999389">
    <w:abstractNumId w:val="39"/>
  </w:num>
  <w:num w:numId="2" w16cid:durableId="1211574862">
    <w:abstractNumId w:val="38"/>
  </w:num>
  <w:num w:numId="3" w16cid:durableId="1134786453">
    <w:abstractNumId w:val="11"/>
  </w:num>
  <w:num w:numId="4" w16cid:durableId="1204321743">
    <w:abstractNumId w:val="9"/>
  </w:num>
  <w:num w:numId="5" w16cid:durableId="898827209">
    <w:abstractNumId w:val="14"/>
  </w:num>
  <w:num w:numId="6" w16cid:durableId="1098479191">
    <w:abstractNumId w:val="13"/>
  </w:num>
  <w:num w:numId="7" w16cid:durableId="700470827">
    <w:abstractNumId w:val="12"/>
  </w:num>
  <w:num w:numId="8" w16cid:durableId="1113666325">
    <w:abstractNumId w:val="19"/>
  </w:num>
  <w:num w:numId="9" w16cid:durableId="1187911357">
    <w:abstractNumId w:val="33"/>
  </w:num>
  <w:num w:numId="10" w16cid:durableId="247233103">
    <w:abstractNumId w:val="22"/>
  </w:num>
  <w:num w:numId="11" w16cid:durableId="1827166725">
    <w:abstractNumId w:val="2"/>
  </w:num>
  <w:num w:numId="12" w16cid:durableId="1367412773">
    <w:abstractNumId w:val="27"/>
  </w:num>
  <w:num w:numId="13" w16cid:durableId="1180044824">
    <w:abstractNumId w:val="4"/>
  </w:num>
  <w:num w:numId="14" w16cid:durableId="518200971">
    <w:abstractNumId w:val="7"/>
  </w:num>
  <w:num w:numId="15" w16cid:durableId="657612634">
    <w:abstractNumId w:val="29"/>
  </w:num>
  <w:num w:numId="16" w16cid:durableId="115761094">
    <w:abstractNumId w:val="6"/>
  </w:num>
  <w:num w:numId="17" w16cid:durableId="1712918571">
    <w:abstractNumId w:val="32"/>
  </w:num>
  <w:num w:numId="18" w16cid:durableId="64887634">
    <w:abstractNumId w:val="30"/>
  </w:num>
  <w:num w:numId="19" w16cid:durableId="987631033">
    <w:abstractNumId w:val="40"/>
  </w:num>
  <w:num w:numId="20" w16cid:durableId="1559509840">
    <w:abstractNumId w:val="0"/>
  </w:num>
  <w:num w:numId="21" w16cid:durableId="1374429327">
    <w:abstractNumId w:val="37"/>
  </w:num>
  <w:num w:numId="22" w16cid:durableId="848443661">
    <w:abstractNumId w:val="1"/>
  </w:num>
  <w:num w:numId="23" w16cid:durableId="883566916">
    <w:abstractNumId w:val="3"/>
  </w:num>
  <w:num w:numId="24" w16cid:durableId="1702901323">
    <w:abstractNumId w:val="18"/>
  </w:num>
  <w:num w:numId="25" w16cid:durableId="1177840056">
    <w:abstractNumId w:val="21"/>
  </w:num>
  <w:num w:numId="26" w16cid:durableId="1805780421">
    <w:abstractNumId w:val="8"/>
  </w:num>
  <w:num w:numId="27" w16cid:durableId="1101222305">
    <w:abstractNumId w:val="34"/>
  </w:num>
  <w:num w:numId="28" w16cid:durableId="1338848608">
    <w:abstractNumId w:val="23"/>
  </w:num>
  <w:num w:numId="29" w16cid:durableId="1939680053">
    <w:abstractNumId w:val="26"/>
  </w:num>
  <w:num w:numId="30" w16cid:durableId="1552382620">
    <w:abstractNumId w:val="15"/>
  </w:num>
  <w:num w:numId="31" w16cid:durableId="1929189784">
    <w:abstractNumId w:val="36"/>
  </w:num>
  <w:num w:numId="32" w16cid:durableId="927812073">
    <w:abstractNumId w:val="5"/>
  </w:num>
  <w:num w:numId="33" w16cid:durableId="953748318">
    <w:abstractNumId w:val="25"/>
  </w:num>
  <w:num w:numId="34" w16cid:durableId="491288466">
    <w:abstractNumId w:val="10"/>
  </w:num>
  <w:num w:numId="35" w16cid:durableId="777918435">
    <w:abstractNumId w:val="28"/>
  </w:num>
  <w:num w:numId="36" w16cid:durableId="1419521566">
    <w:abstractNumId w:val="41"/>
  </w:num>
  <w:num w:numId="37" w16cid:durableId="1837919104">
    <w:abstractNumId w:val="20"/>
  </w:num>
  <w:num w:numId="38" w16cid:durableId="1277101837">
    <w:abstractNumId w:val="31"/>
  </w:num>
  <w:num w:numId="39" w16cid:durableId="1187404063">
    <w:abstractNumId w:val="24"/>
  </w:num>
  <w:num w:numId="40" w16cid:durableId="401220615">
    <w:abstractNumId w:val="42"/>
  </w:num>
  <w:num w:numId="41" w16cid:durableId="130252757">
    <w:abstractNumId w:val="17"/>
  </w:num>
  <w:num w:numId="42" w16cid:durableId="2017533429">
    <w:abstractNumId w:val="16"/>
  </w:num>
  <w:num w:numId="43" w16cid:durableId="81900652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031"/>
    <w:rsid w:val="00024484"/>
    <w:rsid w:val="00042B42"/>
    <w:rsid w:val="00047337"/>
    <w:rsid w:val="000677D2"/>
    <w:rsid w:val="00090721"/>
    <w:rsid w:val="000F7BF4"/>
    <w:rsid w:val="0011118A"/>
    <w:rsid w:val="00122FEA"/>
    <w:rsid w:val="00146FDD"/>
    <w:rsid w:val="00157CA8"/>
    <w:rsid w:val="00163D3A"/>
    <w:rsid w:val="00176A6C"/>
    <w:rsid w:val="001839D8"/>
    <w:rsid w:val="00186C44"/>
    <w:rsid w:val="001B07D2"/>
    <w:rsid w:val="001B7E7C"/>
    <w:rsid w:val="001C00AD"/>
    <w:rsid w:val="001D32B9"/>
    <w:rsid w:val="001D410A"/>
    <w:rsid w:val="001D506F"/>
    <w:rsid w:val="001D6BB1"/>
    <w:rsid w:val="001D76E2"/>
    <w:rsid w:val="001F15B9"/>
    <w:rsid w:val="00201A44"/>
    <w:rsid w:val="002068C0"/>
    <w:rsid w:val="00206C92"/>
    <w:rsid w:val="002112D4"/>
    <w:rsid w:val="0022072B"/>
    <w:rsid w:val="0026386C"/>
    <w:rsid w:val="002A7611"/>
    <w:rsid w:val="002B2C8B"/>
    <w:rsid w:val="002B4E76"/>
    <w:rsid w:val="002C07BD"/>
    <w:rsid w:val="002F44A8"/>
    <w:rsid w:val="00331D30"/>
    <w:rsid w:val="00331F6D"/>
    <w:rsid w:val="00351D6B"/>
    <w:rsid w:val="00356044"/>
    <w:rsid w:val="00356134"/>
    <w:rsid w:val="00394DCB"/>
    <w:rsid w:val="00396AB2"/>
    <w:rsid w:val="003A026A"/>
    <w:rsid w:val="003B6BF1"/>
    <w:rsid w:val="003C2FDC"/>
    <w:rsid w:val="003F35E1"/>
    <w:rsid w:val="00422823"/>
    <w:rsid w:val="0044001A"/>
    <w:rsid w:val="00440916"/>
    <w:rsid w:val="00440A16"/>
    <w:rsid w:val="00483982"/>
    <w:rsid w:val="004C56D2"/>
    <w:rsid w:val="004C6E8D"/>
    <w:rsid w:val="004E16A5"/>
    <w:rsid w:val="00506071"/>
    <w:rsid w:val="0051395D"/>
    <w:rsid w:val="00517E00"/>
    <w:rsid w:val="00531DC9"/>
    <w:rsid w:val="00535618"/>
    <w:rsid w:val="00550920"/>
    <w:rsid w:val="0056014A"/>
    <w:rsid w:val="005725E5"/>
    <w:rsid w:val="0057767B"/>
    <w:rsid w:val="00587893"/>
    <w:rsid w:val="005A7D9D"/>
    <w:rsid w:val="005B498C"/>
    <w:rsid w:val="005D6444"/>
    <w:rsid w:val="00601423"/>
    <w:rsid w:val="006135A1"/>
    <w:rsid w:val="00622704"/>
    <w:rsid w:val="00633E45"/>
    <w:rsid w:val="00634F22"/>
    <w:rsid w:val="00654DDC"/>
    <w:rsid w:val="00660C34"/>
    <w:rsid w:val="006611A9"/>
    <w:rsid w:val="00673034"/>
    <w:rsid w:val="00681636"/>
    <w:rsid w:val="006A1861"/>
    <w:rsid w:val="006A724E"/>
    <w:rsid w:val="006B1625"/>
    <w:rsid w:val="006B1DB1"/>
    <w:rsid w:val="006C3381"/>
    <w:rsid w:val="006D1B84"/>
    <w:rsid w:val="00705604"/>
    <w:rsid w:val="00747784"/>
    <w:rsid w:val="00780C9F"/>
    <w:rsid w:val="007859AE"/>
    <w:rsid w:val="007957E3"/>
    <w:rsid w:val="007B4ECB"/>
    <w:rsid w:val="007D0F48"/>
    <w:rsid w:val="007D3EF6"/>
    <w:rsid w:val="007D4F21"/>
    <w:rsid w:val="007E2A32"/>
    <w:rsid w:val="007F7031"/>
    <w:rsid w:val="00805A4F"/>
    <w:rsid w:val="0081448E"/>
    <w:rsid w:val="00825449"/>
    <w:rsid w:val="00827DC1"/>
    <w:rsid w:val="008414B3"/>
    <w:rsid w:val="00846356"/>
    <w:rsid w:val="008624C0"/>
    <w:rsid w:val="00863D8B"/>
    <w:rsid w:val="00866353"/>
    <w:rsid w:val="00886CFE"/>
    <w:rsid w:val="008A2DF6"/>
    <w:rsid w:val="008B49C4"/>
    <w:rsid w:val="008B51C5"/>
    <w:rsid w:val="008D64CE"/>
    <w:rsid w:val="00904CE0"/>
    <w:rsid w:val="00911872"/>
    <w:rsid w:val="00960F7B"/>
    <w:rsid w:val="00973915"/>
    <w:rsid w:val="00987F37"/>
    <w:rsid w:val="009C184F"/>
    <w:rsid w:val="009C23D5"/>
    <w:rsid w:val="009C5FF8"/>
    <w:rsid w:val="009D36B6"/>
    <w:rsid w:val="009D69E9"/>
    <w:rsid w:val="00A356DF"/>
    <w:rsid w:val="00A47149"/>
    <w:rsid w:val="00A61F5A"/>
    <w:rsid w:val="00A75EA9"/>
    <w:rsid w:val="00A9781F"/>
    <w:rsid w:val="00AB0586"/>
    <w:rsid w:val="00AB6624"/>
    <w:rsid w:val="00B042FE"/>
    <w:rsid w:val="00B06321"/>
    <w:rsid w:val="00B13C60"/>
    <w:rsid w:val="00B207A8"/>
    <w:rsid w:val="00B56B80"/>
    <w:rsid w:val="00B66E42"/>
    <w:rsid w:val="00B70118"/>
    <w:rsid w:val="00B8330A"/>
    <w:rsid w:val="00B86441"/>
    <w:rsid w:val="00B9248D"/>
    <w:rsid w:val="00BA1FFB"/>
    <w:rsid w:val="00BA3881"/>
    <w:rsid w:val="00BB27FD"/>
    <w:rsid w:val="00BE7EFF"/>
    <w:rsid w:val="00BF0578"/>
    <w:rsid w:val="00C00E20"/>
    <w:rsid w:val="00C07B22"/>
    <w:rsid w:val="00C119A1"/>
    <w:rsid w:val="00C12525"/>
    <w:rsid w:val="00C14B5E"/>
    <w:rsid w:val="00C3158E"/>
    <w:rsid w:val="00C47EDC"/>
    <w:rsid w:val="00C61B81"/>
    <w:rsid w:val="00C646A5"/>
    <w:rsid w:val="00C7369F"/>
    <w:rsid w:val="00C92531"/>
    <w:rsid w:val="00CA321D"/>
    <w:rsid w:val="00CB5616"/>
    <w:rsid w:val="00CD1B2E"/>
    <w:rsid w:val="00CE4B1F"/>
    <w:rsid w:val="00D031C9"/>
    <w:rsid w:val="00D224AD"/>
    <w:rsid w:val="00D24703"/>
    <w:rsid w:val="00D37DB5"/>
    <w:rsid w:val="00D6211A"/>
    <w:rsid w:val="00D70038"/>
    <w:rsid w:val="00D74D99"/>
    <w:rsid w:val="00D7737F"/>
    <w:rsid w:val="00D77D40"/>
    <w:rsid w:val="00DB3EC4"/>
    <w:rsid w:val="00DC42AD"/>
    <w:rsid w:val="00DD5D8E"/>
    <w:rsid w:val="00DD69BE"/>
    <w:rsid w:val="00DE61F6"/>
    <w:rsid w:val="00E17742"/>
    <w:rsid w:val="00E208D8"/>
    <w:rsid w:val="00E254A5"/>
    <w:rsid w:val="00E42232"/>
    <w:rsid w:val="00E5350A"/>
    <w:rsid w:val="00E856FA"/>
    <w:rsid w:val="00E859A6"/>
    <w:rsid w:val="00EC381B"/>
    <w:rsid w:val="00EC6508"/>
    <w:rsid w:val="00F1198C"/>
    <w:rsid w:val="00F33D95"/>
    <w:rsid w:val="00F34EB3"/>
    <w:rsid w:val="00F37328"/>
    <w:rsid w:val="00F55012"/>
    <w:rsid w:val="00F67C28"/>
    <w:rsid w:val="00F8000A"/>
    <w:rsid w:val="00F83D66"/>
    <w:rsid w:val="00F853CB"/>
    <w:rsid w:val="00F94D38"/>
    <w:rsid w:val="00FC0A0C"/>
    <w:rsid w:val="00FD249F"/>
    <w:rsid w:val="00FE0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87137"/>
  <w15:chartTrackingRefBased/>
  <w15:docId w15:val="{0B22AD9C-E36D-4EF0-BF84-677CD015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D66"/>
    <w:rPr>
      <w:rFonts w:ascii="Arial" w:hAnsi="Arial"/>
    </w:rPr>
  </w:style>
  <w:style w:type="paragraph" w:styleId="Heading1">
    <w:name w:val="heading 1"/>
    <w:basedOn w:val="Normal"/>
    <w:next w:val="Normal"/>
    <w:link w:val="Heading1Char"/>
    <w:uiPriority w:val="9"/>
    <w:qFormat/>
    <w:rsid w:val="00F83D66"/>
    <w:pPr>
      <w:keepNext/>
      <w:keepLines/>
      <w:spacing w:before="360" w:after="80"/>
      <w:outlineLvl w:val="0"/>
    </w:pPr>
    <w:rPr>
      <w:rFonts w:eastAsiaTheme="majorEastAsia" w:cstheme="majorBidi"/>
      <w:b/>
      <w:color w:val="006DA2"/>
      <w:sz w:val="24"/>
      <w:szCs w:val="40"/>
    </w:rPr>
  </w:style>
  <w:style w:type="paragraph" w:styleId="Heading2">
    <w:name w:val="heading 2"/>
    <w:basedOn w:val="Normal"/>
    <w:next w:val="Normal"/>
    <w:link w:val="Heading2Char"/>
    <w:uiPriority w:val="9"/>
    <w:semiHidden/>
    <w:unhideWhenUsed/>
    <w:qFormat/>
    <w:rsid w:val="007F7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D66"/>
    <w:rPr>
      <w:rFonts w:ascii="Arial" w:eastAsiaTheme="majorEastAsia" w:hAnsi="Arial" w:cstheme="majorBidi"/>
      <w:b/>
      <w:color w:val="006DA2"/>
      <w:sz w:val="24"/>
      <w:szCs w:val="40"/>
    </w:rPr>
  </w:style>
  <w:style w:type="character" w:customStyle="1" w:styleId="Heading2Char">
    <w:name w:val="Heading 2 Char"/>
    <w:basedOn w:val="DefaultParagraphFont"/>
    <w:link w:val="Heading2"/>
    <w:uiPriority w:val="9"/>
    <w:semiHidden/>
    <w:rsid w:val="007F7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7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7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031"/>
    <w:rPr>
      <w:rFonts w:eastAsiaTheme="majorEastAsia" w:cstheme="majorBidi"/>
      <w:color w:val="272727" w:themeColor="text1" w:themeTint="D8"/>
    </w:rPr>
  </w:style>
  <w:style w:type="paragraph" w:styleId="Title">
    <w:name w:val="Title"/>
    <w:basedOn w:val="Normal"/>
    <w:next w:val="Normal"/>
    <w:link w:val="TitleChar"/>
    <w:uiPriority w:val="10"/>
    <w:qFormat/>
    <w:rsid w:val="007F7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031"/>
    <w:pPr>
      <w:spacing w:before="160"/>
      <w:jc w:val="center"/>
    </w:pPr>
    <w:rPr>
      <w:i/>
      <w:iCs/>
      <w:color w:val="404040" w:themeColor="text1" w:themeTint="BF"/>
    </w:rPr>
  </w:style>
  <w:style w:type="character" w:customStyle="1" w:styleId="QuoteChar">
    <w:name w:val="Quote Char"/>
    <w:basedOn w:val="DefaultParagraphFont"/>
    <w:link w:val="Quote"/>
    <w:uiPriority w:val="29"/>
    <w:rsid w:val="007F7031"/>
    <w:rPr>
      <w:i/>
      <w:iCs/>
      <w:color w:val="404040" w:themeColor="text1" w:themeTint="BF"/>
    </w:rPr>
  </w:style>
  <w:style w:type="paragraph" w:styleId="ListParagraph">
    <w:name w:val="List Paragraph"/>
    <w:basedOn w:val="Normal"/>
    <w:uiPriority w:val="34"/>
    <w:qFormat/>
    <w:rsid w:val="007F7031"/>
    <w:pPr>
      <w:ind w:left="720"/>
      <w:contextualSpacing/>
    </w:pPr>
  </w:style>
  <w:style w:type="character" w:styleId="IntenseEmphasis">
    <w:name w:val="Intense Emphasis"/>
    <w:basedOn w:val="DefaultParagraphFont"/>
    <w:uiPriority w:val="21"/>
    <w:qFormat/>
    <w:rsid w:val="007F7031"/>
    <w:rPr>
      <w:i/>
      <w:iCs/>
      <w:color w:val="0F4761" w:themeColor="accent1" w:themeShade="BF"/>
    </w:rPr>
  </w:style>
  <w:style w:type="paragraph" w:styleId="IntenseQuote">
    <w:name w:val="Intense Quote"/>
    <w:basedOn w:val="Normal"/>
    <w:next w:val="Normal"/>
    <w:link w:val="IntenseQuoteChar"/>
    <w:uiPriority w:val="30"/>
    <w:qFormat/>
    <w:rsid w:val="007F7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031"/>
    <w:rPr>
      <w:i/>
      <w:iCs/>
      <w:color w:val="0F4761" w:themeColor="accent1" w:themeShade="BF"/>
    </w:rPr>
  </w:style>
  <w:style w:type="character" w:styleId="IntenseReference">
    <w:name w:val="Intense Reference"/>
    <w:basedOn w:val="DefaultParagraphFont"/>
    <w:uiPriority w:val="32"/>
    <w:qFormat/>
    <w:rsid w:val="007F7031"/>
    <w:rPr>
      <w:b/>
      <w:bCs/>
      <w:smallCaps/>
      <w:color w:val="0F4761" w:themeColor="accent1" w:themeShade="BF"/>
      <w:spacing w:val="5"/>
    </w:rPr>
  </w:style>
  <w:style w:type="paragraph" w:styleId="Header">
    <w:name w:val="header"/>
    <w:basedOn w:val="Normal"/>
    <w:link w:val="HeaderChar"/>
    <w:uiPriority w:val="99"/>
    <w:unhideWhenUsed/>
    <w:rsid w:val="00D70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038"/>
  </w:style>
  <w:style w:type="paragraph" w:styleId="Footer">
    <w:name w:val="footer"/>
    <w:basedOn w:val="Normal"/>
    <w:link w:val="FooterChar"/>
    <w:uiPriority w:val="99"/>
    <w:unhideWhenUsed/>
    <w:rsid w:val="00D70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038"/>
  </w:style>
  <w:style w:type="table" w:styleId="TableGrid">
    <w:name w:val="Table Grid"/>
    <w:basedOn w:val="TableNormal"/>
    <w:uiPriority w:val="39"/>
    <w:rsid w:val="006A7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0371"/>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A75EA9"/>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673034"/>
    <w:pPr>
      <w:spacing w:after="100"/>
    </w:pPr>
    <w:rPr>
      <w:rFonts w:eastAsiaTheme="minorEastAsia" w:cs="Times New Roman"/>
      <w:color w:val="006DA2"/>
      <w:kern w:val="0"/>
      <w:lang w:eastAsia="en-GB"/>
      <w14:ligatures w14:val="none"/>
    </w:rPr>
  </w:style>
  <w:style w:type="paragraph" w:styleId="TOC3">
    <w:name w:val="toc 3"/>
    <w:basedOn w:val="Normal"/>
    <w:next w:val="Normal"/>
    <w:autoRedefine/>
    <w:uiPriority w:val="39"/>
    <w:unhideWhenUsed/>
    <w:rsid w:val="00A75EA9"/>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673034"/>
    <w:rPr>
      <w:color w:val="467886" w:themeColor="hyperlink"/>
      <w:u w:val="single"/>
    </w:rPr>
  </w:style>
  <w:style w:type="character" w:styleId="UnresolvedMention">
    <w:name w:val="Unresolved Mention"/>
    <w:basedOn w:val="DefaultParagraphFont"/>
    <w:uiPriority w:val="99"/>
    <w:semiHidden/>
    <w:unhideWhenUsed/>
    <w:rsid w:val="002A7611"/>
    <w:rPr>
      <w:color w:val="605E5C"/>
      <w:shd w:val="clear" w:color="auto" w:fill="E1DFDD"/>
    </w:rPr>
  </w:style>
  <w:style w:type="character" w:styleId="FollowedHyperlink">
    <w:name w:val="FollowedHyperlink"/>
    <w:basedOn w:val="DefaultParagraphFont"/>
    <w:uiPriority w:val="99"/>
    <w:semiHidden/>
    <w:unhideWhenUsed/>
    <w:rsid w:val="002A7611"/>
    <w:rPr>
      <w:color w:val="96607D" w:themeColor="followedHyperlink"/>
      <w:u w:val="single"/>
    </w:rPr>
  </w:style>
  <w:style w:type="table" w:styleId="TableGridLight">
    <w:name w:val="Grid Table Light"/>
    <w:basedOn w:val="TableNormal"/>
    <w:uiPriority w:val="40"/>
    <w:rsid w:val="008B51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5356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35618"/>
    <w:rPr>
      <w:i/>
      <w:iCs/>
    </w:rPr>
  </w:style>
  <w:style w:type="character" w:customStyle="1" w:styleId="relative">
    <w:name w:val="relative"/>
    <w:basedOn w:val="DefaultParagraphFont"/>
    <w:rsid w:val="007B4ECB"/>
  </w:style>
  <w:style w:type="paragraph" w:customStyle="1" w:styleId="not-prose">
    <w:name w:val="not-prose"/>
    <w:basedOn w:val="Normal"/>
    <w:rsid w:val="007B4E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C07BD"/>
    <w:rPr>
      <w:b/>
      <w:bCs/>
    </w:rPr>
  </w:style>
  <w:style w:type="character" w:customStyle="1" w:styleId="ms-1">
    <w:name w:val="ms-1"/>
    <w:basedOn w:val="DefaultParagraphFont"/>
    <w:rsid w:val="002C07BD"/>
  </w:style>
  <w:style w:type="character" w:customStyle="1" w:styleId="max-w-15ch">
    <w:name w:val="max-w-[15ch]"/>
    <w:basedOn w:val="DefaultParagraphFont"/>
    <w:rsid w:val="002C0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cc.org.uk/wp-content/uploads/2019/07/Wood-in-Construction-in-the-UK-An-Analysis-of-Carbon-Abatement-Potential-BioComposites-Centre.pdf" TargetMode="External"/><Relationship Id="rId13" Type="http://schemas.openxmlformats.org/officeDocument/2006/relationships/hyperlink" Target="https://www.ipcc.ch/sr15/" TargetMode="External"/><Relationship Id="rId18" Type="http://schemas.openxmlformats.org/officeDocument/2006/relationships/hyperlink" Target="https://www.architecture.com/about/policy/climate-action/2030-climate-challenge" TargetMode="External"/><Relationship Id="rId26" Type="http://schemas.openxmlformats.org/officeDocument/2006/relationships/hyperlink" Target="https://www.gov.wales/net-zero-carbon-status-2030-public-sector-route-map" TargetMode="External"/><Relationship Id="rId3" Type="http://schemas.openxmlformats.org/officeDocument/2006/relationships/settings" Target="settings.xml"/><Relationship Id="rId21" Type="http://schemas.openxmlformats.org/officeDocument/2006/relationships/hyperlink" Target="https://ukgbc.org/resources/net-zero-carbon-buildings-a-framework-definition/" TargetMode="External"/><Relationship Id="rId7" Type="http://schemas.openxmlformats.org/officeDocument/2006/relationships/hyperlink" Target="https://www.arup.com/globalassets/downloads/insights/net-zero-buildings-where-do-we-stand.pdf" TargetMode="External"/><Relationship Id="rId12" Type="http://schemas.openxmlformats.org/officeDocument/2006/relationships/hyperlink" Target="https://historicengland.org.uk/research/heritage-counts/heritage-and-environment/pathway-to-net-zero/built-environment-emissions/" TargetMode="External"/><Relationship Id="rId17" Type="http://schemas.openxmlformats.org/officeDocument/2006/relationships/hyperlink" Target="https://www.buildinggreen.com/explainer/weighing-embodied-vs-operational-carbon-tradeoffs" TargetMode="External"/><Relationship Id="rId25" Type="http://schemas.openxmlformats.org/officeDocument/2006/relationships/hyperlink" Target="https://www.gov.wales/net-zero-wales-carbon-budget-2" TargetMode="External"/><Relationship Id="rId2" Type="http://schemas.openxmlformats.org/officeDocument/2006/relationships/styles" Target="styles.xml"/><Relationship Id="rId16" Type="http://schemas.openxmlformats.org/officeDocument/2006/relationships/hyperlink" Target="https://www.mdpi.com/2071-1050/15/6/5115" TargetMode="External"/><Relationship Id="rId20" Type="http://schemas.openxmlformats.org/officeDocument/2006/relationships/hyperlink" Target="https://www.strawbuildinguk.org/self-build"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don.gov.uk/programmes-strategies/planning/implementing-london-plan/london-plan-guidance/whole-life-cycle-carbon-assessments-guidance" TargetMode="External"/><Relationship Id="rId24" Type="http://schemas.openxmlformats.org/officeDocument/2006/relationships/hyperlink" Target="https://www.gov.wales/well-being-future-generations-act-essentials-html" TargetMode="External"/><Relationship Id="rId5" Type="http://schemas.openxmlformats.org/officeDocument/2006/relationships/footnotes" Target="footnotes.xml"/><Relationship Id="rId15" Type="http://schemas.openxmlformats.org/officeDocument/2006/relationships/hyperlink" Target="https://www.leti.uk/ecp" TargetMode="External"/><Relationship Id="rId23" Type="http://schemas.openxmlformats.org/officeDocument/2006/relationships/hyperlink" Target="https://sewscap.co.uk/documents/Vale-Net-Zero-Carbon-School-Journey-Document-English-3-primaries.pdf" TargetMode="External"/><Relationship Id="rId28" Type="http://schemas.openxmlformats.org/officeDocument/2006/relationships/header" Target="header1.xml"/><Relationship Id="rId10" Type="http://schemas.openxmlformats.org/officeDocument/2006/relationships/hyperlink" Target="https://knowledge.bsigroup.com" TargetMode="External"/><Relationship Id="rId19" Type="http://schemas.openxmlformats.org/officeDocument/2006/relationships/hyperlink" Target="https://www.rics.org/profession-standards/rics-standards-and-guidance/sector-standards/construction-standards/whole-life-carbon-assessme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nowledge.bsigroup.com" TargetMode="External"/><Relationship Id="rId14" Type="http://schemas.openxmlformats.org/officeDocument/2006/relationships/hyperlink" Target="https://landsec.com/sites/default/files/2021-06/Landsec_AR2021_Environmental_review.pdf" TargetMode="External"/><Relationship Id="rId22" Type="http://schemas.openxmlformats.org/officeDocument/2006/relationships/hyperlink" Target="https://ukgbc.org/resources/the-enterprise-centre/" TargetMode="External"/><Relationship Id="rId27" Type="http://schemas.openxmlformats.org/officeDocument/2006/relationships/hyperlink" Target="https://worldgbc.org/what-is-a-sustainable-built-environmen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521C37-ADAF-4378-B9C7-BB5AD8FC42B5}">
  <we:reference id="wa200000368" version="1.0.0.0" store="en-GB" storeType="OMEX"/>
  <we:alternateReferences>
    <we:reference id="WA200000368" version="1.0.0.0" store="WA200000368" storeType="OMEX"/>
  </we:alternateReferences>
  <we:properties>
    <we:property name="documentId" value="&quot;8798c6bd0e2d2f4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755</TotalTime>
  <Pages>1</Pages>
  <Words>4963</Words>
  <Characters>32065</Characters>
  <Application>Microsoft Office Word</Application>
  <DocSecurity>0</DocSecurity>
  <Lines>771</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Mikey Scourfield</dc:creator>
  <cp:keywords/>
  <dc:description/>
  <cp:lastModifiedBy>Mikey Scourfield</cp:lastModifiedBy>
  <cp:revision>152</cp:revision>
  <dcterms:created xsi:type="dcterms:W3CDTF">2025-11-28T21:17:00Z</dcterms:created>
  <dcterms:modified xsi:type="dcterms:W3CDTF">2025-12-09T17:53:00Z</dcterms:modified>
</cp:coreProperties>
</file>