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left"/>
        <w:rPr>
          <w:rFonts w:ascii="Calibri" w:cs="Calibri" w:eastAsia="Calibri" w:hAnsi="Calibri"/>
          <w:b w:val="1"/>
          <w:sz w:val="28"/>
          <w:szCs w:val="28"/>
        </w:rPr>
      </w:pPr>
      <w:r w:rsidDel="00000000" w:rsidR="00000000" w:rsidRPr="00000000">
        <w:rPr>
          <w:rFonts w:ascii="Calibri" w:cs="Calibri" w:eastAsia="Calibri" w:hAnsi="Calibri"/>
          <w:b w:val="1"/>
          <w:sz w:val="28"/>
          <w:szCs w:val="28"/>
          <w:rtl w:val="0"/>
        </w:rPr>
        <w:t xml:space="preserve">Stefan Baghina                                                                    Studente id : 2023174283</w:t>
      </w:r>
    </w:p>
    <w:p w:rsidR="00000000" w:rsidDel="00000000" w:rsidP="00000000" w:rsidRDefault="00000000" w:rsidRPr="00000000" w14:paraId="00000002">
      <w:pPr>
        <w:spacing w:line="360" w:lineRule="auto"/>
        <w:jc w:val="left"/>
        <w:rPr>
          <w:rFonts w:ascii="Calibri" w:cs="Calibri" w:eastAsia="Calibri" w:hAnsi="Calibri"/>
          <w:b w:val="1"/>
          <w:sz w:val="28"/>
          <w:szCs w:val="28"/>
        </w:rPr>
      </w:pPr>
      <w:r w:rsidDel="00000000" w:rsidR="00000000" w:rsidRPr="00000000">
        <w:rPr>
          <w:rtl w:val="0"/>
        </w:rPr>
      </w:r>
    </w:p>
    <w:p w:rsidR="00000000" w:rsidDel="00000000" w:rsidP="00000000" w:rsidRDefault="00000000" w:rsidRPr="00000000" w14:paraId="00000003">
      <w:pPr>
        <w:spacing w:line="360" w:lineRule="auto"/>
        <w:jc w:val="left"/>
        <w:rPr>
          <w:rFonts w:ascii="Calibri" w:cs="Calibri" w:eastAsia="Calibri" w:hAnsi="Calibri"/>
          <w:b w:val="1"/>
          <w:sz w:val="28"/>
          <w:szCs w:val="28"/>
        </w:rPr>
      </w:pPr>
      <w:r w:rsidDel="00000000" w:rsidR="00000000" w:rsidRPr="00000000">
        <w:rPr>
          <w:rFonts w:ascii="Calibri" w:cs="Calibri" w:eastAsia="Calibri" w:hAnsi="Calibri"/>
          <w:b w:val="1"/>
          <w:sz w:val="28"/>
          <w:szCs w:val="28"/>
          <w:rtl w:val="0"/>
        </w:rPr>
        <w:t xml:space="preserve">Programme: CertHe Hospitality and Hotel Management</w:t>
      </w:r>
    </w:p>
    <w:p w:rsidR="00000000" w:rsidDel="00000000" w:rsidP="00000000" w:rsidRDefault="00000000" w:rsidRPr="00000000" w14:paraId="00000004">
      <w:pPr>
        <w:spacing w:line="360" w:lineRule="auto"/>
        <w:jc w:val="left"/>
        <w:rPr>
          <w:rFonts w:ascii="Calibri" w:cs="Calibri" w:eastAsia="Calibri" w:hAnsi="Calibri"/>
          <w:b w:val="1"/>
          <w:sz w:val="28"/>
          <w:szCs w:val="28"/>
        </w:rPr>
      </w:pPr>
      <w:r w:rsidDel="00000000" w:rsidR="00000000" w:rsidRPr="00000000">
        <w:rPr>
          <w:rFonts w:ascii="Calibri" w:cs="Calibri" w:eastAsia="Calibri" w:hAnsi="Calibri"/>
          <w:b w:val="1"/>
          <w:sz w:val="28"/>
          <w:szCs w:val="28"/>
          <w:rtl w:val="0"/>
        </w:rPr>
        <w:t xml:space="preserve">Module: Management and Organisational Behaviour </w:t>
      </w:r>
    </w:p>
    <w:p w:rsidR="00000000" w:rsidDel="00000000" w:rsidP="00000000" w:rsidRDefault="00000000" w:rsidRPr="00000000" w14:paraId="00000005">
      <w:pPr>
        <w:spacing w:line="360" w:lineRule="auto"/>
        <w:jc w:val="left"/>
        <w:rPr>
          <w:rFonts w:ascii="Calibri" w:cs="Calibri" w:eastAsia="Calibri" w:hAnsi="Calibri"/>
          <w:b w:val="1"/>
          <w:sz w:val="28"/>
          <w:szCs w:val="28"/>
        </w:rPr>
      </w:pPr>
      <w:r w:rsidDel="00000000" w:rsidR="00000000" w:rsidRPr="00000000">
        <w:rPr>
          <w:rtl w:val="0"/>
        </w:rPr>
      </w:r>
    </w:p>
    <w:p w:rsidR="00000000" w:rsidDel="00000000" w:rsidP="00000000" w:rsidRDefault="00000000" w:rsidRPr="00000000" w14:paraId="00000006">
      <w:pPr>
        <w:spacing w:line="360" w:lineRule="auto"/>
        <w:jc w:val="left"/>
        <w:rPr>
          <w:rFonts w:ascii="Calibri" w:cs="Calibri" w:eastAsia="Calibri" w:hAnsi="Calibri"/>
          <w:b w:val="1"/>
          <w:sz w:val="28"/>
          <w:szCs w:val="28"/>
        </w:rPr>
      </w:pPr>
      <w:r w:rsidDel="00000000" w:rsidR="00000000" w:rsidRPr="00000000">
        <w:rPr>
          <w:rtl w:val="0"/>
        </w:rPr>
      </w:r>
    </w:p>
    <w:p w:rsidR="00000000" w:rsidDel="00000000" w:rsidP="00000000" w:rsidRDefault="00000000" w:rsidRPr="00000000" w14:paraId="00000007">
      <w:pPr>
        <w:spacing w:line="360" w:lineRule="auto"/>
        <w:jc w:val="left"/>
        <w:rPr>
          <w:rFonts w:ascii="Calibri" w:cs="Calibri" w:eastAsia="Calibri" w:hAnsi="Calibri"/>
          <w:b w:val="1"/>
          <w:sz w:val="28"/>
          <w:szCs w:val="28"/>
        </w:rPr>
      </w:pPr>
      <w:r w:rsidDel="00000000" w:rsidR="00000000" w:rsidRPr="00000000">
        <w:rPr>
          <w:rtl w:val="0"/>
        </w:rPr>
      </w:r>
    </w:p>
    <w:p w:rsidR="00000000" w:rsidDel="00000000" w:rsidP="00000000" w:rsidRDefault="00000000" w:rsidRPr="00000000" w14:paraId="00000008">
      <w:pPr>
        <w:spacing w:line="360" w:lineRule="auto"/>
        <w:jc w:val="center"/>
        <w:rPr>
          <w:rFonts w:ascii="Calibri" w:cs="Calibri" w:eastAsia="Calibri" w:hAnsi="Calibri"/>
          <w:b w:val="1"/>
          <w:sz w:val="28"/>
          <w:szCs w:val="28"/>
        </w:rPr>
      </w:pPr>
      <w:r w:rsidDel="00000000" w:rsidR="00000000" w:rsidRPr="00000000">
        <w:rPr>
          <w:rFonts w:ascii="Calibri" w:cs="Calibri" w:eastAsia="Calibri" w:hAnsi="Calibri"/>
          <w:b w:val="1"/>
          <w:sz w:val="28"/>
          <w:szCs w:val="28"/>
          <w:rtl w:val="0"/>
        </w:rPr>
        <w:t xml:space="preserve">Evaluating Leadership Approaches and Their Effectiveness in the Events </w:t>
      </w:r>
    </w:p>
    <w:p w:rsidR="00000000" w:rsidDel="00000000" w:rsidP="00000000" w:rsidRDefault="00000000" w:rsidRPr="00000000" w14:paraId="00000009">
      <w:pPr>
        <w:spacing w:line="360" w:lineRule="auto"/>
        <w:jc w:val="center"/>
        <w:rPr>
          <w:rFonts w:ascii="Calibri" w:cs="Calibri" w:eastAsia="Calibri" w:hAnsi="Calibri"/>
          <w:b w:val="1"/>
          <w:sz w:val="28"/>
          <w:szCs w:val="28"/>
        </w:rPr>
      </w:pPr>
      <w:r w:rsidDel="00000000" w:rsidR="00000000" w:rsidRPr="00000000">
        <w:rPr>
          <w:rFonts w:ascii="Calibri" w:cs="Calibri" w:eastAsia="Calibri" w:hAnsi="Calibri"/>
          <w:b w:val="1"/>
          <w:sz w:val="28"/>
          <w:szCs w:val="28"/>
          <w:rtl w:val="0"/>
        </w:rPr>
        <w:t xml:space="preserve">Industry</w:t>
      </w:r>
    </w:p>
    <w:p w:rsidR="00000000" w:rsidDel="00000000" w:rsidP="00000000" w:rsidRDefault="00000000" w:rsidRPr="00000000" w14:paraId="0000000A">
      <w:pPr>
        <w:spacing w:line="360" w:lineRule="auto"/>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0B">
      <w:pPr>
        <w:spacing w:line="360" w:lineRule="auto"/>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0C">
      <w:pPr>
        <w:spacing w:line="360" w:lineRule="auto"/>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0D">
      <w:pPr>
        <w:spacing w:line="360" w:lineRule="auto"/>
        <w:jc w:val="both"/>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Introduction:</w:t>
      </w:r>
    </w:p>
    <w:p w:rsidR="00000000" w:rsidDel="00000000" w:rsidP="00000000" w:rsidRDefault="00000000" w:rsidRPr="00000000" w14:paraId="0000000E">
      <w:pPr>
        <w:spacing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 events industry is a dynamic and fast-paced environment that requires effective leadership to orchestrate successful events. Different approaches to leadership can have varying degrees of effectiveness within this industry depending on factors such as the size and scope of the event, the nature of the event organisation, and the characteristics of the team involved. Let's evaluate several leadership approaches commonly seen in the events industry:</w:t>
      </w:r>
    </w:p>
    <w:p w:rsidR="00000000" w:rsidDel="00000000" w:rsidP="00000000" w:rsidRDefault="00000000" w:rsidRPr="00000000" w14:paraId="0000000F">
      <w:pPr>
        <w:spacing w:line="360" w:lineRule="auto"/>
        <w:jc w:val="both"/>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Transformational Leadership:</w:t>
      </w:r>
    </w:p>
    <w:p w:rsidR="00000000" w:rsidDel="00000000" w:rsidP="00000000" w:rsidRDefault="00000000" w:rsidRPr="00000000" w14:paraId="00000010">
      <w:pPr>
        <w:spacing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Transformational leaders inspire and motivate their teams to achieve beyond expectations by providing a compelling vision and fostering a sense of commitment and ownership among team members. In the events industry, transformational leadership can be highly effective as it encourages creativity, innovation, and a focus on delivering exceptional experiences for attendees. Leaders who adopt this approach are often adept at rallying their teams around a shared vision and empowering them to go above and beyond to ensure the success of the event.</w:t>
      </w:r>
    </w:p>
    <w:p w:rsidR="00000000" w:rsidDel="00000000" w:rsidP="00000000" w:rsidRDefault="00000000" w:rsidRPr="00000000" w14:paraId="00000011">
      <w:pPr>
        <w:spacing w:line="360" w:lineRule="auto"/>
        <w:jc w:val="both"/>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Servant Leadership:</w:t>
      </w:r>
    </w:p>
    <w:p w:rsidR="00000000" w:rsidDel="00000000" w:rsidP="00000000" w:rsidRDefault="00000000" w:rsidRPr="00000000" w14:paraId="00000012">
      <w:pPr>
        <w:spacing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Servant leaders prioritise the needs of their team members and focus on serving their interests rather than wielding authority. Within the events industry, servant leadership can be effective in fostering a collaborative and supportive team environment where individuals feel valued and empowered. Servant leaders often excel at building strong relationships with their teams and facilitating open communication, which can be instrumental in overcoming challenges and achieving common goals.</w:t>
      </w:r>
    </w:p>
    <w:p w:rsidR="00000000" w:rsidDel="00000000" w:rsidP="00000000" w:rsidRDefault="00000000" w:rsidRPr="00000000" w14:paraId="00000013">
      <w:pPr>
        <w:spacing w:line="360" w:lineRule="auto"/>
        <w:jc w:val="both"/>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Transactional Leadership:</w:t>
      </w:r>
    </w:p>
    <w:p w:rsidR="00000000" w:rsidDel="00000000" w:rsidP="00000000" w:rsidRDefault="00000000" w:rsidRPr="00000000" w14:paraId="00000014">
      <w:pPr>
        <w:spacing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Transactional leaders rely on a system of rewards and punishments to motivate their teams and ensure compliance with organisational objectives. While this approach can be effective in certain contexts, such as managing routine tasks and processes, it may not be well-suited for the dynamic and creative nature of the events industry. Transactional leadership may lead to a lack of innovation and employee engagement, potentially hindering the success of events that require adaptability and ingenuity.</w:t>
      </w:r>
    </w:p>
    <w:p w:rsidR="00000000" w:rsidDel="00000000" w:rsidP="00000000" w:rsidRDefault="00000000" w:rsidRPr="00000000" w14:paraId="00000015">
      <w:pPr>
        <w:spacing w:line="360" w:lineRule="auto"/>
        <w:jc w:val="both"/>
        <w:rPr>
          <w:rFonts w:ascii="Calibri" w:cs="Calibri" w:eastAsia="Calibri" w:hAnsi="Calibri"/>
          <w:b w:val="1"/>
          <w:sz w:val="24"/>
          <w:szCs w:val="24"/>
        </w:rPr>
      </w:pPr>
      <w:r w:rsidDel="00000000" w:rsidR="00000000" w:rsidRPr="00000000">
        <w:rPr>
          <w:rtl w:val="0"/>
        </w:rPr>
      </w:r>
    </w:p>
    <w:p w:rsidR="00000000" w:rsidDel="00000000" w:rsidP="00000000" w:rsidRDefault="00000000" w:rsidRPr="00000000" w14:paraId="00000016">
      <w:pPr>
        <w:spacing w:line="360" w:lineRule="auto"/>
        <w:jc w:val="both"/>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Participative Leadership:</w:t>
      </w:r>
    </w:p>
    <w:p w:rsidR="00000000" w:rsidDel="00000000" w:rsidP="00000000" w:rsidRDefault="00000000" w:rsidRPr="00000000" w14:paraId="00000017">
      <w:pPr>
        <w:spacing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Participative leaders involve their team members in decision-making processes and value their input and contributions. In the events industry, participative leadership can be effective in harnessing the diverse skills and perspectives of team members to solve complex problems and make informed decisions. By encouraging collaboration and fostering a culture of inclusivity, participative leaders can enhance team morale and productivity, leading to successful event outcomes.</w:t>
      </w:r>
    </w:p>
    <w:p w:rsidR="00000000" w:rsidDel="00000000" w:rsidP="00000000" w:rsidRDefault="00000000" w:rsidRPr="00000000" w14:paraId="00000018">
      <w:pPr>
        <w:spacing w:line="360" w:lineRule="auto"/>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19">
      <w:pPr>
        <w:spacing w:line="360" w:lineRule="auto"/>
        <w:jc w:val="both"/>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Situational Leadership:</w:t>
      </w:r>
    </w:p>
    <w:p w:rsidR="00000000" w:rsidDel="00000000" w:rsidP="00000000" w:rsidRDefault="00000000" w:rsidRPr="00000000" w14:paraId="0000001A">
      <w:pPr>
        <w:spacing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Situational leaders adapt their leadership style based on the specific needs and circumstances of a given situation. In the events industry, where challenges and requirements can vary greatly from one event to another, situational leadership can be particularly effective. Leaders who are adept at assessing the demands of each event and adjusting their approach accordingly are better equipped to navigate uncertainties and drive successful outcomes.</w:t>
      </w:r>
    </w:p>
    <w:p w:rsidR="00000000" w:rsidDel="00000000" w:rsidP="00000000" w:rsidRDefault="00000000" w:rsidRPr="00000000" w14:paraId="0000001B">
      <w:pPr>
        <w:spacing w:line="360" w:lineRule="auto"/>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1C">
      <w:pPr>
        <w:spacing w:line="360" w:lineRule="auto"/>
        <w:jc w:val="both"/>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Charismatic Leadership:</w:t>
      </w:r>
    </w:p>
    <w:p w:rsidR="00000000" w:rsidDel="00000000" w:rsidP="00000000" w:rsidRDefault="00000000" w:rsidRPr="00000000" w14:paraId="0000001D">
      <w:pPr>
        <w:spacing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Charismatic leaders possess strong personality traits and often inspire others through their confidence, enthusiasm, and persuasive communication skills. While charismatic leadership can be effective in rallying teams and generating excitement around events, it may also carry the risk of relying too heavily on the leader's charisma rather than fostering a culture of collaboration and shared responsibility. In the events industry, charismatic leaders must strike a balance between inspiring their teams and empowering them to contribute meaningfully to the event's success.</w:t>
      </w:r>
    </w:p>
    <w:p w:rsidR="00000000" w:rsidDel="00000000" w:rsidP="00000000" w:rsidRDefault="00000000" w:rsidRPr="00000000" w14:paraId="0000001E">
      <w:pPr>
        <w:spacing w:line="360" w:lineRule="auto"/>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1F">
      <w:pPr>
        <w:spacing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Overall, the effectiveness of different leadership approaches within the events industry depends on various factors, including the organisational culture, the nature of the event, and the characteristics of the team involved. Leaders who are adaptable, empathetic, and able to inspire and motivate their teams are better positioned to navigate the complexities</w:t>
      </w:r>
    </w:p>
    <w:p w:rsidR="00000000" w:rsidDel="00000000" w:rsidP="00000000" w:rsidRDefault="00000000" w:rsidRPr="00000000" w14:paraId="00000020">
      <w:pPr>
        <w:spacing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of the events industry and drive successful outcomes. By understanding the strengths and limitations of various leadership approaches, event professionals can develop their leadership skills and enhance their ability to lead teams to success in the ever-evolving landscape of event management.</w:t>
      </w:r>
    </w:p>
    <w:p w:rsidR="00000000" w:rsidDel="00000000" w:rsidP="00000000" w:rsidRDefault="00000000" w:rsidRPr="00000000" w14:paraId="00000021">
      <w:pPr>
        <w:spacing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Leadership within the events industry plays a crucial role in driving success and achieving objectives. Various leadership theories offer different perspectives on how leaders should approach their roles and responsibilities. This essay evaluates different leadership approaches and their effectiveness within the events industry, drawing on theories such as Blake and Mouton's Managerial Grid, Adair's Model of Action-Centred Leadership (ACL), and McGregor's X and Y Theory. Additionally, it explores preferred managerial styles within the hospitality sector and provides relevant examples to illustrate the application of these theories in practice.</w:t>
      </w:r>
    </w:p>
    <w:p w:rsidR="00000000" w:rsidDel="00000000" w:rsidP="00000000" w:rsidRDefault="00000000" w:rsidRPr="00000000" w14:paraId="00000022">
      <w:pPr>
        <w:spacing w:line="360" w:lineRule="auto"/>
        <w:jc w:val="both"/>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Understanding Different Leadership Theories:</w:t>
      </w:r>
    </w:p>
    <w:p w:rsidR="00000000" w:rsidDel="00000000" w:rsidP="00000000" w:rsidRDefault="00000000" w:rsidRPr="00000000" w14:paraId="00000023">
      <w:pPr>
        <w:spacing w:line="360" w:lineRule="auto"/>
        <w:jc w:val="both"/>
        <w:rPr>
          <w:rFonts w:ascii="Calibri" w:cs="Calibri" w:eastAsia="Calibri" w:hAnsi="Calibri"/>
          <w:sz w:val="24"/>
          <w:szCs w:val="24"/>
        </w:rPr>
      </w:pPr>
      <w:r w:rsidDel="00000000" w:rsidR="00000000" w:rsidRPr="00000000">
        <w:rPr>
          <w:rFonts w:ascii="Calibri" w:cs="Calibri" w:eastAsia="Calibri" w:hAnsi="Calibri"/>
          <w:b w:val="1"/>
          <w:sz w:val="24"/>
          <w:szCs w:val="24"/>
          <w:rtl w:val="0"/>
        </w:rPr>
        <w:t xml:space="preserve">Blake and Mouton's Managerial Grid</w:t>
      </w:r>
      <w:r w:rsidDel="00000000" w:rsidR="00000000" w:rsidRPr="00000000">
        <w:rPr>
          <w:rFonts w:ascii="Calibri" w:cs="Calibri" w:eastAsia="Calibri" w:hAnsi="Calibri"/>
          <w:sz w:val="24"/>
          <w:szCs w:val="24"/>
          <w:rtl w:val="0"/>
        </w:rPr>
        <w:t xml:space="preserve">:</w:t>
      </w:r>
    </w:p>
    <w:p w:rsidR="00000000" w:rsidDel="00000000" w:rsidP="00000000" w:rsidRDefault="00000000" w:rsidRPr="00000000" w14:paraId="00000024">
      <w:pPr>
        <w:spacing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This model identifies five leadership styles based on varying levels of concern for people and production. These styles include impoverished, country club, produce or perish, middle-of-the-road, and team leader.</w:t>
      </w:r>
    </w:p>
    <w:p w:rsidR="00000000" w:rsidDel="00000000" w:rsidP="00000000" w:rsidRDefault="00000000" w:rsidRPr="00000000" w14:paraId="00000025">
      <w:pPr>
        <w:spacing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Pros: Offers a framework for understanding different leadership behaviours and their impact on organisational effectiveness.</w:t>
      </w:r>
    </w:p>
    <w:p w:rsidR="00000000" w:rsidDel="00000000" w:rsidP="00000000" w:rsidRDefault="00000000" w:rsidRPr="00000000" w14:paraId="00000026">
      <w:pPr>
        <w:spacing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Cons: Critics argue that it oversimplifies leadership styles and may not fully capture the complexity of leadership dynamics in real-world situations.</w:t>
      </w:r>
    </w:p>
    <w:p w:rsidR="00000000" w:rsidDel="00000000" w:rsidP="00000000" w:rsidRDefault="00000000" w:rsidRPr="00000000" w14:paraId="00000027">
      <w:pPr>
        <w:spacing w:line="360" w:lineRule="auto"/>
        <w:jc w:val="both"/>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Adair's Model of Action-Centred Leadership (ACL):</w:t>
      </w:r>
    </w:p>
    <w:p w:rsidR="00000000" w:rsidDel="00000000" w:rsidP="00000000" w:rsidRDefault="00000000" w:rsidRPr="00000000" w14:paraId="00000028">
      <w:pPr>
        <w:spacing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Adair emphasises the importance of achieving the balance between achieving the task, building and maintaining the team, and developing individuals within the team.</w:t>
      </w:r>
    </w:p>
    <w:p w:rsidR="00000000" w:rsidDel="00000000" w:rsidP="00000000" w:rsidRDefault="00000000" w:rsidRPr="00000000" w14:paraId="00000029">
      <w:pPr>
        <w:spacing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Pros: Provides a practical framework for leaders to prioritise tasks, manage teams effectively, and foster individual development.</w:t>
      </w:r>
    </w:p>
    <w:p w:rsidR="00000000" w:rsidDel="00000000" w:rsidP="00000000" w:rsidRDefault="00000000" w:rsidRPr="00000000" w14:paraId="0000002A">
      <w:pPr>
        <w:spacing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Cons: Some critics suggest that it may not adequately address the nuances of leadership in rapidly changing environments.</w:t>
      </w:r>
    </w:p>
    <w:p w:rsidR="00000000" w:rsidDel="00000000" w:rsidP="00000000" w:rsidRDefault="00000000" w:rsidRPr="00000000" w14:paraId="0000002B">
      <w:pPr>
        <w:spacing w:line="360" w:lineRule="auto"/>
        <w:jc w:val="both"/>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McGregor's X and Y Theory:</w:t>
      </w:r>
    </w:p>
    <w:p w:rsidR="00000000" w:rsidDel="00000000" w:rsidP="00000000" w:rsidRDefault="00000000" w:rsidRPr="00000000" w14:paraId="0000002C">
      <w:pPr>
        <w:spacing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McGregor proposed two contrasting theories of human motivation and management. Theory X assumes that employees are inherently lazy and require strict supervision, while Theory Y posits that employees are self-motivated and seek responsibility.</w:t>
      </w:r>
    </w:p>
    <w:p w:rsidR="00000000" w:rsidDel="00000000" w:rsidP="00000000" w:rsidRDefault="00000000" w:rsidRPr="00000000" w14:paraId="0000002D">
      <w:pPr>
        <w:spacing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Pros: Offers insights into different management approaches and their potential impact on employee motivation and productivity.</w:t>
      </w:r>
    </w:p>
    <w:p w:rsidR="00000000" w:rsidDel="00000000" w:rsidP="00000000" w:rsidRDefault="00000000" w:rsidRPr="00000000" w14:paraId="0000002E">
      <w:pPr>
        <w:spacing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Cons: Critics argue that it may oversimplify human behaviour and fail to account for individual differences among employees.</w:t>
      </w:r>
    </w:p>
    <w:p w:rsidR="00000000" w:rsidDel="00000000" w:rsidP="00000000" w:rsidRDefault="00000000" w:rsidRPr="00000000" w14:paraId="0000002F">
      <w:pPr>
        <w:spacing w:line="360" w:lineRule="auto"/>
        <w:jc w:val="both"/>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Comparative Analysis:</w:t>
      </w:r>
    </w:p>
    <w:p w:rsidR="00000000" w:rsidDel="00000000" w:rsidP="00000000" w:rsidRDefault="00000000" w:rsidRPr="00000000" w14:paraId="00000030">
      <w:pPr>
        <w:spacing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Each leadership theory has its strengths and weaknesses, and their effectiveness may vary depending on the organisational context and the nature of the event. For example, Blake and Mouton's Managerial Grid may be useful for identifying leadership styles within event management teams, while Adair's ACL model could help in prioritising tasks and managing team dynamics during the execution of an event. McGregor's X and Y Theory, on the other hand, may inform leaders' approaches to motivating event staff and fostering a positive organisational culture.</w:t>
      </w:r>
    </w:p>
    <w:p w:rsidR="00000000" w:rsidDel="00000000" w:rsidP="00000000" w:rsidRDefault="00000000" w:rsidRPr="00000000" w14:paraId="00000031">
      <w:pPr>
        <w:spacing w:line="360" w:lineRule="auto"/>
        <w:jc w:val="both"/>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Preferred Managerial Styles in Hospitality:</w:t>
      </w:r>
    </w:p>
    <w:p w:rsidR="00000000" w:rsidDel="00000000" w:rsidP="00000000" w:rsidRDefault="00000000" w:rsidRPr="00000000" w14:paraId="00000032">
      <w:pPr>
        <w:spacing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In the hospitality industry, where customer satisfaction is paramount, participative and transformational leadership styles are often preferred. Participative leaders involve employees in decision-making processes, fostering a sense of ownership and commitment among team members. Transformational leaders inspire and motivate their teams to achieve beyond expectations, driving innovation and excellence in service delivery.</w:t>
      </w:r>
    </w:p>
    <w:p w:rsidR="00000000" w:rsidDel="00000000" w:rsidP="00000000" w:rsidRDefault="00000000" w:rsidRPr="00000000" w14:paraId="00000033">
      <w:pPr>
        <w:spacing w:line="360" w:lineRule="auto"/>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34">
      <w:pPr>
        <w:spacing w:line="360" w:lineRule="auto"/>
        <w:jc w:val="both"/>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Examples from the Hospitality Industry:</w:t>
      </w:r>
    </w:p>
    <w:p w:rsidR="00000000" w:rsidDel="00000000" w:rsidP="00000000" w:rsidRDefault="00000000" w:rsidRPr="00000000" w14:paraId="00000035">
      <w:pPr>
        <w:spacing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Marriott International: Known for its decentralised management approach, Marriott empowers its hotel managers to make decisions that best suit their properties and local markets, promoting a culture of accountability and entrepreneurship.</w:t>
      </w:r>
    </w:p>
    <w:p w:rsidR="00000000" w:rsidDel="00000000" w:rsidP="00000000" w:rsidRDefault="00000000" w:rsidRPr="00000000" w14:paraId="00000036">
      <w:pPr>
        <w:spacing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 Ritz-Carlton: Renowned for its customer-centric approach, The Ritz-Carlton empowers its employees to go above and beyond to create memorable guest experiences, exemplifying transformational leadership principles.</w:t>
      </w:r>
    </w:p>
    <w:p w:rsidR="00000000" w:rsidDel="00000000" w:rsidP="00000000" w:rsidRDefault="00000000" w:rsidRPr="00000000" w14:paraId="00000037">
      <w:pPr>
        <w:spacing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Linking Effectiveness to Managerial Leadership:</w:t>
      </w:r>
    </w:p>
    <w:p w:rsidR="00000000" w:rsidDel="00000000" w:rsidP="00000000" w:rsidRDefault="00000000" w:rsidRPr="00000000" w14:paraId="00000038">
      <w:pPr>
        <w:spacing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Effective leadership is essential for the success of events in the hospitality industry. A competent leader can inspire teams, navigate challenges, and ensure seamless execution, ultimately enhancing the overall guest experience and driving business results. By applying relevant leadership theories and adopting appropriate managerial styles, leaders in the events industry can effectively lead their teams towards achieving organisational goals and delivering exceptional experiences for clients and guests.</w:t>
      </w:r>
    </w:p>
    <w:p w:rsidR="00000000" w:rsidDel="00000000" w:rsidP="00000000" w:rsidRDefault="00000000" w:rsidRPr="00000000" w14:paraId="00000039">
      <w:pPr>
        <w:spacing w:line="360" w:lineRule="auto"/>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3A">
      <w:pPr>
        <w:spacing w:line="360" w:lineRule="auto"/>
        <w:jc w:val="both"/>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Conclusion:</w:t>
      </w:r>
    </w:p>
    <w:p w:rsidR="00000000" w:rsidDel="00000000" w:rsidP="00000000" w:rsidRDefault="00000000" w:rsidRPr="00000000" w14:paraId="0000003B">
      <w:pPr>
        <w:spacing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Leadership in the events industry is multifaceted, requiring a nuanced understanding of different leadership theories and their practical applications. By evaluating various approaches to leadership, such as those proposed by Blake and Mouton, Adair, and McGregor, and considering preferred managerial styles within the hospitality sector, event professionals can enhance their leadership effectiveness and drive success in their endeavours. Drawing on examples from the hospitality industry, it is evident that effective leadership plays a critical role in shaping organisational culture, driving innovation, and delivering exceptional guest experiences.</w:t>
      </w:r>
    </w:p>
    <w:p w:rsidR="00000000" w:rsidDel="00000000" w:rsidP="00000000" w:rsidRDefault="00000000" w:rsidRPr="00000000" w14:paraId="0000003C">
      <w:pPr>
        <w:spacing w:line="360" w:lineRule="auto"/>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3D">
      <w:pPr>
        <w:spacing w:line="360" w:lineRule="auto"/>
        <w:jc w:val="both"/>
        <w:rPr>
          <w:rFonts w:ascii="Calibri" w:cs="Calibri" w:eastAsia="Calibri" w:hAnsi="Calibri"/>
          <w:b w:val="1"/>
          <w:sz w:val="24"/>
          <w:szCs w:val="24"/>
        </w:rPr>
      </w:pPr>
      <w:r w:rsidDel="00000000" w:rsidR="00000000" w:rsidRPr="00000000">
        <w:rPr>
          <w:rtl w:val="0"/>
        </w:rPr>
      </w:r>
    </w:p>
    <w:p w:rsidR="00000000" w:rsidDel="00000000" w:rsidP="00000000" w:rsidRDefault="00000000" w:rsidRPr="00000000" w14:paraId="0000003E">
      <w:pPr>
        <w:spacing w:line="360" w:lineRule="auto"/>
        <w:jc w:val="both"/>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Reference:</w:t>
      </w:r>
    </w:p>
    <w:p w:rsidR="00000000" w:rsidDel="00000000" w:rsidP="00000000" w:rsidRDefault="00000000" w:rsidRPr="00000000" w14:paraId="0000003F">
      <w:pPr>
        <w:spacing w:line="360" w:lineRule="auto"/>
        <w:jc w:val="both"/>
        <w:rPr>
          <w:rFonts w:ascii="Calibri" w:cs="Calibri" w:eastAsia="Calibri" w:hAnsi="Calibri"/>
          <w:sz w:val="27"/>
          <w:szCs w:val="27"/>
        </w:rPr>
      </w:pPr>
      <w:r w:rsidDel="00000000" w:rsidR="00000000" w:rsidRPr="00000000">
        <w:rPr>
          <w:rFonts w:ascii="Calibri" w:cs="Calibri" w:eastAsia="Calibri" w:hAnsi="Calibri"/>
          <w:sz w:val="27"/>
          <w:szCs w:val="27"/>
          <w:rtl w:val="0"/>
        </w:rPr>
        <w:t xml:space="preserve">www.linkedin.com. (n.d.). </w:t>
      </w:r>
      <w:r w:rsidDel="00000000" w:rsidR="00000000" w:rsidRPr="00000000">
        <w:rPr>
          <w:rFonts w:ascii="Calibri" w:cs="Calibri" w:eastAsia="Calibri" w:hAnsi="Calibri"/>
          <w:i w:val="1"/>
          <w:sz w:val="27"/>
          <w:szCs w:val="27"/>
          <w:rtl w:val="0"/>
        </w:rPr>
        <w:t xml:space="preserve">INTRODUCTION TO EVENT INDUSTRY</w:t>
      </w:r>
      <w:r w:rsidDel="00000000" w:rsidR="00000000" w:rsidRPr="00000000">
        <w:rPr>
          <w:rFonts w:ascii="Calibri" w:cs="Calibri" w:eastAsia="Calibri" w:hAnsi="Calibri"/>
          <w:sz w:val="27"/>
          <w:szCs w:val="27"/>
          <w:rtl w:val="0"/>
        </w:rPr>
        <w:t xml:space="preserve">. [online] Available at: https://www.linkedin.com/pulse/introduction-event-industry-rupesh-surve/.</w:t>
      </w:r>
    </w:p>
    <w:p w:rsidR="00000000" w:rsidDel="00000000" w:rsidP="00000000" w:rsidRDefault="00000000" w:rsidRPr="00000000" w14:paraId="00000040">
      <w:pPr>
        <w:spacing w:after="240" w:before="240" w:line="360" w:lineRule="auto"/>
        <w:jc w:val="both"/>
        <w:rPr>
          <w:rFonts w:ascii="Calibri" w:cs="Calibri" w:eastAsia="Calibri" w:hAnsi="Calibri"/>
          <w:sz w:val="27"/>
          <w:szCs w:val="27"/>
        </w:rPr>
      </w:pPr>
      <w:r w:rsidDel="00000000" w:rsidR="00000000" w:rsidRPr="00000000">
        <w:rPr>
          <w:rFonts w:ascii="Calibri" w:cs="Calibri" w:eastAsia="Calibri" w:hAnsi="Calibri"/>
          <w:sz w:val="24"/>
          <w:szCs w:val="24"/>
          <w:rtl w:val="0"/>
        </w:rPr>
        <w:t xml:space="preserve">‌</w:t>
      </w:r>
      <w:r w:rsidDel="00000000" w:rsidR="00000000" w:rsidRPr="00000000">
        <w:rPr>
          <w:rFonts w:ascii="Calibri" w:cs="Calibri" w:eastAsia="Calibri" w:hAnsi="Calibri"/>
          <w:sz w:val="27"/>
          <w:szCs w:val="27"/>
          <w:rtl w:val="0"/>
        </w:rPr>
        <w:t xml:space="preserve">Wang, Q., Hou, H. and Li, Z. (2022). Participative Leadership: a Literature Review and Prospects for Future Research. </w:t>
      </w:r>
      <w:r w:rsidDel="00000000" w:rsidR="00000000" w:rsidRPr="00000000">
        <w:rPr>
          <w:rFonts w:ascii="Calibri" w:cs="Calibri" w:eastAsia="Calibri" w:hAnsi="Calibri"/>
          <w:i w:val="1"/>
          <w:sz w:val="27"/>
          <w:szCs w:val="27"/>
          <w:rtl w:val="0"/>
        </w:rPr>
        <w:t xml:space="preserve">Frontiers in Psychology</w:t>
      </w:r>
      <w:r w:rsidDel="00000000" w:rsidR="00000000" w:rsidRPr="00000000">
        <w:rPr>
          <w:rFonts w:ascii="Calibri" w:cs="Calibri" w:eastAsia="Calibri" w:hAnsi="Calibri"/>
          <w:sz w:val="27"/>
          <w:szCs w:val="27"/>
          <w:rtl w:val="0"/>
        </w:rPr>
        <w:t xml:space="preserve">, [online] 13(1). doi:https://doi.org/10.3389/fpsyg.2022.924357.</w:t>
      </w:r>
    </w:p>
    <w:p w:rsidR="00000000" w:rsidDel="00000000" w:rsidP="00000000" w:rsidRDefault="00000000" w:rsidRPr="00000000" w14:paraId="00000041">
      <w:pPr>
        <w:spacing w:after="240" w:before="240" w:line="360" w:lineRule="auto"/>
        <w:rPr>
          <w:rFonts w:ascii="Calibri" w:cs="Calibri" w:eastAsia="Calibri" w:hAnsi="Calibri"/>
          <w:sz w:val="27"/>
          <w:szCs w:val="27"/>
        </w:rPr>
      </w:pPr>
      <w:r w:rsidDel="00000000" w:rsidR="00000000" w:rsidRPr="00000000">
        <w:rPr>
          <w:rFonts w:ascii="Calibri" w:cs="Calibri" w:eastAsia="Calibri" w:hAnsi="Calibri"/>
          <w:sz w:val="24"/>
          <w:szCs w:val="24"/>
          <w:rtl w:val="0"/>
        </w:rPr>
        <w:t xml:space="preserve">‌</w:t>
      </w:r>
      <w:r w:rsidDel="00000000" w:rsidR="00000000" w:rsidRPr="00000000">
        <w:rPr>
          <w:rFonts w:ascii="Calibri" w:cs="Calibri" w:eastAsia="Calibri" w:hAnsi="Calibri"/>
          <w:sz w:val="27"/>
          <w:szCs w:val="27"/>
          <w:rtl w:val="0"/>
        </w:rPr>
        <w:t xml:space="preserve">Giudici, M. and Filimonau, V. (2019). Exploring the Linkages between Managerial leadership, Communication and Teamwork in Successful Event Delivery. </w:t>
      </w:r>
      <w:r w:rsidDel="00000000" w:rsidR="00000000" w:rsidRPr="00000000">
        <w:rPr>
          <w:rFonts w:ascii="Calibri" w:cs="Calibri" w:eastAsia="Calibri" w:hAnsi="Calibri"/>
          <w:i w:val="1"/>
          <w:sz w:val="27"/>
          <w:szCs w:val="27"/>
          <w:rtl w:val="0"/>
        </w:rPr>
        <w:t xml:space="preserve">Tourism ManagementPerspectives</w:t>
      </w:r>
      <w:r w:rsidDel="00000000" w:rsidR="00000000" w:rsidRPr="00000000">
        <w:rPr>
          <w:rFonts w:ascii="Calibri" w:cs="Calibri" w:eastAsia="Calibri" w:hAnsi="Calibri"/>
          <w:sz w:val="27"/>
          <w:szCs w:val="27"/>
          <w:rtl w:val="0"/>
        </w:rPr>
        <w:t xml:space="preserve">,32(1),p.100558. doi:https://doi.org/10.1016/j.tmp.2019.100558.</w:t>
      </w:r>
    </w:p>
    <w:p w:rsidR="00000000" w:rsidDel="00000000" w:rsidP="00000000" w:rsidRDefault="00000000" w:rsidRPr="00000000" w14:paraId="00000042">
      <w:pPr>
        <w:spacing w:after="240" w:before="240" w:line="360" w:lineRule="auto"/>
        <w:rPr>
          <w:rFonts w:ascii="Calibri" w:cs="Calibri" w:eastAsia="Calibri" w:hAnsi="Calibri"/>
          <w:sz w:val="27"/>
          <w:szCs w:val="27"/>
        </w:rPr>
      </w:pPr>
      <w:r w:rsidDel="00000000" w:rsidR="00000000" w:rsidRPr="00000000">
        <w:rPr>
          <w:rFonts w:ascii="Calibri" w:cs="Calibri" w:eastAsia="Calibri" w:hAnsi="Calibri"/>
          <w:sz w:val="24"/>
          <w:szCs w:val="24"/>
          <w:rtl w:val="0"/>
        </w:rPr>
        <w:t xml:space="preserve">‌</w:t>
      </w:r>
      <w:r w:rsidDel="00000000" w:rsidR="00000000" w:rsidRPr="00000000">
        <w:rPr>
          <w:rFonts w:ascii="Calibri" w:cs="Calibri" w:eastAsia="Calibri" w:hAnsi="Calibri"/>
          <w:sz w:val="27"/>
          <w:szCs w:val="27"/>
          <w:rtl w:val="0"/>
        </w:rPr>
        <w:t xml:space="preserve">Thanh, N.H. and Quang, N.V. (2022). Transformational, Transactional, Laissez-faire Leadership Styles and Employee Engagement: Evidence From Vietnam’s Public Sector. </w:t>
      </w:r>
      <w:r w:rsidDel="00000000" w:rsidR="00000000" w:rsidRPr="00000000">
        <w:rPr>
          <w:rFonts w:ascii="Calibri" w:cs="Calibri" w:eastAsia="Calibri" w:hAnsi="Calibri"/>
          <w:i w:val="1"/>
          <w:sz w:val="27"/>
          <w:szCs w:val="27"/>
          <w:rtl w:val="0"/>
        </w:rPr>
        <w:t xml:space="preserve">SAGE Open</w:t>
      </w:r>
      <w:r w:rsidDel="00000000" w:rsidR="00000000" w:rsidRPr="00000000">
        <w:rPr>
          <w:rFonts w:ascii="Calibri" w:cs="Calibri" w:eastAsia="Calibri" w:hAnsi="Calibri"/>
          <w:sz w:val="27"/>
          <w:szCs w:val="27"/>
          <w:rtl w:val="0"/>
        </w:rPr>
        <w:t xml:space="preserve">, [online] 12(2), p.215824402210946. doi:</w:t>
      </w:r>
      <w:hyperlink r:id="rId6">
        <w:r w:rsidDel="00000000" w:rsidR="00000000" w:rsidRPr="00000000">
          <w:rPr>
            <w:rFonts w:ascii="Calibri" w:cs="Calibri" w:eastAsia="Calibri" w:hAnsi="Calibri"/>
            <w:color w:val="1155cc"/>
            <w:sz w:val="27"/>
            <w:szCs w:val="27"/>
            <w:u w:val="single"/>
            <w:rtl w:val="0"/>
          </w:rPr>
          <w:t xml:space="preserve">https://doi.org/10.1177/21582440221094606</w:t>
        </w:r>
      </w:hyperlink>
      <w:r w:rsidDel="00000000" w:rsidR="00000000" w:rsidRPr="00000000">
        <w:rPr>
          <w:rFonts w:ascii="Calibri" w:cs="Calibri" w:eastAsia="Calibri" w:hAnsi="Calibri"/>
          <w:sz w:val="27"/>
          <w:szCs w:val="27"/>
          <w:rtl w:val="0"/>
        </w:rPr>
        <w:t xml:space="preserve">.</w:t>
      </w:r>
    </w:p>
    <w:p w:rsidR="00000000" w:rsidDel="00000000" w:rsidP="00000000" w:rsidRDefault="00000000" w:rsidRPr="00000000" w14:paraId="00000043">
      <w:pPr>
        <w:spacing w:line="360" w:lineRule="auto"/>
        <w:rPr>
          <w:rFonts w:ascii="Calibri" w:cs="Calibri" w:eastAsia="Calibri" w:hAnsi="Calibri"/>
          <w:sz w:val="27"/>
          <w:szCs w:val="27"/>
        </w:rPr>
      </w:pPr>
      <w:r w:rsidDel="00000000" w:rsidR="00000000" w:rsidRPr="00000000">
        <w:rPr>
          <w:rFonts w:ascii="Calibri" w:cs="Calibri" w:eastAsia="Calibri" w:hAnsi="Calibri"/>
          <w:sz w:val="27"/>
          <w:szCs w:val="27"/>
          <w:rtl w:val="0"/>
        </w:rPr>
        <w:t xml:space="preserve">Yukl, G. and Mahsud, R. (2010). </w:t>
      </w:r>
      <w:r w:rsidDel="00000000" w:rsidR="00000000" w:rsidRPr="00000000">
        <w:rPr>
          <w:rFonts w:ascii="Calibri" w:cs="Calibri" w:eastAsia="Calibri" w:hAnsi="Calibri"/>
          <w:i w:val="1"/>
          <w:sz w:val="27"/>
          <w:szCs w:val="27"/>
          <w:rtl w:val="0"/>
        </w:rPr>
        <w:t xml:space="preserve">(PDF) Why flexible and adaptive leadership is essential</w:t>
      </w:r>
      <w:r w:rsidDel="00000000" w:rsidR="00000000" w:rsidRPr="00000000">
        <w:rPr>
          <w:rFonts w:ascii="Calibri" w:cs="Calibri" w:eastAsia="Calibri" w:hAnsi="Calibri"/>
          <w:sz w:val="27"/>
          <w:szCs w:val="27"/>
          <w:rtl w:val="0"/>
        </w:rPr>
        <w:t xml:space="preserve">. [online] ResearchGate. Available at: https://www.researchgate.net/publication/232567495_Why_flexible_and_adaptive_leadership_is_essential.</w:t>
      </w:r>
    </w:p>
    <w:p w:rsidR="00000000" w:rsidDel="00000000" w:rsidP="00000000" w:rsidRDefault="00000000" w:rsidRPr="00000000" w14:paraId="00000044">
      <w:pPr>
        <w:spacing w:after="240" w:before="240" w:line="360" w:lineRule="auto"/>
        <w:rPr>
          <w:rFonts w:ascii="Calibri" w:cs="Calibri" w:eastAsia="Calibri" w:hAnsi="Calibri"/>
          <w:sz w:val="27"/>
          <w:szCs w:val="27"/>
        </w:rPr>
      </w:pPr>
      <w:r w:rsidDel="00000000" w:rsidR="00000000" w:rsidRPr="00000000">
        <w:rPr>
          <w:rFonts w:ascii="Calibri" w:cs="Calibri" w:eastAsia="Calibri" w:hAnsi="Calibri"/>
          <w:sz w:val="27"/>
          <w:szCs w:val="27"/>
          <w:rtl w:val="0"/>
        </w:rPr>
        <w:t xml:space="preserve">‌Mind Tools (2022). </w:t>
      </w:r>
      <w:r w:rsidDel="00000000" w:rsidR="00000000" w:rsidRPr="00000000">
        <w:rPr>
          <w:rFonts w:ascii="Calibri" w:cs="Calibri" w:eastAsia="Calibri" w:hAnsi="Calibri"/>
          <w:i w:val="1"/>
          <w:sz w:val="27"/>
          <w:szCs w:val="27"/>
          <w:rtl w:val="0"/>
        </w:rPr>
        <w:t xml:space="preserve">The Blake Mouton Grid</w:t>
      </w:r>
      <w:r w:rsidDel="00000000" w:rsidR="00000000" w:rsidRPr="00000000">
        <w:rPr>
          <w:rFonts w:ascii="Calibri" w:cs="Calibri" w:eastAsia="Calibri" w:hAnsi="Calibri"/>
          <w:sz w:val="27"/>
          <w:szCs w:val="27"/>
          <w:rtl w:val="0"/>
        </w:rPr>
        <w:t xml:space="preserve">. [online] www.mindtools.com. Available at: </w:t>
      </w:r>
      <w:hyperlink r:id="rId7">
        <w:r w:rsidDel="00000000" w:rsidR="00000000" w:rsidRPr="00000000">
          <w:rPr>
            <w:rFonts w:ascii="Calibri" w:cs="Calibri" w:eastAsia="Calibri" w:hAnsi="Calibri"/>
            <w:color w:val="1155cc"/>
            <w:sz w:val="27"/>
            <w:szCs w:val="27"/>
            <w:u w:val="single"/>
            <w:rtl w:val="0"/>
          </w:rPr>
          <w:t xml:space="preserve">https://www.mindtools.com/ai9k5cb/the-blake-mouton-grid</w:t>
        </w:r>
      </w:hyperlink>
      <w:r w:rsidDel="00000000" w:rsidR="00000000" w:rsidRPr="00000000">
        <w:rPr>
          <w:rFonts w:ascii="Calibri" w:cs="Calibri" w:eastAsia="Calibri" w:hAnsi="Calibri"/>
          <w:sz w:val="27"/>
          <w:szCs w:val="27"/>
          <w:rtl w:val="0"/>
        </w:rPr>
        <w:t xml:space="preserve">.</w:t>
      </w:r>
    </w:p>
    <w:p w:rsidR="00000000" w:rsidDel="00000000" w:rsidP="00000000" w:rsidRDefault="00000000" w:rsidRPr="00000000" w14:paraId="00000045">
      <w:pPr>
        <w:spacing w:line="360" w:lineRule="auto"/>
        <w:rPr>
          <w:rFonts w:ascii="Calibri" w:cs="Calibri" w:eastAsia="Calibri" w:hAnsi="Calibri"/>
          <w:sz w:val="27"/>
          <w:szCs w:val="27"/>
        </w:rPr>
      </w:pPr>
      <w:r w:rsidDel="00000000" w:rsidR="00000000" w:rsidRPr="00000000">
        <w:rPr>
          <w:rFonts w:ascii="Calibri" w:cs="Calibri" w:eastAsia="Calibri" w:hAnsi="Calibri"/>
          <w:sz w:val="27"/>
          <w:szCs w:val="27"/>
          <w:rtl w:val="0"/>
        </w:rPr>
        <w:t xml:space="preserve">Mahr, N. (2019). </w:t>
      </w:r>
      <w:r w:rsidDel="00000000" w:rsidR="00000000" w:rsidRPr="00000000">
        <w:rPr>
          <w:rFonts w:ascii="Calibri" w:cs="Calibri" w:eastAsia="Calibri" w:hAnsi="Calibri"/>
          <w:i w:val="1"/>
          <w:sz w:val="27"/>
          <w:szCs w:val="27"/>
          <w:rtl w:val="0"/>
        </w:rPr>
        <w:t xml:space="preserve">The Blake Mouton Managerial Grid: Five Leadership Styles - Video &amp; Lesson Transcript | Study.com</w:t>
      </w:r>
      <w:r w:rsidDel="00000000" w:rsidR="00000000" w:rsidRPr="00000000">
        <w:rPr>
          <w:rFonts w:ascii="Calibri" w:cs="Calibri" w:eastAsia="Calibri" w:hAnsi="Calibri"/>
          <w:sz w:val="27"/>
          <w:szCs w:val="27"/>
          <w:rtl w:val="0"/>
        </w:rPr>
        <w:t xml:space="preserve">. [online] Study.com. Available at: </w:t>
      </w:r>
      <w:hyperlink r:id="rId8">
        <w:r w:rsidDel="00000000" w:rsidR="00000000" w:rsidRPr="00000000">
          <w:rPr>
            <w:rFonts w:ascii="Calibri" w:cs="Calibri" w:eastAsia="Calibri" w:hAnsi="Calibri"/>
            <w:color w:val="1155cc"/>
            <w:sz w:val="27"/>
            <w:szCs w:val="27"/>
            <w:u w:val="single"/>
            <w:rtl w:val="0"/>
          </w:rPr>
          <w:t xml:space="preserve">https://study.com/academy/lesson/the-blake-mouton-managerial-grid-five-leadership-styles.html</w:t>
        </w:r>
      </w:hyperlink>
      <w:r w:rsidDel="00000000" w:rsidR="00000000" w:rsidRPr="00000000">
        <w:rPr>
          <w:rFonts w:ascii="Calibri" w:cs="Calibri" w:eastAsia="Calibri" w:hAnsi="Calibri"/>
          <w:sz w:val="27"/>
          <w:szCs w:val="27"/>
          <w:rtl w:val="0"/>
        </w:rPr>
        <w:t xml:space="preserve">.</w:t>
      </w:r>
    </w:p>
    <w:p w:rsidR="00000000" w:rsidDel="00000000" w:rsidP="00000000" w:rsidRDefault="00000000" w:rsidRPr="00000000" w14:paraId="00000046">
      <w:pPr>
        <w:spacing w:line="360" w:lineRule="auto"/>
        <w:rPr>
          <w:rFonts w:ascii="Calibri" w:cs="Calibri" w:eastAsia="Calibri" w:hAnsi="Calibri"/>
          <w:sz w:val="27"/>
          <w:szCs w:val="27"/>
        </w:rPr>
      </w:pPr>
      <w:r w:rsidDel="00000000" w:rsidR="00000000" w:rsidRPr="00000000">
        <w:rPr>
          <w:rFonts w:ascii="Calibri" w:cs="Calibri" w:eastAsia="Calibri" w:hAnsi="Calibri"/>
          <w:sz w:val="27"/>
          <w:szCs w:val="27"/>
          <w:rtl w:val="0"/>
        </w:rPr>
        <w:t xml:space="preserve">Channell, M. (2021). </w:t>
      </w:r>
      <w:r w:rsidDel="00000000" w:rsidR="00000000" w:rsidRPr="00000000">
        <w:rPr>
          <w:rFonts w:ascii="Calibri" w:cs="Calibri" w:eastAsia="Calibri" w:hAnsi="Calibri"/>
          <w:i w:val="1"/>
          <w:sz w:val="27"/>
          <w:szCs w:val="27"/>
          <w:rtl w:val="0"/>
        </w:rPr>
        <w:t xml:space="preserve">John Adair’s Action Centred Leadership: Learn How to be a Leader</w:t>
      </w:r>
      <w:r w:rsidDel="00000000" w:rsidR="00000000" w:rsidRPr="00000000">
        <w:rPr>
          <w:rFonts w:ascii="Calibri" w:cs="Calibri" w:eastAsia="Calibri" w:hAnsi="Calibri"/>
          <w:sz w:val="27"/>
          <w:szCs w:val="27"/>
          <w:rtl w:val="0"/>
        </w:rPr>
        <w:t xml:space="preserve">. [online] www.tsw.co.uk. Available at: https://www.tsw.co.uk/blog/leadership-and-management/john-adairs-action-centered-leadership/.</w:t>
      </w:r>
    </w:p>
    <w:p w:rsidR="00000000" w:rsidDel="00000000" w:rsidP="00000000" w:rsidRDefault="00000000" w:rsidRPr="00000000" w14:paraId="00000047">
      <w:pPr>
        <w:spacing w:line="360" w:lineRule="auto"/>
        <w:rPr>
          <w:rFonts w:ascii="Calibri" w:cs="Calibri" w:eastAsia="Calibri" w:hAnsi="Calibri"/>
          <w:sz w:val="27"/>
          <w:szCs w:val="27"/>
        </w:rPr>
      </w:pPr>
      <w:r w:rsidDel="00000000" w:rsidR="00000000" w:rsidRPr="00000000">
        <w:rPr>
          <w:rFonts w:ascii="Calibri" w:cs="Calibri" w:eastAsia="Calibri" w:hAnsi="Calibri"/>
          <w:sz w:val="27"/>
          <w:szCs w:val="27"/>
          <w:rtl w:val="0"/>
        </w:rPr>
        <w:t xml:space="preserve">O’Rourke, A. (2021). </w:t>
      </w:r>
      <w:r w:rsidDel="00000000" w:rsidR="00000000" w:rsidRPr="00000000">
        <w:rPr>
          <w:rFonts w:ascii="Calibri" w:cs="Calibri" w:eastAsia="Calibri" w:hAnsi="Calibri"/>
          <w:i w:val="1"/>
          <w:sz w:val="27"/>
          <w:szCs w:val="27"/>
          <w:rtl w:val="0"/>
        </w:rPr>
        <w:t xml:space="preserve">Action Centred Leadership: Key Points You Need to Know</w:t>
      </w:r>
      <w:r w:rsidDel="00000000" w:rsidR="00000000" w:rsidRPr="00000000">
        <w:rPr>
          <w:rFonts w:ascii="Calibri" w:cs="Calibri" w:eastAsia="Calibri" w:hAnsi="Calibri"/>
          <w:sz w:val="27"/>
          <w:szCs w:val="27"/>
          <w:rtl w:val="0"/>
        </w:rPr>
        <w:t xml:space="preserve">. [online] Making Business Matter. Available at: </w:t>
      </w:r>
      <w:hyperlink r:id="rId9">
        <w:r w:rsidDel="00000000" w:rsidR="00000000" w:rsidRPr="00000000">
          <w:rPr>
            <w:rFonts w:ascii="Calibri" w:cs="Calibri" w:eastAsia="Calibri" w:hAnsi="Calibri"/>
            <w:color w:val="1155cc"/>
            <w:sz w:val="27"/>
            <w:szCs w:val="27"/>
            <w:u w:val="single"/>
            <w:rtl w:val="0"/>
          </w:rPr>
          <w:t xml:space="preserve">https://www.makingbusinessmatter.co.uk/action-centred-leadership/</w:t>
        </w:r>
      </w:hyperlink>
      <w:r w:rsidDel="00000000" w:rsidR="00000000" w:rsidRPr="00000000">
        <w:rPr>
          <w:rFonts w:ascii="Calibri" w:cs="Calibri" w:eastAsia="Calibri" w:hAnsi="Calibri"/>
          <w:sz w:val="27"/>
          <w:szCs w:val="27"/>
          <w:rtl w:val="0"/>
        </w:rPr>
        <w:t xml:space="preserve">.</w:t>
      </w:r>
    </w:p>
    <w:p w:rsidR="00000000" w:rsidDel="00000000" w:rsidP="00000000" w:rsidRDefault="00000000" w:rsidRPr="00000000" w14:paraId="00000048">
      <w:pPr>
        <w:spacing w:line="360" w:lineRule="auto"/>
        <w:rPr>
          <w:rFonts w:ascii="Calibri" w:cs="Calibri" w:eastAsia="Calibri" w:hAnsi="Calibri"/>
          <w:sz w:val="27"/>
          <w:szCs w:val="27"/>
        </w:rPr>
      </w:pPr>
      <w:r w:rsidDel="00000000" w:rsidR="00000000" w:rsidRPr="00000000">
        <w:rPr>
          <w:rtl w:val="0"/>
        </w:rPr>
      </w:r>
    </w:p>
    <w:p w:rsidR="00000000" w:rsidDel="00000000" w:rsidP="00000000" w:rsidRDefault="00000000" w:rsidRPr="00000000" w14:paraId="00000049">
      <w:pPr>
        <w:spacing w:after="240" w:before="240" w:line="360" w:lineRule="auto"/>
        <w:rPr>
          <w:rFonts w:ascii="Calibri" w:cs="Calibri" w:eastAsia="Calibri" w:hAnsi="Calibri"/>
          <w:sz w:val="27"/>
          <w:szCs w:val="27"/>
        </w:rPr>
      </w:pPr>
      <w:r w:rsidDel="00000000" w:rsidR="00000000" w:rsidRPr="00000000">
        <w:rPr>
          <w:rFonts w:ascii="Calibri" w:cs="Calibri" w:eastAsia="Calibri" w:hAnsi="Calibri"/>
          <w:sz w:val="27"/>
          <w:szCs w:val="27"/>
          <w:rtl w:val="0"/>
        </w:rPr>
        <w:t xml:space="preserve">‌Lumen (2019). </w:t>
      </w:r>
      <w:r w:rsidDel="00000000" w:rsidR="00000000" w:rsidRPr="00000000">
        <w:rPr>
          <w:rFonts w:ascii="Calibri" w:cs="Calibri" w:eastAsia="Calibri" w:hAnsi="Calibri"/>
          <w:i w:val="1"/>
          <w:sz w:val="27"/>
          <w:szCs w:val="27"/>
          <w:rtl w:val="0"/>
        </w:rPr>
        <w:t xml:space="preserve">Reading: McGregor’s Theory X and Theory Y | Introduction to Business [Deprecated]</w:t>
      </w:r>
      <w:r w:rsidDel="00000000" w:rsidR="00000000" w:rsidRPr="00000000">
        <w:rPr>
          <w:rFonts w:ascii="Calibri" w:cs="Calibri" w:eastAsia="Calibri" w:hAnsi="Calibri"/>
          <w:sz w:val="27"/>
          <w:szCs w:val="27"/>
          <w:rtl w:val="0"/>
        </w:rPr>
        <w:t xml:space="preserve">. [online] Lumenlearning.com. Available at: </w:t>
      </w:r>
      <w:hyperlink r:id="rId10">
        <w:r w:rsidDel="00000000" w:rsidR="00000000" w:rsidRPr="00000000">
          <w:rPr>
            <w:rFonts w:ascii="Calibri" w:cs="Calibri" w:eastAsia="Calibri" w:hAnsi="Calibri"/>
            <w:color w:val="1155cc"/>
            <w:sz w:val="27"/>
            <w:szCs w:val="27"/>
            <w:u w:val="single"/>
            <w:rtl w:val="0"/>
          </w:rPr>
          <w:t xml:space="preserve">https://courses.lumenlearning.com/wmintrobusiness/chapter/reading-douglas-mcgregors-theory-x-and-theory-y-2/</w:t>
        </w:r>
      </w:hyperlink>
      <w:r w:rsidDel="00000000" w:rsidR="00000000" w:rsidRPr="00000000">
        <w:rPr>
          <w:rFonts w:ascii="Calibri" w:cs="Calibri" w:eastAsia="Calibri" w:hAnsi="Calibri"/>
          <w:sz w:val="27"/>
          <w:szCs w:val="27"/>
          <w:rtl w:val="0"/>
        </w:rPr>
        <w:t xml:space="preserve">.</w:t>
      </w:r>
    </w:p>
    <w:p w:rsidR="00000000" w:rsidDel="00000000" w:rsidP="00000000" w:rsidRDefault="00000000" w:rsidRPr="00000000" w14:paraId="0000004A">
      <w:pPr>
        <w:spacing w:line="360" w:lineRule="auto"/>
        <w:rPr>
          <w:rFonts w:ascii="Calibri" w:cs="Calibri" w:eastAsia="Calibri" w:hAnsi="Calibri"/>
          <w:sz w:val="27"/>
          <w:szCs w:val="27"/>
        </w:rPr>
      </w:pPr>
      <w:r w:rsidDel="00000000" w:rsidR="00000000" w:rsidRPr="00000000">
        <w:rPr>
          <w:rFonts w:ascii="Calibri" w:cs="Calibri" w:eastAsia="Calibri" w:hAnsi="Calibri"/>
          <w:sz w:val="27"/>
          <w:szCs w:val="27"/>
          <w:rtl w:val="0"/>
        </w:rPr>
        <w:t xml:space="preserve">Kurt, S. (2021). </w:t>
      </w:r>
      <w:r w:rsidDel="00000000" w:rsidR="00000000" w:rsidRPr="00000000">
        <w:rPr>
          <w:rFonts w:ascii="Calibri" w:cs="Calibri" w:eastAsia="Calibri" w:hAnsi="Calibri"/>
          <w:i w:val="1"/>
          <w:sz w:val="27"/>
          <w:szCs w:val="27"/>
          <w:rtl w:val="0"/>
        </w:rPr>
        <w:t xml:space="preserve">Theory X and Theory Y, Douglas McGregor</w:t>
      </w:r>
      <w:r w:rsidDel="00000000" w:rsidR="00000000" w:rsidRPr="00000000">
        <w:rPr>
          <w:rFonts w:ascii="Calibri" w:cs="Calibri" w:eastAsia="Calibri" w:hAnsi="Calibri"/>
          <w:sz w:val="27"/>
          <w:szCs w:val="27"/>
          <w:rtl w:val="0"/>
        </w:rPr>
        <w:t xml:space="preserve">. [online] Education Library. Available at: https://educationlibrary.org/theory-x-and-theory-y-douglas-mcgregor/.</w:t>
      </w:r>
    </w:p>
    <w:p w:rsidR="00000000" w:rsidDel="00000000" w:rsidP="00000000" w:rsidRDefault="00000000" w:rsidRPr="00000000" w14:paraId="0000004B">
      <w:pPr>
        <w:spacing w:after="240" w:before="240" w:line="360" w:lineRule="auto"/>
        <w:rPr>
          <w:rFonts w:ascii="Calibri" w:cs="Calibri" w:eastAsia="Calibri" w:hAnsi="Calibri"/>
          <w:sz w:val="27"/>
          <w:szCs w:val="27"/>
        </w:rPr>
      </w:pPr>
      <w:r w:rsidDel="00000000" w:rsidR="00000000" w:rsidRPr="00000000">
        <w:rPr>
          <w:rFonts w:ascii="Calibri" w:cs="Calibri" w:eastAsia="Calibri" w:hAnsi="Calibri"/>
          <w:sz w:val="27"/>
          <w:szCs w:val="27"/>
          <w:rtl w:val="0"/>
        </w:rPr>
        <w:t xml:space="preserve">‌</w:t>
      </w:r>
    </w:p>
    <w:p w:rsidR="00000000" w:rsidDel="00000000" w:rsidP="00000000" w:rsidRDefault="00000000" w:rsidRPr="00000000" w14:paraId="0000004C">
      <w:pPr>
        <w:spacing w:after="240" w:before="240" w:line="360" w:lineRule="auto"/>
        <w:rPr>
          <w:rFonts w:ascii="Calibri" w:cs="Calibri" w:eastAsia="Calibri" w:hAnsi="Calibri"/>
          <w:sz w:val="27"/>
          <w:szCs w:val="27"/>
        </w:rPr>
      </w:pPr>
      <w:r w:rsidDel="00000000" w:rsidR="00000000" w:rsidRPr="00000000">
        <w:rPr>
          <w:rtl w:val="0"/>
        </w:rPr>
      </w:r>
    </w:p>
    <w:p w:rsidR="00000000" w:rsidDel="00000000" w:rsidP="00000000" w:rsidRDefault="00000000" w:rsidRPr="00000000" w14:paraId="0000004D">
      <w:pPr>
        <w:spacing w:after="240" w:before="240" w:line="360" w:lineRule="auto"/>
        <w:rPr>
          <w:rFonts w:ascii="Calibri" w:cs="Calibri" w:eastAsia="Calibri" w:hAnsi="Calibri"/>
          <w:sz w:val="27"/>
          <w:szCs w:val="27"/>
        </w:rPr>
      </w:pPr>
      <w:r w:rsidDel="00000000" w:rsidR="00000000" w:rsidRPr="00000000">
        <w:rPr>
          <w:rFonts w:ascii="Calibri" w:cs="Calibri" w:eastAsia="Calibri" w:hAnsi="Calibri"/>
          <w:sz w:val="27"/>
          <w:szCs w:val="27"/>
          <w:rtl w:val="0"/>
        </w:rPr>
        <w:t xml:space="preserve">‌</w:t>
      </w:r>
    </w:p>
    <w:p w:rsidR="00000000" w:rsidDel="00000000" w:rsidP="00000000" w:rsidRDefault="00000000" w:rsidRPr="00000000" w14:paraId="0000004E">
      <w:pPr>
        <w:spacing w:after="240" w:before="240" w:line="360" w:lineRule="auto"/>
        <w:rPr>
          <w:rFonts w:ascii="Calibri" w:cs="Calibri" w:eastAsia="Calibri" w:hAnsi="Calibri"/>
          <w:sz w:val="27"/>
          <w:szCs w:val="27"/>
        </w:rPr>
      </w:pPr>
      <w:r w:rsidDel="00000000" w:rsidR="00000000" w:rsidRPr="00000000">
        <w:rPr>
          <w:rtl w:val="0"/>
        </w:rPr>
      </w:r>
    </w:p>
    <w:p w:rsidR="00000000" w:rsidDel="00000000" w:rsidP="00000000" w:rsidRDefault="00000000" w:rsidRPr="00000000" w14:paraId="0000004F">
      <w:pPr>
        <w:spacing w:line="360" w:lineRule="auto"/>
        <w:rPr>
          <w:rFonts w:ascii="Calibri" w:cs="Calibri" w:eastAsia="Calibri" w:hAnsi="Calibri"/>
          <w:sz w:val="27"/>
          <w:szCs w:val="27"/>
        </w:rPr>
      </w:pPr>
      <w:r w:rsidDel="00000000" w:rsidR="00000000" w:rsidRPr="00000000">
        <w:rPr>
          <w:rtl w:val="0"/>
        </w:rPr>
      </w:r>
    </w:p>
    <w:p w:rsidR="00000000" w:rsidDel="00000000" w:rsidP="00000000" w:rsidRDefault="00000000" w:rsidRPr="00000000" w14:paraId="00000050">
      <w:pPr>
        <w:spacing w:after="240" w:before="240" w:line="360" w:lineRule="auto"/>
        <w:rPr>
          <w:rFonts w:ascii="Calibri" w:cs="Calibri" w:eastAsia="Calibri" w:hAnsi="Calibri"/>
          <w:sz w:val="27"/>
          <w:szCs w:val="27"/>
        </w:rPr>
      </w:pPr>
      <w:r w:rsidDel="00000000" w:rsidR="00000000" w:rsidRPr="00000000">
        <w:rPr>
          <w:rFonts w:ascii="Calibri" w:cs="Calibri" w:eastAsia="Calibri" w:hAnsi="Calibri"/>
          <w:sz w:val="27"/>
          <w:szCs w:val="27"/>
          <w:rtl w:val="0"/>
        </w:rPr>
        <w:t xml:space="preserve">‌</w:t>
      </w:r>
    </w:p>
    <w:p w:rsidR="00000000" w:rsidDel="00000000" w:rsidP="00000000" w:rsidRDefault="00000000" w:rsidRPr="00000000" w14:paraId="00000051">
      <w:pPr>
        <w:spacing w:after="240" w:before="240" w:line="360" w:lineRule="auto"/>
        <w:rPr>
          <w:rFonts w:ascii="Calibri" w:cs="Calibri" w:eastAsia="Calibri" w:hAnsi="Calibri"/>
          <w:sz w:val="27"/>
          <w:szCs w:val="27"/>
        </w:rPr>
      </w:pPr>
      <w:r w:rsidDel="00000000" w:rsidR="00000000" w:rsidRPr="00000000">
        <w:rPr>
          <w:rFonts w:ascii="Calibri" w:cs="Calibri" w:eastAsia="Calibri" w:hAnsi="Calibri"/>
          <w:sz w:val="27"/>
          <w:szCs w:val="27"/>
          <w:rtl w:val="0"/>
        </w:rPr>
        <w:t xml:space="preserve">‌</w:t>
      </w:r>
    </w:p>
    <w:p w:rsidR="00000000" w:rsidDel="00000000" w:rsidP="00000000" w:rsidRDefault="00000000" w:rsidRPr="00000000" w14:paraId="00000052">
      <w:pPr>
        <w:spacing w:line="360" w:lineRule="auto"/>
        <w:rPr>
          <w:rFonts w:ascii="Calibri" w:cs="Calibri" w:eastAsia="Calibri" w:hAnsi="Calibri"/>
          <w:sz w:val="27"/>
          <w:szCs w:val="27"/>
        </w:rPr>
      </w:pPr>
      <w:r w:rsidDel="00000000" w:rsidR="00000000" w:rsidRPr="00000000">
        <w:rPr>
          <w:rtl w:val="0"/>
        </w:rPr>
      </w:r>
    </w:p>
    <w:p w:rsidR="00000000" w:rsidDel="00000000" w:rsidP="00000000" w:rsidRDefault="00000000" w:rsidRPr="00000000" w14:paraId="00000053">
      <w:pPr>
        <w:spacing w:after="240" w:before="240" w:line="360" w:lineRule="auto"/>
        <w:rPr>
          <w:rFonts w:ascii="Calibri" w:cs="Calibri" w:eastAsia="Calibri" w:hAnsi="Calibri"/>
          <w:sz w:val="27"/>
          <w:szCs w:val="27"/>
        </w:rPr>
      </w:pPr>
      <w:r w:rsidDel="00000000" w:rsidR="00000000" w:rsidRPr="00000000">
        <w:rPr>
          <w:rFonts w:ascii="Calibri" w:cs="Calibri" w:eastAsia="Calibri" w:hAnsi="Calibri"/>
          <w:sz w:val="27"/>
          <w:szCs w:val="27"/>
          <w:rtl w:val="0"/>
        </w:rPr>
        <w:t xml:space="preserve">‌</w:t>
      </w:r>
    </w:p>
    <w:p w:rsidR="00000000" w:rsidDel="00000000" w:rsidP="00000000" w:rsidRDefault="00000000" w:rsidRPr="00000000" w14:paraId="00000054">
      <w:pPr>
        <w:spacing w:after="240" w:before="240" w:line="360" w:lineRule="auto"/>
        <w:rPr>
          <w:rFonts w:ascii="Calibri" w:cs="Calibri" w:eastAsia="Calibri" w:hAnsi="Calibri"/>
          <w:sz w:val="27"/>
          <w:szCs w:val="27"/>
        </w:rPr>
      </w:pPr>
      <w:r w:rsidDel="00000000" w:rsidR="00000000" w:rsidRPr="00000000">
        <w:rPr>
          <w:rtl w:val="0"/>
        </w:rPr>
      </w:r>
    </w:p>
    <w:p w:rsidR="00000000" w:rsidDel="00000000" w:rsidP="00000000" w:rsidRDefault="00000000" w:rsidRPr="00000000" w14:paraId="00000055">
      <w:pPr>
        <w:spacing w:after="240" w:before="240" w:line="360" w:lineRule="auto"/>
        <w:rPr>
          <w:rFonts w:ascii="Calibri" w:cs="Calibri" w:eastAsia="Calibri" w:hAnsi="Calibri"/>
          <w:sz w:val="27"/>
          <w:szCs w:val="27"/>
        </w:rPr>
      </w:pPr>
      <w:r w:rsidDel="00000000" w:rsidR="00000000" w:rsidRPr="00000000">
        <w:rPr>
          <w:rFonts w:ascii="Calibri" w:cs="Calibri" w:eastAsia="Calibri" w:hAnsi="Calibri"/>
          <w:sz w:val="27"/>
          <w:szCs w:val="27"/>
          <w:rtl w:val="0"/>
        </w:rPr>
        <w:t xml:space="preserve">‌</w:t>
      </w:r>
    </w:p>
    <w:p w:rsidR="00000000" w:rsidDel="00000000" w:rsidP="00000000" w:rsidRDefault="00000000" w:rsidRPr="00000000" w14:paraId="00000056">
      <w:pPr>
        <w:spacing w:after="240" w:before="240" w:line="360" w:lineRule="auto"/>
        <w:rPr>
          <w:rFonts w:ascii="Calibri" w:cs="Calibri" w:eastAsia="Calibri" w:hAnsi="Calibri"/>
          <w:sz w:val="27"/>
          <w:szCs w:val="27"/>
        </w:rPr>
      </w:pPr>
      <w:r w:rsidDel="00000000" w:rsidR="00000000" w:rsidRPr="00000000">
        <w:rPr>
          <w:rtl w:val="0"/>
        </w:rPr>
      </w:r>
    </w:p>
    <w:p w:rsidR="00000000" w:rsidDel="00000000" w:rsidP="00000000" w:rsidRDefault="00000000" w:rsidRPr="00000000" w14:paraId="00000057">
      <w:pPr>
        <w:spacing w:after="240" w:before="240" w:line="360" w:lineRule="auto"/>
        <w:rPr>
          <w:rFonts w:ascii="Calibri" w:cs="Calibri" w:eastAsia="Calibri" w:hAnsi="Calibri"/>
          <w:sz w:val="27"/>
          <w:szCs w:val="27"/>
        </w:rPr>
      </w:pPr>
      <w:r w:rsidDel="00000000" w:rsidR="00000000" w:rsidRPr="00000000">
        <w:rPr>
          <w:rtl w:val="0"/>
        </w:rPr>
      </w:r>
    </w:p>
    <w:p w:rsidR="00000000" w:rsidDel="00000000" w:rsidP="00000000" w:rsidRDefault="00000000" w:rsidRPr="00000000" w14:paraId="00000058">
      <w:pPr>
        <w:spacing w:after="240" w:before="240" w:line="360" w:lineRule="auto"/>
        <w:rPr>
          <w:rFonts w:ascii="Calibri" w:cs="Calibri" w:eastAsia="Calibri" w:hAnsi="Calibri"/>
          <w:sz w:val="27"/>
          <w:szCs w:val="27"/>
        </w:rPr>
      </w:pPr>
      <w:r w:rsidDel="00000000" w:rsidR="00000000" w:rsidRPr="00000000">
        <w:rPr>
          <w:rtl w:val="0"/>
        </w:rPr>
      </w:r>
    </w:p>
    <w:p w:rsidR="00000000" w:rsidDel="00000000" w:rsidP="00000000" w:rsidRDefault="00000000" w:rsidRPr="00000000" w14:paraId="00000059">
      <w:pPr>
        <w:spacing w:after="240" w:before="240" w:line="360" w:lineRule="auto"/>
        <w:jc w:val="both"/>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w:t>
      </w:r>
    </w:p>
    <w:p w:rsidR="00000000" w:rsidDel="00000000" w:rsidP="00000000" w:rsidRDefault="00000000" w:rsidRPr="00000000" w14:paraId="0000005A">
      <w:pPr>
        <w:spacing w:after="240" w:before="240" w:line="360" w:lineRule="auto"/>
        <w:jc w:val="both"/>
        <w:rPr>
          <w:rFonts w:ascii="Calibri" w:cs="Calibri" w:eastAsia="Calibri" w:hAnsi="Calibri"/>
          <w:b w:val="1"/>
          <w:sz w:val="24"/>
          <w:szCs w:val="24"/>
        </w:rPr>
      </w:pPr>
      <w:r w:rsidDel="00000000" w:rsidR="00000000" w:rsidRPr="00000000">
        <w:rPr>
          <w:rtl w:val="0"/>
        </w:rPr>
      </w:r>
    </w:p>
    <w:p w:rsidR="00000000" w:rsidDel="00000000" w:rsidP="00000000" w:rsidRDefault="00000000" w:rsidRPr="00000000" w14:paraId="0000005B">
      <w:pPr>
        <w:spacing w:after="240" w:before="240" w:line="360" w:lineRule="auto"/>
        <w:jc w:val="both"/>
        <w:rPr>
          <w:rFonts w:ascii="Calibri" w:cs="Calibri" w:eastAsia="Calibri" w:hAnsi="Calibri"/>
          <w:b w:val="1"/>
          <w:sz w:val="24"/>
          <w:szCs w:val="24"/>
        </w:rPr>
      </w:pPr>
      <w:r w:rsidDel="00000000" w:rsidR="00000000" w:rsidRPr="00000000">
        <w:rPr>
          <w:rtl w:val="0"/>
        </w:rPr>
      </w:r>
    </w:p>
    <w:p w:rsidR="00000000" w:rsidDel="00000000" w:rsidP="00000000" w:rsidRDefault="00000000" w:rsidRPr="00000000" w14:paraId="0000005C">
      <w:pPr>
        <w:spacing w:after="240" w:before="240" w:line="360" w:lineRule="auto"/>
        <w:jc w:val="both"/>
        <w:rPr>
          <w:rFonts w:ascii="Calibri" w:cs="Calibri" w:eastAsia="Calibri" w:hAnsi="Calibri"/>
          <w:b w:val="1"/>
          <w:sz w:val="24"/>
          <w:szCs w:val="24"/>
        </w:rPr>
      </w:pPr>
      <w:r w:rsidDel="00000000" w:rsidR="00000000" w:rsidRPr="00000000">
        <w:rPr>
          <w:rtl w:val="0"/>
        </w:rPr>
      </w:r>
    </w:p>
    <w:p w:rsidR="00000000" w:rsidDel="00000000" w:rsidP="00000000" w:rsidRDefault="00000000" w:rsidRPr="00000000" w14:paraId="0000005D">
      <w:pPr>
        <w:spacing w:line="360" w:lineRule="auto"/>
        <w:jc w:val="both"/>
        <w:rPr>
          <w:rFonts w:ascii="Calibri" w:cs="Calibri" w:eastAsia="Calibri" w:hAnsi="Calibri"/>
          <w:b w:val="1"/>
          <w:sz w:val="24"/>
          <w:szCs w:val="24"/>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hyperlink" Target="https://courses.lumenlearning.com/wmintrobusiness/chapter/reading-douglas-mcgregors-theory-x-and-theory-y-2/" TargetMode="External"/><Relationship Id="rId9" Type="http://schemas.openxmlformats.org/officeDocument/2006/relationships/hyperlink" Target="https://www.makingbusinessmatter.co.uk/action-centred-leadership/" TargetMode="External"/><Relationship Id="rId5" Type="http://schemas.openxmlformats.org/officeDocument/2006/relationships/styles" Target="styles.xml"/><Relationship Id="rId6" Type="http://schemas.openxmlformats.org/officeDocument/2006/relationships/hyperlink" Target="https://doi.org/10.1177/21582440221094606" TargetMode="External"/><Relationship Id="rId7" Type="http://schemas.openxmlformats.org/officeDocument/2006/relationships/hyperlink" Target="https://www.mindtools.com/ai9k5cb/the-blake-mouton-grid" TargetMode="External"/><Relationship Id="rId8" Type="http://schemas.openxmlformats.org/officeDocument/2006/relationships/hyperlink" Target="https://study.com/academy/lesson/the-blake-mouton-managerial-grid-five-leadership-style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