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70255C" w14:textId="77777777" w:rsidR="00EF4C9B" w:rsidRDefault="00EF4C9B">
      <w:pPr>
        <w:spacing w:line="360" w:lineRule="auto"/>
        <w:rPr>
          <w:rFonts w:ascii="Arial" w:hAnsi="Arial" w:cs="Arial"/>
          <w:b/>
          <w:bCs/>
          <w:sz w:val="24"/>
          <w:szCs w:val="24"/>
          <w:lang w:eastAsia="en-GB"/>
        </w:rPr>
      </w:pPr>
      <w:r>
        <w:rPr>
          <w:noProof/>
        </w:rPr>
        <w:drawing>
          <wp:anchor distT="0" distB="0" distL="114300" distR="114300" simplePos="0" relativeHeight="251658240" behindDoc="1" locked="0" layoutInCell="1" allowOverlap="1" wp14:anchorId="5771AE12" wp14:editId="12AE0A24">
            <wp:simplePos x="0" y="0"/>
            <wp:positionH relativeFrom="page">
              <wp:align>right</wp:align>
            </wp:positionH>
            <wp:positionV relativeFrom="page">
              <wp:posOffset>171450</wp:posOffset>
            </wp:positionV>
            <wp:extent cx="2693035" cy="963930"/>
            <wp:effectExtent l="95250" t="95250" r="88265" b="102870"/>
            <wp:wrapTight wrapText="bothSides">
              <wp:wrapPolygon edited="0">
                <wp:start x="-764" y="-2134"/>
                <wp:lineTo x="-764" y="23478"/>
                <wp:lineTo x="22155" y="23478"/>
                <wp:lineTo x="22155" y="-2134"/>
                <wp:lineTo x="-764" y="-2134"/>
              </wp:wrapPolygon>
            </wp:wrapTight>
            <wp:docPr id="2" name="Picture 1" descr="UWTSD launches Academy to develop a professional network of training ...">
              <a:extLst xmlns:a="http://schemas.openxmlformats.org/drawingml/2006/main">
                <a:ext uri="{FF2B5EF4-FFF2-40B4-BE49-F238E27FC236}">
                  <a16:creationId xmlns:a16="http://schemas.microsoft.com/office/drawing/2014/main" id="{0F8DF037-FDC5-BF14-B068-03FCBF9944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aunches Academy to develop a professional network of training ...">
                      <a:extLst>
                        <a:ext uri="{FF2B5EF4-FFF2-40B4-BE49-F238E27FC236}">
                          <a16:creationId xmlns:a16="http://schemas.microsoft.com/office/drawing/2014/main" id="{0F8DF037-FDC5-BF14-B068-03FCBF994422}"/>
                        </a:ext>
                      </a:extLst>
                    </pic:cNvPr>
                    <pic:cNvPicPr>
                      <a:picLocks noChangeAspect="1"/>
                    </pic:cNvPicPr>
                  </pic:nvPicPr>
                  <pic:blipFill>
                    <a:blip r:embed="rId10">
                      <a:extLst>
                        <a:ext uri="{28A0092B-C50C-407E-A947-70E740481C1C}">
                          <a14:useLocalDpi xmlns:a14="http://schemas.microsoft.com/office/drawing/2010/main" val="0"/>
                        </a:ext>
                      </a:extLst>
                    </a:blip>
                    <a:srcRect t="11905" b="13940"/>
                    <a:stretch>
                      <a:fillRect/>
                    </a:stretch>
                  </pic:blipFill>
                  <pic:spPr>
                    <a:xfrm>
                      <a:off x="0" y="0"/>
                      <a:ext cx="2693035" cy="963930"/>
                    </a:xfrm>
                    <a:prstGeom prst="rect">
                      <a:avLst/>
                    </a:prstGeom>
                    <a:solidFill>
                      <a:srgbClr val="EDEDED"/>
                    </a:solidFill>
                    <a:ln w="88897" cap="sq">
                      <a:solidFill>
                        <a:srgbClr val="FFFFFF"/>
                      </a:solidFill>
                      <a:prstDash val="solid"/>
                      <a:miter/>
                    </a:ln>
                    <a:effectLst>
                      <a:outerShdw dir="16200000" algn="tl">
                        <a:srgbClr val="000000">
                          <a:alpha val="45000"/>
                        </a:srgbClr>
                      </a:outerShdw>
                    </a:effectLst>
                  </pic:spPr>
                </pic:pic>
              </a:graphicData>
            </a:graphic>
            <wp14:sizeRelH relativeFrom="margin">
              <wp14:pctWidth>0</wp14:pctWidth>
            </wp14:sizeRelH>
            <wp14:sizeRelV relativeFrom="margin">
              <wp14:pctHeight>0</wp14:pctHeight>
            </wp14:sizeRelV>
          </wp:anchor>
        </w:drawing>
      </w:r>
      <w:r w:rsidR="00DE59D7">
        <w:rPr>
          <w:rFonts w:ascii="Arial" w:hAnsi="Arial" w:cs="Arial"/>
          <w:b/>
          <w:bCs/>
          <w:sz w:val="24"/>
          <w:szCs w:val="24"/>
          <w:lang w:eastAsia="en-GB"/>
        </w:rPr>
        <w:t xml:space="preserve">       </w:t>
      </w:r>
    </w:p>
    <w:p w14:paraId="7E44434D" w14:textId="1C96637E" w:rsidR="00C2029A" w:rsidRDefault="00EF4C9B">
      <w:pPr>
        <w:spacing w:line="360" w:lineRule="auto"/>
      </w:pPr>
      <w:r>
        <w:rPr>
          <w:rFonts w:ascii="Arial" w:hAnsi="Arial" w:cs="Arial"/>
          <w:b/>
          <w:bCs/>
          <w:sz w:val="24"/>
          <w:szCs w:val="24"/>
          <w:lang w:eastAsia="en-GB"/>
        </w:rPr>
        <w:t xml:space="preserve">            </w:t>
      </w:r>
      <w:r w:rsidR="00DE59D7">
        <w:rPr>
          <w:rFonts w:ascii="Arial" w:hAnsi="Arial" w:cs="Arial"/>
          <w:b/>
          <w:bCs/>
          <w:sz w:val="24"/>
          <w:szCs w:val="24"/>
          <w:lang w:eastAsia="en-GB"/>
        </w:rPr>
        <w:t xml:space="preserve"> </w:t>
      </w:r>
      <w:r w:rsidR="00DE59D7">
        <w:rPr>
          <w:rFonts w:ascii="Arial" w:hAnsi="Arial" w:cs="Arial"/>
          <w:b/>
          <w:bCs/>
          <w:lang w:eastAsia="en-GB"/>
        </w:rPr>
        <w:t>Psychology in Health and Social Care (LCHS4010_LON)</w:t>
      </w:r>
    </w:p>
    <w:p w14:paraId="5E958C21" w14:textId="5073A81F" w:rsidR="00EF4C9B" w:rsidRPr="00EF4C9B" w:rsidRDefault="00DE59D7">
      <w:pPr>
        <w:spacing w:line="360" w:lineRule="auto"/>
        <w:rPr>
          <w:rFonts w:ascii="Arial" w:hAnsi="Arial" w:cs="Arial"/>
          <w:lang w:eastAsia="en-GB"/>
        </w:rPr>
      </w:pPr>
      <w:r>
        <w:rPr>
          <w:rFonts w:ascii="Arial" w:hAnsi="Arial" w:cs="Arial"/>
          <w:lang w:eastAsia="en-GB"/>
        </w:rPr>
        <w:t xml:space="preserve">                                   </w:t>
      </w:r>
    </w:p>
    <w:p w14:paraId="7E444350" w14:textId="40C4E8E0" w:rsidR="00C2029A" w:rsidRDefault="00C2029A">
      <w:pPr>
        <w:spacing w:line="360" w:lineRule="auto"/>
        <w:rPr>
          <w:rFonts w:ascii="Arial" w:hAnsi="Arial" w:cs="Arial"/>
          <w:u w:val="single"/>
          <w:lang w:eastAsia="en-GB"/>
        </w:rPr>
      </w:pPr>
    </w:p>
    <w:p w14:paraId="7E444351" w14:textId="77777777" w:rsidR="00C2029A" w:rsidRDefault="00DE59D7">
      <w:pPr>
        <w:spacing w:line="360" w:lineRule="auto"/>
      </w:pPr>
      <w:r>
        <w:rPr>
          <w:rFonts w:ascii="Arial" w:hAnsi="Arial" w:cs="Arial"/>
          <w:b/>
          <w:bCs/>
          <w:u w:val="single"/>
          <w:lang w:eastAsia="en-GB"/>
        </w:rPr>
        <w:t>Name of Student</w:t>
      </w:r>
      <w:r>
        <w:rPr>
          <w:rFonts w:ascii="Arial" w:hAnsi="Arial" w:cs="Arial"/>
          <w:u w:val="single"/>
          <w:lang w:eastAsia="en-GB"/>
        </w:rPr>
        <w:t xml:space="preserve">:  Eloida Karina Chavez Sifuentes </w:t>
      </w:r>
    </w:p>
    <w:p w14:paraId="7E444352" w14:textId="77777777" w:rsidR="00C2029A" w:rsidRDefault="00DE59D7">
      <w:pPr>
        <w:spacing w:line="360" w:lineRule="auto"/>
      </w:pPr>
      <w:r>
        <w:rPr>
          <w:rFonts w:ascii="Arial" w:hAnsi="Arial" w:cs="Arial"/>
          <w:b/>
          <w:bCs/>
          <w:u w:val="single"/>
          <w:lang w:eastAsia="en-GB"/>
        </w:rPr>
        <w:t>I.D. Number</w:t>
      </w:r>
      <w:r>
        <w:rPr>
          <w:rFonts w:ascii="Arial" w:hAnsi="Arial" w:cs="Arial"/>
          <w:u w:val="single"/>
          <w:lang w:eastAsia="en-GB"/>
        </w:rPr>
        <w:t>:       2437214</w:t>
      </w:r>
    </w:p>
    <w:p w14:paraId="7E444353" w14:textId="4CFD9108" w:rsidR="00C2029A" w:rsidRDefault="00DE59D7">
      <w:pPr>
        <w:spacing w:line="360" w:lineRule="auto"/>
      </w:pPr>
      <w:r>
        <w:rPr>
          <w:rFonts w:ascii="Arial" w:hAnsi="Arial" w:cs="Arial"/>
          <w:b/>
          <w:bCs/>
          <w:u w:val="single"/>
          <w:lang w:eastAsia="en-GB"/>
        </w:rPr>
        <w:t>Name of Tutor</w:t>
      </w:r>
      <w:r>
        <w:rPr>
          <w:rFonts w:ascii="Arial" w:hAnsi="Arial" w:cs="Arial"/>
          <w:u w:val="single"/>
          <w:lang w:eastAsia="en-GB"/>
        </w:rPr>
        <w:t>:   Peace Ukachukwu</w:t>
      </w:r>
    </w:p>
    <w:p w14:paraId="7E444354" w14:textId="692B6FD3" w:rsidR="00C2029A" w:rsidRDefault="00C2029A">
      <w:pPr>
        <w:spacing w:line="360" w:lineRule="auto"/>
        <w:rPr>
          <w:u w:val="single"/>
          <w:lang w:eastAsia="en-GB"/>
        </w:rPr>
      </w:pPr>
    </w:p>
    <w:p w14:paraId="7E444359" w14:textId="26FEA3C2" w:rsidR="00C2029A" w:rsidRDefault="00C2029A">
      <w:pPr>
        <w:spacing w:line="360" w:lineRule="auto"/>
        <w:rPr>
          <w:rFonts w:ascii="Arial" w:hAnsi="Arial" w:cs="Arial"/>
        </w:rPr>
      </w:pPr>
    </w:p>
    <w:p w14:paraId="03FBB655" w14:textId="77777777" w:rsidR="00EF4C9B" w:rsidRDefault="00EF4C9B">
      <w:pPr>
        <w:spacing w:line="360" w:lineRule="auto"/>
        <w:rPr>
          <w:rFonts w:ascii="Arial" w:hAnsi="Arial" w:cs="Arial"/>
        </w:rPr>
      </w:pPr>
    </w:p>
    <w:p w14:paraId="7AE0E040" w14:textId="77777777" w:rsidR="00EF4C9B" w:rsidRDefault="00EF4C9B">
      <w:pPr>
        <w:spacing w:line="360" w:lineRule="auto"/>
        <w:rPr>
          <w:rFonts w:ascii="Arial" w:hAnsi="Arial" w:cs="Arial"/>
        </w:rPr>
      </w:pPr>
    </w:p>
    <w:p w14:paraId="6E537BF3" w14:textId="77777777" w:rsidR="00EF4C9B" w:rsidRDefault="00EF4C9B">
      <w:pPr>
        <w:spacing w:line="360" w:lineRule="auto"/>
        <w:rPr>
          <w:rFonts w:ascii="Arial" w:hAnsi="Arial" w:cs="Arial"/>
        </w:rPr>
      </w:pPr>
    </w:p>
    <w:p w14:paraId="7E44435A" w14:textId="77777777" w:rsidR="00C2029A" w:rsidRDefault="00DE59D7">
      <w:pPr>
        <w:spacing w:line="360" w:lineRule="auto"/>
      </w:pPr>
      <w:r>
        <w:rPr>
          <w:rFonts w:ascii="Arial" w:hAnsi="Arial" w:cs="Arial"/>
          <w:b/>
          <w:bCs/>
          <w:u w:val="single"/>
          <w:lang w:eastAsia="en-GB"/>
        </w:rPr>
        <w:t>Acknowledgement of AI use:</w:t>
      </w:r>
      <w:r>
        <w:rPr>
          <w:rFonts w:ascii="Arial" w:hAnsi="Arial" w:cs="Arial"/>
          <w:lang w:eastAsia="en-GB"/>
        </w:rPr>
        <w:t xml:space="preserve"> </w:t>
      </w:r>
    </w:p>
    <w:p w14:paraId="7E44435C" w14:textId="0A7DBE33" w:rsidR="00C2029A" w:rsidRDefault="00DE59D7">
      <w:pPr>
        <w:spacing w:line="360" w:lineRule="auto"/>
      </w:pPr>
      <w:r>
        <w:rPr>
          <w:rFonts w:ascii="Arial" w:hAnsi="Arial" w:cs="Arial"/>
          <w:lang w:eastAsia="en-GB"/>
        </w:rPr>
        <w:t xml:space="preserve">I confirm that I have used AI as a support tool in this assignment to help me with structure and clarity. As I am dyslexic, I sometimes need additional support to express my ideas in a clear and organised way. All analysis, decisions, interpretations, and academic arguments in this work are entirely my own.  </w:t>
      </w:r>
    </w:p>
    <w:p w14:paraId="7E44435D" w14:textId="01ED956F" w:rsidR="00C2029A" w:rsidRDefault="00C2029A">
      <w:pPr>
        <w:spacing w:line="360" w:lineRule="auto"/>
        <w:rPr>
          <w:rFonts w:ascii="Arial" w:hAnsi="Arial" w:cs="Arial"/>
        </w:rPr>
      </w:pPr>
    </w:p>
    <w:p w14:paraId="7E44435E" w14:textId="20A2A48E" w:rsidR="00C2029A" w:rsidRDefault="00C2029A">
      <w:pPr>
        <w:spacing w:line="360" w:lineRule="auto"/>
        <w:rPr>
          <w:rFonts w:ascii="Arial" w:hAnsi="Arial" w:cs="Arial"/>
        </w:rPr>
      </w:pPr>
    </w:p>
    <w:p w14:paraId="7E44435F" w14:textId="17E804EC" w:rsidR="00C2029A" w:rsidRDefault="00C2029A">
      <w:pPr>
        <w:spacing w:line="360" w:lineRule="auto"/>
      </w:pPr>
    </w:p>
    <w:p w14:paraId="7E444360" w14:textId="77777777" w:rsidR="00C2029A" w:rsidRDefault="00C2029A">
      <w:pPr>
        <w:spacing w:line="360" w:lineRule="auto"/>
      </w:pPr>
    </w:p>
    <w:p w14:paraId="7E444361" w14:textId="77777777" w:rsidR="00C2029A" w:rsidRDefault="00C2029A">
      <w:pPr>
        <w:spacing w:line="360" w:lineRule="auto"/>
      </w:pPr>
    </w:p>
    <w:p w14:paraId="7E444362" w14:textId="77777777" w:rsidR="00C2029A" w:rsidRDefault="00C2029A">
      <w:pPr>
        <w:spacing w:line="360" w:lineRule="auto"/>
      </w:pPr>
    </w:p>
    <w:p w14:paraId="40635334" w14:textId="77777777" w:rsidR="00EF4C9B" w:rsidRDefault="00EF4C9B">
      <w:pPr>
        <w:spacing w:line="360" w:lineRule="auto"/>
      </w:pPr>
    </w:p>
    <w:p w14:paraId="514F1616" w14:textId="77777777" w:rsidR="00EF4C9B" w:rsidRDefault="00EF4C9B">
      <w:pPr>
        <w:spacing w:line="360" w:lineRule="auto"/>
      </w:pPr>
    </w:p>
    <w:p w14:paraId="7D148F0F" w14:textId="77777777" w:rsidR="00EF4C9B" w:rsidRDefault="00EF4C9B">
      <w:pPr>
        <w:spacing w:line="360" w:lineRule="auto"/>
      </w:pPr>
    </w:p>
    <w:p w14:paraId="4847F0D4" w14:textId="77777777" w:rsidR="00EF4C9B" w:rsidRDefault="00EF4C9B">
      <w:pPr>
        <w:spacing w:line="360" w:lineRule="auto"/>
      </w:pPr>
    </w:p>
    <w:p w14:paraId="7E444363" w14:textId="77777777" w:rsidR="00C2029A" w:rsidRDefault="00C2029A">
      <w:pPr>
        <w:spacing w:line="360" w:lineRule="auto"/>
        <w:rPr>
          <w:rFonts w:ascii="Arial" w:hAnsi="Arial" w:cs="Arial"/>
        </w:rPr>
      </w:pPr>
    </w:p>
    <w:p w14:paraId="7E444364" w14:textId="77777777" w:rsidR="00C2029A" w:rsidRDefault="00DE59D7">
      <w:pPr>
        <w:pStyle w:val="ListParagraph"/>
        <w:numPr>
          <w:ilvl w:val="0"/>
          <w:numId w:val="1"/>
        </w:numPr>
        <w:spacing w:line="360" w:lineRule="auto"/>
        <w:rPr>
          <w:rFonts w:ascii="Arial" w:hAnsi="Arial" w:cs="Arial"/>
          <w:b/>
          <w:bCs/>
        </w:rPr>
      </w:pPr>
      <w:r>
        <w:rPr>
          <w:rFonts w:ascii="Arial" w:hAnsi="Arial" w:cs="Arial"/>
          <w:b/>
          <w:bCs/>
        </w:rPr>
        <w:t>PART A:</w:t>
      </w:r>
    </w:p>
    <w:p w14:paraId="7E444365" w14:textId="77777777" w:rsidR="00C2029A" w:rsidRDefault="00C2029A">
      <w:pPr>
        <w:spacing w:line="360" w:lineRule="auto"/>
        <w:rPr>
          <w:rFonts w:ascii="Arial" w:hAnsi="Arial" w:cs="Arial"/>
          <w:b/>
          <w:bCs/>
        </w:rPr>
      </w:pPr>
    </w:p>
    <w:p w14:paraId="7E444366" w14:textId="77777777" w:rsidR="00C2029A" w:rsidRDefault="00DE59D7">
      <w:pPr>
        <w:spacing w:line="360" w:lineRule="auto"/>
        <w:rPr>
          <w:rFonts w:ascii="Arial" w:hAnsi="Arial" w:cs="Arial"/>
          <w:b/>
          <w:bCs/>
        </w:rPr>
      </w:pPr>
      <w:r>
        <w:rPr>
          <w:rFonts w:ascii="Arial" w:hAnsi="Arial" w:cs="Arial"/>
          <w:b/>
          <w:bCs/>
        </w:rPr>
        <w:t>1.Albert Bandura: Annotated Reference:</w:t>
      </w:r>
    </w:p>
    <w:p w14:paraId="7E444367" w14:textId="77777777" w:rsidR="00C2029A" w:rsidRDefault="00DE59D7">
      <w:pPr>
        <w:spacing w:line="360" w:lineRule="auto"/>
        <w:rPr>
          <w:rFonts w:ascii="Arial" w:hAnsi="Arial" w:cs="Arial"/>
        </w:rPr>
      </w:pPr>
      <w:r>
        <w:rPr>
          <w:rFonts w:ascii="Arial" w:hAnsi="Arial" w:cs="Arial"/>
        </w:rPr>
        <w:t>Bandura, A. (1977) Social learning theory. Englewood Cliffs, NJ: Prentice Hall.</w:t>
      </w:r>
    </w:p>
    <w:p w14:paraId="7E444368" w14:textId="77777777" w:rsidR="00C2029A" w:rsidRDefault="00DE59D7">
      <w:pPr>
        <w:spacing w:line="360" w:lineRule="auto"/>
      </w:pPr>
      <w:r>
        <w:rPr>
          <w:rFonts w:ascii="Arial" w:hAnsi="Arial" w:cs="Arial"/>
        </w:rPr>
        <w:t xml:space="preserve">Gecas, V. (1989) ‘The social psychology of self-efficacy’, </w:t>
      </w:r>
      <w:r>
        <w:rPr>
          <w:rFonts w:ascii="Arial" w:hAnsi="Arial" w:cs="Arial"/>
          <w:i/>
          <w:iCs/>
        </w:rPr>
        <w:t>Annual Review of Sociology</w:t>
      </w:r>
      <w:r>
        <w:rPr>
          <w:rFonts w:ascii="Arial" w:hAnsi="Arial" w:cs="Arial"/>
        </w:rPr>
        <w:t>, 15, pp. 291–316.</w:t>
      </w:r>
    </w:p>
    <w:p w14:paraId="7E444369" w14:textId="77777777" w:rsidR="00C2029A" w:rsidRDefault="00DE59D7">
      <w:pPr>
        <w:spacing w:line="360" w:lineRule="auto"/>
        <w:rPr>
          <w:rFonts w:ascii="Arial" w:hAnsi="Arial" w:cs="Arial"/>
          <w:b/>
          <w:bCs/>
        </w:rPr>
      </w:pPr>
      <w:r>
        <w:rPr>
          <w:rFonts w:ascii="Arial" w:hAnsi="Arial" w:cs="Arial"/>
          <w:b/>
          <w:bCs/>
        </w:rPr>
        <w:t>2. Concise Summary of Key Arguments or Findings</w:t>
      </w:r>
    </w:p>
    <w:p w14:paraId="7E44436A" w14:textId="75538D60" w:rsidR="00C2029A" w:rsidRDefault="00DE59D7">
      <w:pPr>
        <w:spacing w:line="360" w:lineRule="auto"/>
        <w:rPr>
          <w:rFonts w:ascii="Arial" w:hAnsi="Arial" w:cs="Arial"/>
        </w:rPr>
      </w:pPr>
      <w:r>
        <w:rPr>
          <w:rFonts w:ascii="Arial" w:hAnsi="Arial" w:cs="Arial"/>
        </w:rPr>
        <w:t xml:space="preserve">Bandura’s Social Learning Theory proposes that learning occurs not only through direct experience but also through observing and </w:t>
      </w:r>
      <w:r w:rsidR="0090230B">
        <w:rPr>
          <w:rFonts w:ascii="Arial" w:hAnsi="Arial" w:cs="Arial"/>
        </w:rPr>
        <w:t>replicating</w:t>
      </w:r>
      <w:r>
        <w:rPr>
          <w:rFonts w:ascii="Arial" w:hAnsi="Arial" w:cs="Arial"/>
        </w:rPr>
        <w:t xml:space="preserve"> others. He identifies four essential processes that shape observational learning: attention, retention, reproduction, and motivation. These processes determine whether a person notices a behaviour, remembers it, can physically reproduce it, and is motivated to perform it.</w:t>
      </w:r>
    </w:p>
    <w:p w14:paraId="7E44436B" w14:textId="0400E5E2" w:rsidR="00C2029A" w:rsidRDefault="00DE59D7">
      <w:pPr>
        <w:spacing w:line="360" w:lineRule="auto"/>
        <w:rPr>
          <w:rFonts w:ascii="Arial" w:hAnsi="Arial" w:cs="Arial"/>
        </w:rPr>
      </w:pPr>
      <w:r>
        <w:rPr>
          <w:rFonts w:ascii="Arial" w:hAnsi="Arial" w:cs="Arial"/>
        </w:rPr>
        <w:t>A major contribution of Bandura’s work is the concept of self</w:t>
      </w:r>
      <w:r>
        <w:rPr>
          <w:rFonts w:ascii="Arial" w:hAnsi="Arial" w:cs="Arial"/>
        </w:rPr>
        <w:noBreakHyphen/>
        <w:t xml:space="preserve">efficacy, which refers to an individual’s belief in their </w:t>
      </w:r>
      <w:r w:rsidR="0090230B">
        <w:rPr>
          <w:rFonts w:ascii="Arial" w:hAnsi="Arial" w:cs="Arial"/>
        </w:rPr>
        <w:t>competence</w:t>
      </w:r>
      <w:r>
        <w:rPr>
          <w:rFonts w:ascii="Arial" w:hAnsi="Arial" w:cs="Arial"/>
        </w:rPr>
        <w:t xml:space="preserve"> to carry out specific tasks. Self</w:t>
      </w:r>
      <w:r>
        <w:rPr>
          <w:rFonts w:ascii="Arial" w:hAnsi="Arial" w:cs="Arial"/>
        </w:rPr>
        <w:noBreakHyphen/>
        <w:t xml:space="preserve">efficacy influences how people approach challenges, how much effort they invest, and how resilient they are when facing setbacks. Bandura also introduces reciprocal determinism, the idea that behaviour, personal factors, and the environment interact </w:t>
      </w:r>
      <w:r w:rsidR="0090230B">
        <w:rPr>
          <w:rFonts w:ascii="Arial" w:hAnsi="Arial" w:cs="Arial"/>
        </w:rPr>
        <w:t>constantly</w:t>
      </w:r>
      <w:r>
        <w:rPr>
          <w:rFonts w:ascii="Arial" w:hAnsi="Arial" w:cs="Arial"/>
        </w:rPr>
        <w:t xml:space="preserve"> to shape learning and development. His theory positions individuals as active agents who interpret and respond to their surroundings rather than passive recipients of external influences.</w:t>
      </w:r>
    </w:p>
    <w:p w14:paraId="7E44436C" w14:textId="77777777" w:rsidR="00C2029A" w:rsidRDefault="00DE59D7">
      <w:pPr>
        <w:spacing w:line="360" w:lineRule="auto"/>
        <w:rPr>
          <w:rFonts w:ascii="Arial" w:hAnsi="Arial" w:cs="Arial"/>
          <w:b/>
          <w:bCs/>
        </w:rPr>
      </w:pPr>
      <w:r>
        <w:rPr>
          <w:rFonts w:ascii="Arial" w:hAnsi="Arial" w:cs="Arial"/>
          <w:b/>
          <w:bCs/>
        </w:rPr>
        <w:t>3. Critical Comment on Relevance to Supporting Older Adults in Health and Social Care Settings</w:t>
      </w:r>
    </w:p>
    <w:p w14:paraId="7E44436D" w14:textId="77777777" w:rsidR="00C2029A" w:rsidRDefault="00DE59D7">
      <w:pPr>
        <w:spacing w:line="360" w:lineRule="auto"/>
        <w:rPr>
          <w:rFonts w:ascii="Arial" w:hAnsi="Arial" w:cs="Arial"/>
        </w:rPr>
      </w:pPr>
      <w:r>
        <w:rPr>
          <w:rFonts w:ascii="Arial" w:hAnsi="Arial" w:cs="Arial"/>
        </w:rPr>
        <w:t>Bandura’s theory offers valuable insights for supporting older adults, particularly in rehabilitation, reablement, and chronic illness management. Observational learning is highly relevant when older adults need to acquire new skills, such as using mobility aids, practising fall</w:t>
      </w:r>
      <w:r>
        <w:rPr>
          <w:rFonts w:ascii="Arial" w:hAnsi="Arial" w:cs="Arial"/>
        </w:rPr>
        <w:noBreakHyphen/>
        <w:t>prevention exercises, or managing medication routines. Watching a professional model a behaviour can reduce anxiety and provide a clear, concrete example to follow.</w:t>
      </w:r>
    </w:p>
    <w:p w14:paraId="7E44436E" w14:textId="3AE039D1" w:rsidR="00C2029A" w:rsidRDefault="00DE59D7">
      <w:pPr>
        <w:spacing w:line="360" w:lineRule="auto"/>
        <w:rPr>
          <w:rFonts w:ascii="Arial" w:hAnsi="Arial" w:cs="Arial"/>
        </w:rPr>
      </w:pPr>
      <w:r>
        <w:rPr>
          <w:rFonts w:ascii="Arial" w:hAnsi="Arial" w:cs="Arial"/>
        </w:rPr>
        <w:t xml:space="preserve">The </w:t>
      </w:r>
      <w:r w:rsidR="001D4EDE">
        <w:rPr>
          <w:rFonts w:ascii="Arial" w:hAnsi="Arial" w:cs="Arial"/>
        </w:rPr>
        <w:t>idea</w:t>
      </w:r>
      <w:r>
        <w:rPr>
          <w:rFonts w:ascii="Arial" w:hAnsi="Arial" w:cs="Arial"/>
        </w:rPr>
        <w:t xml:space="preserve"> of self</w:t>
      </w:r>
      <w:r>
        <w:rPr>
          <w:rFonts w:ascii="Arial" w:hAnsi="Arial" w:cs="Arial"/>
        </w:rPr>
        <w:noBreakHyphen/>
        <w:t xml:space="preserve">efficacy is especially </w:t>
      </w:r>
      <w:r w:rsidR="001D4EDE">
        <w:rPr>
          <w:rFonts w:ascii="Arial" w:hAnsi="Arial" w:cs="Arial"/>
        </w:rPr>
        <w:t>essential</w:t>
      </w:r>
      <w:r>
        <w:rPr>
          <w:rFonts w:ascii="Arial" w:hAnsi="Arial" w:cs="Arial"/>
        </w:rPr>
        <w:t xml:space="preserve"> in later life. Many older adults experience reduced confidence due to physical decline, illness, or previous negative experiences. Care practitioners can apply Bandura’s ideas by offering positive reinforcement, setting achievable </w:t>
      </w:r>
      <w:r>
        <w:rPr>
          <w:rFonts w:ascii="Arial" w:hAnsi="Arial" w:cs="Arial"/>
        </w:rPr>
        <w:lastRenderedPageBreak/>
        <w:t>goals, and providing opportunities for success, all of which help build confidence and promote independence. Strengthening self</w:t>
      </w:r>
      <w:r>
        <w:rPr>
          <w:rFonts w:ascii="Arial" w:hAnsi="Arial" w:cs="Arial"/>
        </w:rPr>
        <w:noBreakHyphen/>
        <w:t>efficacy has been linked to improved adherence to treatment plans, greater motivation to engage in physical activity, and better emotional wellbeing.</w:t>
      </w:r>
    </w:p>
    <w:p w14:paraId="7E44436F" w14:textId="77777777" w:rsidR="00C2029A" w:rsidRDefault="00DE59D7">
      <w:pPr>
        <w:spacing w:line="360" w:lineRule="auto"/>
        <w:rPr>
          <w:rFonts w:ascii="Arial" w:hAnsi="Arial" w:cs="Arial"/>
        </w:rPr>
      </w:pPr>
      <w:r>
        <w:rPr>
          <w:rFonts w:ascii="Arial" w:hAnsi="Arial" w:cs="Arial"/>
        </w:rPr>
        <w:t>However, Bandura’s theory does have limitations when applied to older adults. It does not fully account for cognitive impairments, sensory loss, or the emotional impact of ageing, all of which may affect an individual’s ability to observe, remember, or reproduce behaviours. Additionally, the theory assumes a level of cognitive processing that may not be present in individuals with dementia or significant memory loss. Therefore, while Bandura’s framework is highly useful, it must be adapted sensitively to ensure that modelling and reinforcement strategies are accessible, meaningful, and appropriate for the diverse needs of older adults.</w:t>
      </w:r>
    </w:p>
    <w:p w14:paraId="7E444370" w14:textId="77777777" w:rsidR="00C2029A" w:rsidRDefault="00C2029A">
      <w:pPr>
        <w:spacing w:line="360" w:lineRule="auto"/>
        <w:rPr>
          <w:rFonts w:ascii="Arial" w:hAnsi="Arial" w:cs="Arial"/>
        </w:rPr>
      </w:pPr>
    </w:p>
    <w:p w14:paraId="7E444371" w14:textId="77777777" w:rsidR="00C2029A" w:rsidRDefault="00DE59D7">
      <w:pPr>
        <w:spacing w:line="360" w:lineRule="auto"/>
        <w:rPr>
          <w:rFonts w:ascii="Arial" w:hAnsi="Arial" w:cs="Arial"/>
          <w:b/>
          <w:bCs/>
        </w:rPr>
      </w:pPr>
      <w:r>
        <w:rPr>
          <w:rFonts w:ascii="Arial" w:hAnsi="Arial" w:cs="Arial"/>
          <w:b/>
          <w:bCs/>
        </w:rPr>
        <w:t>Lev Vygotsky: Annotated Reference:</w:t>
      </w:r>
    </w:p>
    <w:p w14:paraId="7E444372" w14:textId="77777777" w:rsidR="00C2029A" w:rsidRDefault="00DE59D7">
      <w:pPr>
        <w:spacing w:line="360" w:lineRule="auto"/>
      </w:pPr>
      <w:r>
        <w:rPr>
          <w:rFonts w:ascii="Arial" w:hAnsi="Arial" w:cs="Arial"/>
          <w:b/>
          <w:bCs/>
        </w:rPr>
        <w:t xml:space="preserve"> </w:t>
      </w:r>
      <w:r>
        <w:rPr>
          <w:rFonts w:ascii="Arial" w:hAnsi="Arial" w:cs="Arial"/>
        </w:rPr>
        <w:t xml:space="preserve">Vygotsky, L.S. (1978) </w:t>
      </w:r>
      <w:r>
        <w:rPr>
          <w:rFonts w:ascii="Arial" w:hAnsi="Arial" w:cs="Arial"/>
          <w:i/>
          <w:iCs/>
        </w:rPr>
        <w:t>Mind in society: The development of higher psychological processes</w:t>
      </w:r>
      <w:r>
        <w:rPr>
          <w:rFonts w:ascii="Arial" w:hAnsi="Arial" w:cs="Arial"/>
        </w:rPr>
        <w:t>. Cambridge, MA: Harvard University Press.</w:t>
      </w:r>
    </w:p>
    <w:p w14:paraId="7E444373" w14:textId="77777777" w:rsidR="00C2029A" w:rsidRDefault="00DE59D7">
      <w:pPr>
        <w:spacing w:line="360" w:lineRule="auto"/>
      </w:pPr>
      <w:r>
        <w:rPr>
          <w:rFonts w:ascii="Arial" w:hAnsi="Arial" w:cs="Arial"/>
        </w:rPr>
        <w:t xml:space="preserve">Daniels, H. (2005) </w:t>
      </w:r>
      <w:r>
        <w:rPr>
          <w:rFonts w:ascii="Arial" w:hAnsi="Arial" w:cs="Arial"/>
          <w:i/>
          <w:iCs/>
        </w:rPr>
        <w:t>An introduction to Vygotsky</w:t>
      </w:r>
      <w:r>
        <w:rPr>
          <w:rFonts w:ascii="Arial" w:hAnsi="Arial" w:cs="Arial"/>
        </w:rPr>
        <w:t>. 2nd edn. London: Routledge.</w:t>
      </w:r>
    </w:p>
    <w:p w14:paraId="7E444374" w14:textId="77777777" w:rsidR="00C2029A" w:rsidRDefault="00DE59D7">
      <w:pPr>
        <w:spacing w:line="360" w:lineRule="auto"/>
        <w:rPr>
          <w:rFonts w:ascii="Arial" w:hAnsi="Arial" w:cs="Arial"/>
          <w:b/>
          <w:bCs/>
        </w:rPr>
      </w:pPr>
      <w:r>
        <w:rPr>
          <w:rFonts w:ascii="Arial" w:hAnsi="Arial" w:cs="Arial"/>
          <w:b/>
          <w:bCs/>
        </w:rPr>
        <w:t>2.Overview of Main Ideas and Theoretical Insights</w:t>
      </w:r>
    </w:p>
    <w:p w14:paraId="7E444375" w14:textId="122B94BD" w:rsidR="00C2029A" w:rsidRDefault="00DE59D7">
      <w:pPr>
        <w:spacing w:line="360" w:lineRule="auto"/>
        <w:rPr>
          <w:rFonts w:ascii="Arial" w:hAnsi="Arial" w:cs="Arial"/>
        </w:rPr>
      </w:pPr>
      <w:r>
        <w:rPr>
          <w:rFonts w:ascii="Arial" w:hAnsi="Arial" w:cs="Arial"/>
        </w:rPr>
        <w:t xml:space="preserve">Vygotsky’s sociocultural theory emphasises that learning and cognitive development are fundamentally shaped by social </w:t>
      </w:r>
      <w:r w:rsidR="0090230B">
        <w:rPr>
          <w:rFonts w:ascii="Arial" w:hAnsi="Arial" w:cs="Arial"/>
        </w:rPr>
        <w:t>collaboration</w:t>
      </w:r>
      <w:r>
        <w:rPr>
          <w:rFonts w:ascii="Arial" w:hAnsi="Arial" w:cs="Arial"/>
        </w:rPr>
        <w:t>, cultural tools, and language. He argues that individuals do not learn in isolation; instead, knowledge is co</w:t>
      </w:r>
      <w:r>
        <w:rPr>
          <w:rFonts w:ascii="Arial" w:hAnsi="Arial" w:cs="Arial"/>
        </w:rPr>
        <w:noBreakHyphen/>
        <w:t>constructed through meaningful engagement with others. His most influential concept, the Zone of Proximal Development (ZPD), describes the gap between what a person can do independently and what they can achieve with guidance from a more knowledgeable other.</w:t>
      </w:r>
    </w:p>
    <w:p w14:paraId="7E444376" w14:textId="38FCD1A8" w:rsidR="00C2029A" w:rsidRDefault="00DE59D7">
      <w:pPr>
        <w:spacing w:line="360" w:lineRule="auto"/>
        <w:rPr>
          <w:rFonts w:ascii="Arial" w:hAnsi="Arial" w:cs="Arial"/>
        </w:rPr>
      </w:pPr>
      <w:r>
        <w:rPr>
          <w:rFonts w:ascii="Arial" w:hAnsi="Arial" w:cs="Arial"/>
        </w:rPr>
        <w:t xml:space="preserve">Vygotsky also introduces the idea of scaffolding, which refers to the temporary support provided to help a learner progress. As competence increases, the support is gradually withdrawn. He </w:t>
      </w:r>
      <w:r w:rsidR="0090230B">
        <w:rPr>
          <w:rFonts w:ascii="Arial" w:hAnsi="Arial" w:cs="Arial"/>
        </w:rPr>
        <w:t>highpoints</w:t>
      </w:r>
      <w:r>
        <w:rPr>
          <w:rFonts w:ascii="Arial" w:hAnsi="Arial" w:cs="Arial"/>
        </w:rPr>
        <w:t xml:space="preserve"> the importance of language as a tool for </w:t>
      </w:r>
      <w:r w:rsidR="0090230B">
        <w:rPr>
          <w:rFonts w:ascii="Arial" w:hAnsi="Arial" w:cs="Arial"/>
        </w:rPr>
        <w:t>thoughts</w:t>
      </w:r>
      <w:r>
        <w:rPr>
          <w:rFonts w:ascii="Arial" w:hAnsi="Arial" w:cs="Arial"/>
        </w:rPr>
        <w:t>, problem</w:t>
      </w:r>
      <w:r>
        <w:rPr>
          <w:rFonts w:ascii="Arial" w:hAnsi="Arial" w:cs="Arial"/>
        </w:rPr>
        <w:noBreakHyphen/>
        <w:t>solving, and internalising new skills. Overall, Vygotsky positions learning as an active, socially mediated process that continues throughout life.</w:t>
      </w:r>
    </w:p>
    <w:p w14:paraId="7E444377" w14:textId="77777777" w:rsidR="00C2029A" w:rsidRDefault="00DE59D7">
      <w:pPr>
        <w:spacing w:line="360" w:lineRule="auto"/>
        <w:rPr>
          <w:rFonts w:ascii="Arial" w:hAnsi="Arial" w:cs="Arial"/>
          <w:b/>
          <w:bCs/>
        </w:rPr>
      </w:pPr>
      <w:r>
        <w:rPr>
          <w:rFonts w:ascii="Arial" w:hAnsi="Arial" w:cs="Arial"/>
          <w:b/>
          <w:bCs/>
        </w:rPr>
        <w:t>3. Critical Comment on Importance to Supporting Older Adults in Health and Social Care Settings</w:t>
      </w:r>
    </w:p>
    <w:p w14:paraId="7E444378" w14:textId="77777777" w:rsidR="00C2029A" w:rsidRDefault="00DE59D7">
      <w:pPr>
        <w:spacing w:line="360" w:lineRule="auto"/>
        <w:rPr>
          <w:rFonts w:ascii="Arial" w:hAnsi="Arial" w:cs="Arial"/>
        </w:rPr>
      </w:pPr>
      <w:r>
        <w:rPr>
          <w:rFonts w:ascii="Arial" w:hAnsi="Arial" w:cs="Arial"/>
        </w:rPr>
        <w:t xml:space="preserve">Although Vygotsky’s work was originally developed to explain children’s learning, his ideas are highly relevant to supporting older adults, particularly in rehabilitation, dementia care, </w:t>
      </w:r>
      <w:r>
        <w:rPr>
          <w:rFonts w:ascii="Arial" w:hAnsi="Arial" w:cs="Arial"/>
        </w:rPr>
        <w:lastRenderedPageBreak/>
        <w:t>and reablement services. The ZPD provides a useful framework for assessing an older adult’s current abilities and identifying the level of support needed to maintain or regain independence. For example, a care worker might guide an older adult through daily living tasks such as dressing, preparing meals, or using assistive technology while gradually reducing support as confidence grows.</w:t>
      </w:r>
    </w:p>
    <w:p w14:paraId="7E444379" w14:textId="77777777" w:rsidR="00C2029A" w:rsidRDefault="00DE59D7">
      <w:pPr>
        <w:spacing w:line="360" w:lineRule="auto"/>
        <w:rPr>
          <w:rFonts w:ascii="Arial" w:hAnsi="Arial" w:cs="Arial"/>
        </w:rPr>
      </w:pPr>
      <w:r>
        <w:rPr>
          <w:rFonts w:ascii="Arial" w:hAnsi="Arial" w:cs="Arial"/>
        </w:rPr>
        <w:t>Scaffolding aligns closely with person</w:t>
      </w:r>
      <w:r>
        <w:rPr>
          <w:rFonts w:ascii="Arial" w:hAnsi="Arial" w:cs="Arial"/>
        </w:rPr>
        <w:noBreakHyphen/>
        <w:t>centred care, as it encourages practitioners to tailor support to the individual’s strengths, preferences, and capabilities. Social interaction, which Vygotsky views as essential for learning, is also vital for older adults’ emotional wellbeing, cognitive stimulation, and sense of belonging.</w:t>
      </w:r>
    </w:p>
    <w:p w14:paraId="7E44437A" w14:textId="77777777" w:rsidR="00C2029A" w:rsidRDefault="00DE59D7">
      <w:pPr>
        <w:spacing w:line="360" w:lineRule="auto"/>
        <w:rPr>
          <w:rFonts w:ascii="Arial" w:hAnsi="Arial" w:cs="Arial"/>
        </w:rPr>
      </w:pPr>
      <w:r>
        <w:rPr>
          <w:rFonts w:ascii="Arial" w:hAnsi="Arial" w:cs="Arial"/>
        </w:rPr>
        <w:t>However, applying Vygotsky’s theory to older adults requires careful adaptation. Cognitive decline, memory loss, sensory impairments, and fluctuating capacity may limit the effectiveness of scaffolding or guided learning. Some older adults may require consistent support rather than gradual withdrawal. Despite these limitations, Vygotsky’s emphasis on collaboration, communication, and meaningful engagement remains highly valuable in promoting dignity, autonomy, and participation in later life.</w:t>
      </w:r>
    </w:p>
    <w:p w14:paraId="7E44437B" w14:textId="77777777" w:rsidR="00C2029A" w:rsidRDefault="00C2029A">
      <w:pPr>
        <w:spacing w:line="360" w:lineRule="auto"/>
        <w:rPr>
          <w:rFonts w:ascii="Arial" w:hAnsi="Arial" w:cs="Arial"/>
        </w:rPr>
      </w:pPr>
    </w:p>
    <w:p w14:paraId="7E44437C" w14:textId="77777777" w:rsidR="00C2029A" w:rsidRDefault="00DE59D7">
      <w:pPr>
        <w:pStyle w:val="ListParagraph"/>
        <w:numPr>
          <w:ilvl w:val="0"/>
          <w:numId w:val="1"/>
        </w:numPr>
        <w:spacing w:line="360" w:lineRule="auto"/>
      </w:pPr>
      <w:r>
        <w:rPr>
          <w:rFonts w:ascii="Arial" w:hAnsi="Arial" w:cs="Arial"/>
          <w:b/>
          <w:bCs/>
        </w:rPr>
        <w:t>PART B:</w:t>
      </w:r>
    </w:p>
    <w:p w14:paraId="7E44437D" w14:textId="77777777" w:rsidR="00C2029A" w:rsidRDefault="00C2029A">
      <w:pPr>
        <w:spacing w:line="360" w:lineRule="auto"/>
      </w:pPr>
    </w:p>
    <w:p w14:paraId="7E44437E" w14:textId="77777777" w:rsidR="00C2029A" w:rsidRDefault="00DE59D7">
      <w:pPr>
        <w:spacing w:line="360" w:lineRule="auto"/>
        <w:rPr>
          <w:rFonts w:ascii="Arial" w:hAnsi="Arial" w:cs="Arial"/>
          <w:b/>
          <w:bCs/>
        </w:rPr>
      </w:pPr>
      <w:r>
        <w:rPr>
          <w:rFonts w:ascii="Arial" w:hAnsi="Arial" w:cs="Arial"/>
          <w:b/>
          <w:bCs/>
        </w:rPr>
        <w:t>1. Introduction</w:t>
      </w:r>
    </w:p>
    <w:p w14:paraId="7E44437F" w14:textId="6FC8C9EE" w:rsidR="00C2029A" w:rsidRDefault="00DE59D7">
      <w:pPr>
        <w:spacing w:line="360" w:lineRule="auto"/>
        <w:rPr>
          <w:rFonts w:ascii="Arial" w:hAnsi="Arial" w:cs="Arial"/>
        </w:rPr>
      </w:pPr>
      <w:r>
        <w:rPr>
          <w:rFonts w:ascii="Arial" w:hAnsi="Arial" w:cs="Arial"/>
        </w:rPr>
        <w:t xml:space="preserve">Promoting psychological wellbeing in older adults living in residential care requires approaches that support confidence, social engagement, and meaningful participation. Bandura’s Social Learning Theory (1977) provides a valuable framework for understanding how older adults </w:t>
      </w:r>
      <w:r w:rsidR="001D4EDE">
        <w:rPr>
          <w:rFonts w:ascii="Arial" w:hAnsi="Arial" w:cs="Arial"/>
        </w:rPr>
        <w:t>acquire</w:t>
      </w:r>
      <w:r>
        <w:rPr>
          <w:rFonts w:ascii="Arial" w:hAnsi="Arial" w:cs="Arial"/>
        </w:rPr>
        <w:t xml:space="preserve"> new behaviours and maintain motivation through observation, modelling, and reinforcement. Together, these theory insights form the foundation for the applied discussion in part B, where Bandura social learning theory is used to illustrate how psychology principal can enhance wellbeing in residential care settings. </w:t>
      </w:r>
    </w:p>
    <w:p w14:paraId="7E444380" w14:textId="77777777" w:rsidR="00C2029A" w:rsidRDefault="00DE59D7">
      <w:pPr>
        <w:spacing w:line="360" w:lineRule="auto"/>
        <w:rPr>
          <w:rFonts w:ascii="Arial" w:hAnsi="Arial" w:cs="Arial"/>
          <w:b/>
          <w:bCs/>
        </w:rPr>
      </w:pPr>
      <w:r>
        <w:rPr>
          <w:rFonts w:ascii="Arial" w:hAnsi="Arial" w:cs="Arial"/>
          <w:b/>
          <w:bCs/>
        </w:rPr>
        <w:t>2. Applying Social Learning Theory to Improve Wellbeing</w:t>
      </w:r>
    </w:p>
    <w:p w14:paraId="7E444381" w14:textId="77777777" w:rsidR="00C2029A" w:rsidRDefault="00DE59D7">
      <w:pPr>
        <w:spacing w:line="360" w:lineRule="auto"/>
        <w:rPr>
          <w:rFonts w:ascii="Arial" w:hAnsi="Arial" w:cs="Arial"/>
        </w:rPr>
      </w:pPr>
      <w:r>
        <w:rPr>
          <w:rFonts w:ascii="Arial" w:hAnsi="Arial" w:cs="Arial"/>
        </w:rPr>
        <w:t>Bandura proposes that learning occurs through four processes: attention, retention, reproduction, and motivation. These processes remain active across the lifespan and can be used to support older adults’ wellbeing. In residential care, older adults frequently observe staff and peers, making the environment ideal for modelling positive behaviours.</w:t>
      </w:r>
    </w:p>
    <w:p w14:paraId="7E444382" w14:textId="77777777" w:rsidR="00C2029A" w:rsidRDefault="00DE59D7">
      <w:pPr>
        <w:spacing w:line="360" w:lineRule="auto"/>
      </w:pPr>
      <w:r>
        <w:rPr>
          <w:rFonts w:ascii="Arial" w:hAnsi="Arial" w:cs="Arial"/>
        </w:rPr>
        <w:lastRenderedPageBreak/>
        <w:t>A central concept is self</w:t>
      </w:r>
      <w:r>
        <w:rPr>
          <w:rFonts w:ascii="Arial" w:hAnsi="Arial" w:cs="Arial"/>
        </w:rPr>
        <w:noBreakHyphen/>
        <w:t>efficacy, which influences how individuals approach challenges, manage health conditions, and engage socially. Higher self</w:t>
      </w:r>
      <w:r>
        <w:rPr>
          <w:rFonts w:ascii="Arial" w:hAnsi="Arial" w:cs="Arial"/>
        </w:rPr>
        <w:noBreakHyphen/>
        <w:t>efficacy is associated with better</w:t>
      </w:r>
      <w:r>
        <w:t xml:space="preserve"> </w:t>
      </w:r>
      <w:r>
        <w:rPr>
          <w:rFonts w:ascii="Arial" w:hAnsi="Arial" w:cs="Arial"/>
        </w:rPr>
        <w:t>emotional wellbeing and greater participation in activities. Staff can strengthen self</w:t>
      </w:r>
      <w:r>
        <w:rPr>
          <w:rFonts w:ascii="Arial" w:hAnsi="Arial" w:cs="Arial"/>
        </w:rPr>
        <w:noBreakHyphen/>
        <w:t>efficacy by demonstrating tasks, offering encouragement, and creating opportunities for small successes.</w:t>
      </w:r>
    </w:p>
    <w:p w14:paraId="7E444383" w14:textId="77777777" w:rsidR="00C2029A" w:rsidRDefault="00DE59D7">
      <w:pPr>
        <w:spacing w:line="360" w:lineRule="auto"/>
        <w:rPr>
          <w:rFonts w:ascii="Arial" w:hAnsi="Arial" w:cs="Arial"/>
        </w:rPr>
      </w:pPr>
      <w:r>
        <w:rPr>
          <w:rFonts w:ascii="Arial" w:hAnsi="Arial" w:cs="Arial"/>
        </w:rPr>
        <w:t>Group activities such as exercise classes, reminiscence sessions, or creative workshops allow residents to observe peers successfully completing tasks. This vicarious experience reduces anxiety and increases motivation. Staff can further support learning by breaking tasks into manageable steps, demonstrating techniques, and providing positive reinforcement.</w:t>
      </w:r>
    </w:p>
    <w:p w14:paraId="7E444384" w14:textId="77777777" w:rsidR="00C2029A" w:rsidRDefault="00DE59D7">
      <w:pPr>
        <w:spacing w:line="360" w:lineRule="auto"/>
        <w:rPr>
          <w:rFonts w:ascii="Arial" w:hAnsi="Arial" w:cs="Arial"/>
          <w:b/>
          <w:bCs/>
        </w:rPr>
      </w:pPr>
      <w:r>
        <w:rPr>
          <w:rFonts w:ascii="Arial" w:hAnsi="Arial" w:cs="Arial"/>
          <w:b/>
          <w:bCs/>
        </w:rPr>
        <w:t>3. Case Scenario: Building Confidence After a Fall</w:t>
      </w:r>
    </w:p>
    <w:p w14:paraId="7E444385" w14:textId="77777777" w:rsidR="00C2029A" w:rsidRDefault="00DE59D7">
      <w:pPr>
        <w:spacing w:line="360" w:lineRule="auto"/>
        <w:rPr>
          <w:rFonts w:ascii="Arial" w:hAnsi="Arial" w:cs="Arial"/>
        </w:rPr>
      </w:pPr>
      <w:r>
        <w:rPr>
          <w:rFonts w:ascii="Arial" w:hAnsi="Arial" w:cs="Arial"/>
        </w:rPr>
        <w:t>Mrs. Chavez, aged 79, recently moved into the care home after a fall that resulted in reduced mobility and confidence. She avoids group activities and expresses fear of falling again.</w:t>
      </w:r>
    </w:p>
    <w:p w14:paraId="7E444386" w14:textId="77777777" w:rsidR="00C2029A" w:rsidRDefault="00DE59D7">
      <w:pPr>
        <w:spacing w:line="360" w:lineRule="auto"/>
        <w:rPr>
          <w:rFonts w:ascii="Arial" w:hAnsi="Arial" w:cs="Arial"/>
        </w:rPr>
      </w:pPr>
      <w:r>
        <w:rPr>
          <w:rFonts w:ascii="Arial" w:hAnsi="Arial" w:cs="Arial"/>
        </w:rPr>
        <w:t>A support worker invites her to observe a small group participating in a chair</w:t>
      </w:r>
      <w:r>
        <w:rPr>
          <w:rFonts w:ascii="Arial" w:hAnsi="Arial" w:cs="Arial"/>
        </w:rPr>
        <w:noBreakHyphen/>
        <w:t>based exercise session. Mrs. Chavez watches as another resident with similar mobility issues completes the exercises with staff support. Seeing someone like herself succeed captures her attention and reduces her anxiety.</w:t>
      </w:r>
    </w:p>
    <w:p w14:paraId="7E444387" w14:textId="77777777" w:rsidR="00C2029A" w:rsidRDefault="00DE59D7">
      <w:pPr>
        <w:spacing w:line="360" w:lineRule="auto"/>
        <w:rPr>
          <w:rFonts w:ascii="Arial" w:hAnsi="Arial" w:cs="Arial"/>
        </w:rPr>
      </w:pPr>
      <w:r>
        <w:rPr>
          <w:rFonts w:ascii="Arial" w:hAnsi="Arial" w:cs="Arial"/>
        </w:rPr>
        <w:t>The support worker then demonstrates a simple seated movement and encourages Mrs. Chavez to try it. With reassurance and step</w:t>
      </w:r>
      <w:r>
        <w:rPr>
          <w:rFonts w:ascii="Arial" w:hAnsi="Arial" w:cs="Arial"/>
        </w:rPr>
        <w:noBreakHyphen/>
        <w:t>by</w:t>
      </w:r>
      <w:r>
        <w:rPr>
          <w:rFonts w:ascii="Arial" w:hAnsi="Arial" w:cs="Arial"/>
        </w:rPr>
        <w:noBreakHyphen/>
        <w:t>step guidance, she completes the exercise. Staff compliment her effort, reinforcing her sense of achievement. Over time, she joins the group sessions, improving both her mobility and confidence.</w:t>
      </w:r>
    </w:p>
    <w:p w14:paraId="7E444388" w14:textId="77777777" w:rsidR="00C2029A" w:rsidRDefault="00DE59D7">
      <w:pPr>
        <w:spacing w:line="360" w:lineRule="auto"/>
        <w:rPr>
          <w:rFonts w:ascii="Arial" w:hAnsi="Arial" w:cs="Arial"/>
        </w:rPr>
      </w:pPr>
      <w:r>
        <w:rPr>
          <w:rFonts w:ascii="Arial" w:hAnsi="Arial" w:cs="Arial"/>
        </w:rPr>
        <w:t>This scenario illustrates how observational learning and positive reinforcement can improve self</w:t>
      </w:r>
      <w:r>
        <w:rPr>
          <w:rFonts w:ascii="Arial" w:hAnsi="Arial" w:cs="Arial"/>
        </w:rPr>
        <w:noBreakHyphen/>
        <w:t>efficacy and wellbeing.</w:t>
      </w:r>
    </w:p>
    <w:p w14:paraId="7E444389" w14:textId="77777777" w:rsidR="00C2029A" w:rsidRDefault="00DE59D7">
      <w:pPr>
        <w:spacing w:line="360" w:lineRule="auto"/>
        <w:rPr>
          <w:rFonts w:ascii="Arial" w:hAnsi="Arial" w:cs="Arial"/>
          <w:b/>
          <w:bCs/>
        </w:rPr>
      </w:pPr>
      <w:r>
        <w:rPr>
          <w:rFonts w:ascii="Arial" w:hAnsi="Arial" w:cs="Arial"/>
          <w:b/>
          <w:bCs/>
        </w:rPr>
        <w:t>4. Challenge: Cognitive Decline and Reduced Learning Capacity</w:t>
      </w:r>
    </w:p>
    <w:p w14:paraId="7E44438A" w14:textId="77777777" w:rsidR="00C2029A" w:rsidRDefault="00DE59D7">
      <w:pPr>
        <w:spacing w:line="360" w:lineRule="auto"/>
        <w:rPr>
          <w:rFonts w:ascii="Arial" w:hAnsi="Arial" w:cs="Arial"/>
        </w:rPr>
      </w:pPr>
      <w:r>
        <w:rPr>
          <w:rFonts w:ascii="Arial" w:hAnsi="Arial" w:cs="Arial"/>
        </w:rPr>
        <w:t>A key challenge in applying Social Learning Theory is that some older adults experience cognitive decline or dementia, which can affect attention, memory, and the ability to imitate behaviours. These changes may limit the effectiveness of observational learning. Additionally, some residents may lack motivation due to depression, grief, or adjustment difficulties.</w:t>
      </w:r>
    </w:p>
    <w:p w14:paraId="7E44438B" w14:textId="77777777" w:rsidR="00C2029A" w:rsidRDefault="00DE59D7">
      <w:pPr>
        <w:spacing w:line="360" w:lineRule="auto"/>
        <w:rPr>
          <w:rFonts w:ascii="Arial" w:hAnsi="Arial" w:cs="Arial"/>
          <w:b/>
          <w:bCs/>
        </w:rPr>
      </w:pPr>
      <w:r>
        <w:rPr>
          <w:rFonts w:ascii="Arial" w:hAnsi="Arial" w:cs="Arial"/>
          <w:b/>
          <w:bCs/>
        </w:rPr>
        <w:t>5. Strategy to Overcome the Challenge</w:t>
      </w:r>
    </w:p>
    <w:p w14:paraId="7E44438C" w14:textId="77777777" w:rsidR="00C2029A" w:rsidRDefault="00DE59D7">
      <w:pPr>
        <w:spacing w:line="360" w:lineRule="auto"/>
        <w:rPr>
          <w:rFonts w:ascii="Arial" w:hAnsi="Arial" w:cs="Arial"/>
        </w:rPr>
      </w:pPr>
      <w:r>
        <w:rPr>
          <w:rFonts w:ascii="Arial" w:hAnsi="Arial" w:cs="Arial"/>
        </w:rPr>
        <w:lastRenderedPageBreak/>
        <w:t>A practical strategy is to use individualised modelling and simplified, repeated demonstrations. Staff can break tasks into smaller steps, use visual keys, and repeat demonstrations as needed. One</w:t>
      </w:r>
      <w:r>
        <w:rPr>
          <w:rFonts w:ascii="Arial" w:hAnsi="Arial" w:cs="Arial"/>
        </w:rPr>
        <w:noBreakHyphen/>
        <w:t>to</w:t>
      </w:r>
      <w:r>
        <w:rPr>
          <w:rFonts w:ascii="Arial" w:hAnsi="Arial" w:cs="Arial"/>
        </w:rPr>
        <w:noBreakHyphen/>
        <w:t>one modelling reduces distractions and allows staff to tailor support to the resident’s cognitive level.</w:t>
      </w:r>
    </w:p>
    <w:p w14:paraId="7E44438D" w14:textId="77777777" w:rsidR="00C2029A" w:rsidRDefault="00DE59D7">
      <w:pPr>
        <w:spacing w:line="360" w:lineRule="auto"/>
        <w:rPr>
          <w:rFonts w:ascii="Arial" w:hAnsi="Arial" w:cs="Arial"/>
        </w:rPr>
      </w:pPr>
      <w:r>
        <w:rPr>
          <w:rFonts w:ascii="Arial" w:hAnsi="Arial" w:cs="Arial"/>
        </w:rPr>
        <w:t>Combining modelling with verbal reassurance, tactile prompts, and consistent routines can strengthen learning even when memory is impaired. Incorporating personal interests can also increase motivation and engagement.</w:t>
      </w:r>
    </w:p>
    <w:p w14:paraId="7E44438E" w14:textId="77777777" w:rsidR="00C2029A" w:rsidRDefault="00DE59D7">
      <w:pPr>
        <w:spacing w:line="360" w:lineRule="auto"/>
        <w:rPr>
          <w:rFonts w:ascii="Arial" w:hAnsi="Arial" w:cs="Arial"/>
          <w:b/>
          <w:bCs/>
        </w:rPr>
      </w:pPr>
      <w:r>
        <w:rPr>
          <w:rFonts w:ascii="Arial" w:hAnsi="Arial" w:cs="Arial"/>
          <w:b/>
          <w:bCs/>
        </w:rPr>
        <w:t>6. Conclusion</w:t>
      </w:r>
    </w:p>
    <w:p w14:paraId="7E44438F" w14:textId="77777777" w:rsidR="00C2029A" w:rsidRDefault="00DE59D7">
      <w:pPr>
        <w:spacing w:line="360" w:lineRule="auto"/>
        <w:rPr>
          <w:rFonts w:ascii="Arial" w:hAnsi="Arial" w:cs="Arial"/>
        </w:rPr>
      </w:pPr>
      <w:r>
        <w:rPr>
          <w:rFonts w:ascii="Arial" w:hAnsi="Arial" w:cs="Arial"/>
        </w:rPr>
        <w:t>Bandura’s Social Learning Theory provides a valuable framework for enhancing psychological wellbeing in residential care. By using modelling, encouragement, and opportunities for mastery, staff can strengthen residents’ confidence and engagement. While cognitive decline presents challenges, these can be addressed through personalised modelling and supportive routines. Applying this theory thoughtfully contributes to a more empowering and wellbeing</w:t>
      </w:r>
      <w:r>
        <w:rPr>
          <w:rFonts w:ascii="Arial" w:hAnsi="Arial" w:cs="Arial"/>
        </w:rPr>
        <w:noBreakHyphen/>
        <w:t>focused care environment.</w:t>
      </w:r>
    </w:p>
    <w:p w14:paraId="7E444390" w14:textId="77777777" w:rsidR="00C2029A" w:rsidRDefault="00C2029A">
      <w:pPr>
        <w:spacing w:line="360" w:lineRule="auto"/>
      </w:pPr>
    </w:p>
    <w:p w14:paraId="7E444391" w14:textId="77777777" w:rsidR="00C2029A" w:rsidRDefault="00C2029A">
      <w:pPr>
        <w:spacing w:line="360" w:lineRule="auto"/>
      </w:pPr>
    </w:p>
    <w:p w14:paraId="7E444392" w14:textId="77777777" w:rsidR="00C2029A" w:rsidRDefault="00C2029A">
      <w:pPr>
        <w:spacing w:line="360" w:lineRule="auto"/>
      </w:pPr>
    </w:p>
    <w:p w14:paraId="7E444393" w14:textId="77777777" w:rsidR="00C2029A" w:rsidRDefault="00C2029A">
      <w:pPr>
        <w:spacing w:line="360" w:lineRule="auto"/>
      </w:pPr>
    </w:p>
    <w:p w14:paraId="7E444394" w14:textId="77777777" w:rsidR="00C2029A" w:rsidRDefault="00C2029A">
      <w:pPr>
        <w:spacing w:line="360" w:lineRule="auto"/>
      </w:pPr>
    </w:p>
    <w:p w14:paraId="7E444395" w14:textId="77777777" w:rsidR="00C2029A" w:rsidRDefault="00C2029A">
      <w:pPr>
        <w:spacing w:line="360" w:lineRule="auto"/>
      </w:pPr>
    </w:p>
    <w:p w14:paraId="7E444396" w14:textId="77777777" w:rsidR="00C2029A" w:rsidRDefault="00C2029A">
      <w:pPr>
        <w:spacing w:line="360" w:lineRule="auto"/>
      </w:pPr>
    </w:p>
    <w:p w14:paraId="7E444397" w14:textId="77777777" w:rsidR="00C2029A" w:rsidRDefault="00C2029A">
      <w:pPr>
        <w:spacing w:line="360" w:lineRule="auto"/>
      </w:pPr>
    </w:p>
    <w:p w14:paraId="7E444398" w14:textId="77777777" w:rsidR="00C2029A" w:rsidRDefault="00C2029A">
      <w:pPr>
        <w:spacing w:line="360" w:lineRule="auto"/>
      </w:pPr>
    </w:p>
    <w:p w14:paraId="7E444399" w14:textId="77777777" w:rsidR="00C2029A" w:rsidRDefault="00C2029A">
      <w:pPr>
        <w:spacing w:line="360" w:lineRule="auto"/>
      </w:pPr>
    </w:p>
    <w:p w14:paraId="7E44439A" w14:textId="77777777" w:rsidR="00C2029A" w:rsidRDefault="00C2029A">
      <w:pPr>
        <w:spacing w:line="360" w:lineRule="auto"/>
      </w:pPr>
    </w:p>
    <w:p w14:paraId="7E44439B" w14:textId="77777777" w:rsidR="00C2029A" w:rsidRDefault="00C2029A">
      <w:pPr>
        <w:spacing w:line="360" w:lineRule="auto"/>
      </w:pPr>
    </w:p>
    <w:p w14:paraId="7E44439C" w14:textId="77777777" w:rsidR="00C2029A" w:rsidRDefault="00C2029A">
      <w:pPr>
        <w:spacing w:line="360" w:lineRule="auto"/>
      </w:pPr>
    </w:p>
    <w:p w14:paraId="7E44439D" w14:textId="77777777" w:rsidR="00C2029A" w:rsidRDefault="00C2029A">
      <w:pPr>
        <w:spacing w:line="360" w:lineRule="auto"/>
      </w:pPr>
    </w:p>
    <w:p w14:paraId="7E44439E" w14:textId="77777777" w:rsidR="00C2029A" w:rsidRDefault="00C2029A">
      <w:pPr>
        <w:spacing w:line="360" w:lineRule="auto"/>
      </w:pPr>
    </w:p>
    <w:p w14:paraId="7E44439F" w14:textId="77777777" w:rsidR="00C2029A" w:rsidRDefault="00C2029A">
      <w:pPr>
        <w:spacing w:line="360" w:lineRule="auto"/>
      </w:pPr>
    </w:p>
    <w:p w14:paraId="7E4443A0" w14:textId="77777777" w:rsidR="00C2029A" w:rsidRDefault="00C2029A">
      <w:pPr>
        <w:spacing w:line="360" w:lineRule="auto"/>
      </w:pPr>
    </w:p>
    <w:p w14:paraId="7E4443A1" w14:textId="77777777" w:rsidR="00C2029A" w:rsidRDefault="00DE59D7">
      <w:pPr>
        <w:spacing w:line="360" w:lineRule="auto"/>
        <w:rPr>
          <w:rFonts w:ascii="Arial" w:hAnsi="Arial" w:cs="Arial"/>
          <w:b/>
          <w:bCs/>
        </w:rPr>
      </w:pPr>
      <w:r>
        <w:rPr>
          <w:rFonts w:ascii="Arial" w:hAnsi="Arial" w:cs="Arial"/>
          <w:b/>
          <w:bCs/>
        </w:rPr>
        <w:t xml:space="preserve">  References:</w:t>
      </w:r>
    </w:p>
    <w:p w14:paraId="7E4443A2" w14:textId="77777777" w:rsidR="00C2029A" w:rsidRDefault="00DE59D7">
      <w:pPr>
        <w:spacing w:line="360" w:lineRule="auto"/>
      </w:pPr>
      <w:r>
        <w:rPr>
          <w:rFonts w:ascii="Arial" w:hAnsi="Arial" w:cs="Arial"/>
        </w:rPr>
        <w:t xml:space="preserve">Bandura, A. (1977) </w:t>
      </w:r>
      <w:r>
        <w:rPr>
          <w:rFonts w:ascii="Arial" w:hAnsi="Arial" w:cs="Arial"/>
          <w:i/>
          <w:iCs/>
        </w:rPr>
        <w:t>Social Learning Theory</w:t>
      </w:r>
      <w:r>
        <w:rPr>
          <w:rFonts w:ascii="Arial" w:hAnsi="Arial" w:cs="Arial"/>
        </w:rPr>
        <w:t>. Englewood Cliffs, NJ: Prentice-Hall.</w:t>
      </w:r>
    </w:p>
    <w:p w14:paraId="7E4443A3" w14:textId="77777777" w:rsidR="00C2029A" w:rsidRDefault="00DE59D7">
      <w:pPr>
        <w:spacing w:line="360" w:lineRule="auto"/>
      </w:pPr>
      <w:r>
        <w:rPr>
          <w:rFonts w:ascii="Arial" w:hAnsi="Arial" w:cs="Arial"/>
        </w:rPr>
        <w:t xml:space="preserve"> Bandura, A. (1997) </w:t>
      </w:r>
      <w:r>
        <w:rPr>
          <w:rFonts w:ascii="Arial" w:hAnsi="Arial" w:cs="Arial"/>
          <w:i/>
          <w:iCs/>
        </w:rPr>
        <w:t>Self-Efficacy: The Exercise of Control</w:t>
      </w:r>
      <w:r>
        <w:rPr>
          <w:rFonts w:ascii="Arial" w:hAnsi="Arial" w:cs="Arial"/>
        </w:rPr>
        <w:t>. New York: W.H. Freeman.</w:t>
      </w:r>
    </w:p>
    <w:p w14:paraId="7E4443A4" w14:textId="77777777" w:rsidR="00C2029A" w:rsidRDefault="00DE59D7">
      <w:pPr>
        <w:spacing w:line="360" w:lineRule="auto"/>
      </w:pPr>
      <w:r>
        <w:rPr>
          <w:rFonts w:ascii="Arial" w:hAnsi="Arial" w:cs="Arial"/>
        </w:rPr>
        <w:t xml:space="preserve"> Gajewski, A. and Falkenstein, M. (2015) ‘Training-Induced Improvement of Response Selection and Processing Speed in Older Adults’, </w:t>
      </w:r>
      <w:r>
        <w:rPr>
          <w:rFonts w:ascii="Arial" w:hAnsi="Arial" w:cs="Arial"/>
          <w:i/>
          <w:iCs/>
        </w:rPr>
        <w:t>Psychology and Aging</w:t>
      </w:r>
      <w:r>
        <w:rPr>
          <w:rFonts w:ascii="Arial" w:hAnsi="Arial" w:cs="Arial"/>
        </w:rPr>
        <w:t xml:space="preserve">, 30(2), pp. 194–202. </w:t>
      </w:r>
    </w:p>
    <w:p w14:paraId="7E4443A5" w14:textId="77777777" w:rsidR="00C2029A" w:rsidRDefault="00DE59D7">
      <w:pPr>
        <w:spacing w:line="360" w:lineRule="auto"/>
      </w:pPr>
      <w:r>
        <w:rPr>
          <w:rFonts w:ascii="Arial" w:hAnsi="Arial" w:cs="Arial"/>
        </w:rPr>
        <w:t xml:space="preserve">Vygotsky, L.S. (1978) </w:t>
      </w:r>
      <w:r>
        <w:rPr>
          <w:rFonts w:ascii="Arial" w:hAnsi="Arial" w:cs="Arial"/>
          <w:i/>
          <w:iCs/>
        </w:rPr>
        <w:t>Mind in Society: The Development of Higher Psychological Processes</w:t>
      </w:r>
      <w:r>
        <w:rPr>
          <w:rFonts w:ascii="Arial" w:hAnsi="Arial" w:cs="Arial"/>
        </w:rPr>
        <w:t xml:space="preserve">. </w:t>
      </w:r>
    </w:p>
    <w:p w14:paraId="7E4443A6" w14:textId="77777777" w:rsidR="00C2029A" w:rsidRDefault="00DE59D7">
      <w:pPr>
        <w:spacing w:line="360" w:lineRule="auto"/>
      </w:pPr>
      <w:r>
        <w:rPr>
          <w:rFonts w:ascii="Arial" w:hAnsi="Arial" w:cs="Arial"/>
        </w:rPr>
        <w:t xml:space="preserve">Chen, Y., Hicks, A. and While, A. (2021) ‘Self-efficacy and older adults’ health-related behaviours: A systematic review’, </w:t>
      </w:r>
      <w:r>
        <w:rPr>
          <w:rFonts w:ascii="Arial" w:hAnsi="Arial" w:cs="Arial"/>
          <w:i/>
          <w:iCs/>
        </w:rPr>
        <w:t>Journal of Advanced Nursing</w:t>
      </w:r>
      <w:r>
        <w:rPr>
          <w:rFonts w:ascii="Arial" w:hAnsi="Arial" w:cs="Arial"/>
        </w:rPr>
        <w:t>, 77(4), pp. 1765–1780.</w:t>
      </w:r>
    </w:p>
    <w:p w14:paraId="7E4443A7" w14:textId="77777777" w:rsidR="00C2029A" w:rsidRDefault="00DE59D7">
      <w:pPr>
        <w:spacing w:line="360" w:lineRule="auto"/>
      </w:pPr>
      <w:r>
        <w:rPr>
          <w:rFonts w:ascii="Arial" w:hAnsi="Arial" w:cs="Arial"/>
        </w:rPr>
        <w:t xml:space="preserve">Resnick, B. and Nahm, E.S. (2019) ‘The impact of self-efficacy in older adults’, </w:t>
      </w:r>
      <w:r>
        <w:rPr>
          <w:rFonts w:ascii="Arial" w:hAnsi="Arial" w:cs="Arial"/>
          <w:i/>
          <w:iCs/>
        </w:rPr>
        <w:t>Geriatric Nursing</w:t>
      </w:r>
      <w:r>
        <w:rPr>
          <w:rFonts w:ascii="Arial" w:hAnsi="Arial" w:cs="Arial"/>
        </w:rPr>
        <w:t>, 40(1), pp. 17–23.</w:t>
      </w:r>
    </w:p>
    <w:p w14:paraId="7E4443A8" w14:textId="77777777" w:rsidR="00C2029A" w:rsidRDefault="00DE59D7">
      <w:pPr>
        <w:spacing w:line="360" w:lineRule="auto"/>
      </w:pPr>
      <w:r>
        <w:rPr>
          <w:rFonts w:ascii="Arial" w:hAnsi="Arial" w:cs="Arial"/>
        </w:rPr>
        <w:t xml:space="preserve">Schwarzer, R. and Warner, L.M. (2020) ‘Perceived self-efficacy and its relationship to resilience in older adults’, </w:t>
      </w:r>
      <w:r>
        <w:rPr>
          <w:rFonts w:ascii="Arial" w:hAnsi="Arial" w:cs="Arial"/>
          <w:i/>
          <w:iCs/>
        </w:rPr>
        <w:t>European Psychologist</w:t>
      </w:r>
      <w:r>
        <w:rPr>
          <w:rFonts w:ascii="Arial" w:hAnsi="Arial" w:cs="Arial"/>
        </w:rPr>
        <w:t>, 25(3), pp. 190–202.</w:t>
      </w:r>
    </w:p>
    <w:p w14:paraId="7E4443A9" w14:textId="77777777" w:rsidR="00C2029A" w:rsidRDefault="00DE59D7">
      <w:pPr>
        <w:spacing w:line="360" w:lineRule="auto"/>
      </w:pPr>
      <w:r>
        <w:rPr>
          <w:rFonts w:ascii="Arial" w:hAnsi="Arial" w:cs="Arial"/>
        </w:rPr>
        <w:t xml:space="preserve">Brownie, S. and Nancarrow, S. (2019) ‘Effects of person-centred care on residents and staff in aged-care facilities’, </w:t>
      </w:r>
      <w:r>
        <w:rPr>
          <w:rFonts w:ascii="Arial" w:hAnsi="Arial" w:cs="Arial"/>
          <w:i/>
          <w:iCs/>
        </w:rPr>
        <w:t>Clinical Interventions in Aging</w:t>
      </w:r>
      <w:r>
        <w:rPr>
          <w:rFonts w:ascii="Arial" w:hAnsi="Arial" w:cs="Arial"/>
        </w:rPr>
        <w:t>, 14, pp. 1–12.</w:t>
      </w:r>
    </w:p>
    <w:p w14:paraId="7E4443AA" w14:textId="77777777" w:rsidR="00C2029A" w:rsidRDefault="00DE59D7">
      <w:pPr>
        <w:spacing w:line="360" w:lineRule="auto"/>
      </w:pPr>
      <w:r>
        <w:rPr>
          <w:rFonts w:ascii="Arial" w:hAnsi="Arial" w:cs="Arial"/>
        </w:rPr>
        <w:t xml:space="preserve">Wang, J. and Zhao, X. (2020) ‘Promoting wellbeing in residential care: The role of social participation’, </w:t>
      </w:r>
      <w:r>
        <w:rPr>
          <w:rFonts w:ascii="Arial" w:hAnsi="Arial" w:cs="Arial"/>
          <w:i/>
          <w:iCs/>
        </w:rPr>
        <w:t>International Journal of Older People Nursing</w:t>
      </w:r>
      <w:r>
        <w:rPr>
          <w:rFonts w:ascii="Arial" w:hAnsi="Arial" w:cs="Arial"/>
        </w:rPr>
        <w:t>, 15(3), e12310.</w:t>
      </w:r>
    </w:p>
    <w:p w14:paraId="7E4443AB" w14:textId="77777777" w:rsidR="00C2029A" w:rsidRDefault="00C2029A">
      <w:pPr>
        <w:spacing w:line="360" w:lineRule="auto"/>
      </w:pPr>
    </w:p>
    <w:p w14:paraId="7E4443AC" w14:textId="77777777" w:rsidR="00C2029A" w:rsidRDefault="00C2029A"/>
    <w:sectPr w:rsidR="00C2029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9E1FD" w14:textId="77777777" w:rsidR="00BA4D94" w:rsidRDefault="00BA4D94">
      <w:pPr>
        <w:spacing w:after="0" w:line="240" w:lineRule="auto"/>
      </w:pPr>
      <w:r>
        <w:separator/>
      </w:r>
    </w:p>
  </w:endnote>
  <w:endnote w:type="continuationSeparator" w:id="0">
    <w:p w14:paraId="57575399" w14:textId="77777777" w:rsidR="00BA4D94" w:rsidRDefault="00BA4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3996C" w14:textId="77777777" w:rsidR="00BA4D94" w:rsidRDefault="00BA4D94">
      <w:pPr>
        <w:spacing w:after="0" w:line="240" w:lineRule="auto"/>
      </w:pPr>
      <w:r>
        <w:rPr>
          <w:color w:val="000000"/>
        </w:rPr>
        <w:separator/>
      </w:r>
    </w:p>
  </w:footnote>
  <w:footnote w:type="continuationSeparator" w:id="0">
    <w:p w14:paraId="496CAE3B" w14:textId="77777777" w:rsidR="00BA4D94" w:rsidRDefault="00BA4D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8253D4"/>
    <w:multiLevelType w:val="multilevel"/>
    <w:tmpl w:val="65086AAA"/>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175997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29A"/>
    <w:rsid w:val="00165138"/>
    <w:rsid w:val="001D4EDE"/>
    <w:rsid w:val="00277958"/>
    <w:rsid w:val="002B2ACB"/>
    <w:rsid w:val="0037535F"/>
    <w:rsid w:val="0090230B"/>
    <w:rsid w:val="00BA4D94"/>
    <w:rsid w:val="00C2029A"/>
    <w:rsid w:val="00C4377B"/>
    <w:rsid w:val="00DE59D7"/>
    <w:rsid w:val="00E432DA"/>
    <w:rsid w:val="00EF4C9B"/>
    <w:rsid w:val="00F20ACA"/>
    <w:rsid w:val="00FB1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4434D"/>
  <w15:docId w15:val="{C1ADC871-AF91-4302-B7B0-B7CDE83D4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118d3f6eb4f43e0cd36ffb2fe4e70d88">
  <xsd:schema xmlns:xsd="http://www.w3.org/2001/XMLSchema" xmlns:xs="http://www.w3.org/2001/XMLSchema" xmlns:p="http://schemas.microsoft.com/office/2006/metadata/properties" xmlns:ns3="04d956d8-1ffd-4dba-87ce-03f615e16f58" targetNamespace="http://schemas.microsoft.com/office/2006/metadata/properties" ma:root="true" ma:fieldsID="8c7e6525494d47e1feec2e5fe9cf7c45"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8C20F42-3117-471A-8CA7-1757435734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D63E10-B96B-4CD5-9806-63C04D3C8B7F}">
  <ds:schemaRefs>
    <ds:schemaRef ds:uri="http://schemas.microsoft.com/office/2006/metadata/properties"/>
    <ds:schemaRef ds:uri="http://schemas.microsoft.com/office/infopath/2007/PartnerControls"/>
    <ds:schemaRef ds:uri="04d956d8-1ffd-4dba-87ce-03f615e16f58"/>
  </ds:schemaRefs>
</ds:datastoreItem>
</file>

<file path=customXml/itemProps3.xml><?xml version="1.0" encoding="utf-8"?>
<ds:datastoreItem xmlns:ds="http://schemas.openxmlformats.org/officeDocument/2006/customXml" ds:itemID="{C6FF8F34-7763-45BC-881B-6A10E10B0F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1626</Words>
  <Characters>10183</Characters>
  <Application>Microsoft Office Word</Application>
  <DocSecurity>0</DocSecurity>
  <Lines>203</Lines>
  <Paragraphs>65</Paragraphs>
  <ScaleCrop>false</ScaleCrop>
  <Company/>
  <LinksUpToDate>false</LinksUpToDate>
  <CharactersWithSpaces>11744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Chavez Sifuentes (2437214)</dc:creator>
  <dc:description/>
  <cp:lastModifiedBy>Karina Chavez Sifuentes (2437214)</cp:lastModifiedBy>
  <cp:revision>6</cp:revision>
  <dcterms:created xsi:type="dcterms:W3CDTF">2026-04-11T11:35:00Z</dcterms:created>
  <dcterms:modified xsi:type="dcterms:W3CDTF">2026-04-11T11:53:00Z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