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838"/>
        <w:gridCol w:w="6822"/>
      </w:tblGrid>
      <w:tr w:rsidR="00CC4B88" w:rsidRPr="00CC4B88" w:rsidTr="00CC4B88">
        <w:tc>
          <w:tcPr>
            <w:tcW w:w="1838"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bookmarkStart w:id="0" w:name="_GoBack"/>
            <w:r w:rsidRPr="00CC4B88">
              <w:rPr>
                <w:rFonts w:cs="Arial"/>
                <w:szCs w:val="22"/>
              </w:rPr>
              <w:t>Module Code</w:t>
            </w:r>
          </w:p>
        </w:tc>
        <w:tc>
          <w:tcPr>
            <w:tcW w:w="682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ECYW7003</w:t>
            </w:r>
          </w:p>
        </w:tc>
      </w:tr>
      <w:tr w:rsidR="00CC4B88" w:rsidRPr="00CC4B88" w:rsidTr="00CC4B88">
        <w:tc>
          <w:tcPr>
            <w:tcW w:w="1838"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Title</w:t>
            </w:r>
          </w:p>
        </w:tc>
        <w:tc>
          <w:tcPr>
            <w:tcW w:w="682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Supervision, Leadership and Management for Professionals</w:t>
            </w:r>
          </w:p>
        </w:tc>
      </w:tr>
      <w:tr w:rsidR="00CC4B88" w:rsidRPr="00CC4B88" w:rsidTr="00CC4B88">
        <w:tc>
          <w:tcPr>
            <w:tcW w:w="1838"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Date</w:t>
            </w:r>
          </w:p>
        </w:tc>
        <w:sdt>
          <w:sdtPr>
            <w:rPr>
              <w:rFonts w:cs="Arial"/>
              <w:szCs w:val="22"/>
            </w:rPr>
            <w:id w:val="-651374287"/>
            <w:placeholder>
              <w:docPart w:val="01678BF7451F4AADB57538F1B004DF20"/>
            </w:placeholder>
            <w:date w:fullDate="2020-03-04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04/03/2020</w:t>
                </w:r>
              </w:p>
            </w:tc>
          </w:sdtContent>
        </w:sdt>
      </w:tr>
      <w:tr w:rsidR="00CC4B88" w:rsidRPr="00CC4B88" w:rsidTr="00CC4B88">
        <w:tc>
          <w:tcPr>
            <w:tcW w:w="1838"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Level</w:t>
            </w:r>
          </w:p>
        </w:tc>
        <w:sdt>
          <w:sdtPr>
            <w:rPr>
              <w:rFonts w:cs="Arial"/>
              <w:szCs w:val="22"/>
            </w:rPr>
            <w:id w:val="-1131095555"/>
            <w:placeholder>
              <w:docPart w:val="2F68C0ABB9BB49368598D20F114D9AA2"/>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7</w:t>
                </w:r>
              </w:p>
            </w:tc>
          </w:sdtContent>
        </w:sdt>
      </w:tr>
      <w:tr w:rsidR="00CC4B88" w:rsidRPr="00CC4B88" w:rsidTr="00CC4B88">
        <w:tc>
          <w:tcPr>
            <w:tcW w:w="1838"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30</w:t>
            </w:r>
          </w:p>
        </w:tc>
      </w:tr>
      <w:tr w:rsidR="00CC4B88" w:rsidRPr="00CC4B88" w:rsidTr="00CC4B88">
        <w:tc>
          <w:tcPr>
            <w:tcW w:w="1838"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pStyle w:val="fixed"/>
              <w:ind w:left="0" w:firstLine="0"/>
              <w:rPr>
                <w:rFonts w:cs="Arial"/>
                <w:szCs w:val="22"/>
              </w:rPr>
            </w:pPr>
            <w:r w:rsidRPr="00CC4B88">
              <w:rPr>
                <w:rFonts w:cs="Arial"/>
                <w:szCs w:val="22"/>
              </w:rPr>
              <w:t>None</w:t>
            </w:r>
          </w:p>
        </w:tc>
      </w:tr>
    </w:tbl>
    <w:p w:rsidR="00CC4B88" w:rsidRPr="00CC4B88" w:rsidRDefault="00CC4B88" w:rsidP="00CC4B88">
      <w:pPr>
        <w:pBdr>
          <w:bottom w:val="single" w:sz="6" w:space="1" w:color="auto"/>
        </w:pBdr>
        <w:rPr>
          <w:rFonts w:cs="Arial"/>
        </w:rPr>
      </w:pPr>
    </w:p>
    <w:p w:rsidR="00CC4B88" w:rsidRPr="00CC4B88" w:rsidRDefault="00CC4B88" w:rsidP="00CC4B88">
      <w:pPr>
        <w:pStyle w:val="bullet"/>
        <w:overflowPunct/>
        <w:autoSpaceDE/>
        <w:adjustRightInd/>
        <w:spacing w:before="0"/>
        <w:ind w:left="0" w:firstLine="0"/>
        <w:rPr>
          <w:rFonts w:cs="Arial"/>
          <w:b/>
          <w:szCs w:val="22"/>
        </w:rPr>
      </w:pPr>
    </w:p>
    <w:p w:rsidR="00CC4B88" w:rsidRPr="00CC4B88" w:rsidRDefault="00CC4B88" w:rsidP="00CC4B88">
      <w:pPr>
        <w:pStyle w:val="bullet"/>
        <w:overflowPunct/>
        <w:autoSpaceDE/>
        <w:adjustRightInd/>
        <w:spacing w:before="0"/>
        <w:ind w:left="0" w:firstLine="0"/>
        <w:rPr>
          <w:rFonts w:cs="Arial"/>
          <w:b/>
          <w:szCs w:val="22"/>
        </w:rPr>
      </w:pPr>
      <w:r w:rsidRPr="00CC4B88">
        <w:rPr>
          <w:rFonts w:cs="Arial"/>
          <w:b/>
          <w:szCs w:val="22"/>
        </w:rPr>
        <w:t>AIM(S)</w:t>
      </w:r>
    </w:p>
    <w:p w:rsidR="00CC4B88" w:rsidRPr="00CC4B88" w:rsidRDefault="00CC4B88" w:rsidP="00CC4B88">
      <w:pPr>
        <w:pStyle w:val="bullet"/>
        <w:overflowPunct/>
        <w:autoSpaceDE/>
        <w:adjustRightInd/>
        <w:spacing w:before="0"/>
        <w:ind w:left="0" w:firstLine="0"/>
        <w:rPr>
          <w:rFonts w:cs="Arial"/>
          <w:b/>
          <w:szCs w:val="22"/>
        </w:rPr>
      </w:pPr>
    </w:p>
    <w:p w:rsidR="00CC4B88" w:rsidRPr="00CC4B88" w:rsidRDefault="00CC4B88" w:rsidP="00CC4B88">
      <w:pPr>
        <w:numPr>
          <w:ilvl w:val="0"/>
          <w:numId w:val="2"/>
        </w:numPr>
        <w:textAlignment w:val="auto"/>
        <w:rPr>
          <w:rFonts w:cs="Arial"/>
        </w:rPr>
      </w:pPr>
      <w:r w:rsidRPr="00CC4B88">
        <w:rPr>
          <w:rFonts w:cs="Arial"/>
        </w:rPr>
        <w:t>To provide students with appropriate skills, values and knowledge of supervising and supporting individuals undertaking professional practice placements.</w:t>
      </w:r>
    </w:p>
    <w:p w:rsidR="00CC4B88" w:rsidRPr="00CC4B88" w:rsidRDefault="00CC4B88" w:rsidP="00CC4B88">
      <w:pPr>
        <w:ind w:left="720"/>
        <w:rPr>
          <w:rFonts w:cs="Arial"/>
        </w:rPr>
      </w:pPr>
    </w:p>
    <w:p w:rsidR="00CC4B88" w:rsidRPr="00CC4B88" w:rsidRDefault="00CC4B88" w:rsidP="00CC4B88">
      <w:pPr>
        <w:numPr>
          <w:ilvl w:val="0"/>
          <w:numId w:val="3"/>
        </w:numPr>
        <w:overflowPunct/>
        <w:autoSpaceDE/>
        <w:adjustRightInd/>
        <w:textAlignment w:val="auto"/>
        <w:rPr>
          <w:rFonts w:cs="Arial"/>
        </w:rPr>
      </w:pPr>
      <w:r w:rsidRPr="00CC4B88">
        <w:rPr>
          <w:rFonts w:cs="Arial"/>
        </w:rPr>
        <w:t>To equip students with the in-depth skills, knowledge and understanding to develop approaches to leadership, management and project development.</w:t>
      </w:r>
    </w:p>
    <w:p w:rsidR="00CC4B88" w:rsidRPr="00CC4B88" w:rsidRDefault="00CC4B88" w:rsidP="00CC4B88">
      <w:pPr>
        <w:pStyle w:val="bullet"/>
        <w:overflowPunct/>
        <w:autoSpaceDE/>
        <w:adjustRightInd/>
        <w:spacing w:before="0"/>
        <w:ind w:left="0" w:firstLine="0"/>
        <w:rPr>
          <w:rFonts w:cs="Arial"/>
          <w:b/>
          <w:szCs w:val="22"/>
        </w:rPr>
      </w:pPr>
    </w:p>
    <w:p w:rsidR="00CC4B88" w:rsidRPr="00CC4B88" w:rsidRDefault="00CC4B88" w:rsidP="00CC4B88">
      <w:pPr>
        <w:pStyle w:val="bullet"/>
        <w:overflowPunct/>
        <w:autoSpaceDE/>
        <w:adjustRightInd/>
        <w:spacing w:before="0"/>
        <w:ind w:left="0" w:firstLine="0"/>
        <w:rPr>
          <w:rFonts w:cs="Arial"/>
          <w:b/>
          <w:szCs w:val="22"/>
        </w:rPr>
      </w:pPr>
      <w:r w:rsidRPr="00CC4B88">
        <w:rPr>
          <w:rFonts w:cs="Arial"/>
          <w:b/>
          <w:szCs w:val="22"/>
        </w:rPr>
        <w:t>LEARNING OUTCOMES</w:t>
      </w:r>
    </w:p>
    <w:p w:rsidR="00CC4B88" w:rsidRPr="00CC4B88" w:rsidRDefault="00CC4B88" w:rsidP="00CC4B88">
      <w:pPr>
        <w:pStyle w:val="bullet"/>
        <w:overflowPunct/>
        <w:autoSpaceDE/>
        <w:adjustRightInd/>
        <w:spacing w:before="0"/>
        <w:ind w:left="0" w:firstLine="0"/>
        <w:rPr>
          <w:rFonts w:cs="Arial"/>
          <w:b/>
          <w:szCs w:val="22"/>
        </w:rPr>
      </w:pPr>
    </w:p>
    <w:p w:rsidR="00CC4B88" w:rsidRPr="00CC4B88" w:rsidRDefault="00CC4B88" w:rsidP="00CC4B88">
      <w:pPr>
        <w:rPr>
          <w:rFonts w:cs="Arial"/>
        </w:rPr>
      </w:pPr>
      <w:r w:rsidRPr="00CC4B88">
        <w:rPr>
          <w:rFonts w:cs="Arial"/>
        </w:rPr>
        <w:t>Upon the successful completion of this module, the student should be able to:</w:t>
      </w:r>
    </w:p>
    <w:p w:rsidR="00CC4B88" w:rsidRPr="00CC4B88" w:rsidRDefault="00CC4B88" w:rsidP="00CC4B88">
      <w:pPr>
        <w:pStyle w:val="bullet"/>
        <w:numPr>
          <w:ilvl w:val="0"/>
          <w:numId w:val="1"/>
        </w:numPr>
        <w:overflowPunct/>
        <w:autoSpaceDE/>
        <w:adjustRightInd/>
        <w:spacing w:before="240"/>
        <w:textAlignment w:val="auto"/>
        <w:rPr>
          <w:rFonts w:cs="Arial"/>
          <w:szCs w:val="22"/>
        </w:rPr>
      </w:pPr>
      <w:r w:rsidRPr="00CC4B88">
        <w:rPr>
          <w:rFonts w:cs="Arial"/>
          <w:szCs w:val="22"/>
        </w:rPr>
        <w:t>Demonstrate in-depth applied planning and management of the role of effective supervision in the youth work workplace and in wider services for young people, and critically evaluate the role and function of effective supervision.</w:t>
      </w:r>
    </w:p>
    <w:p w:rsidR="00CC4B88" w:rsidRPr="00CC4B88" w:rsidRDefault="00CC4B88" w:rsidP="00CC4B88">
      <w:pPr>
        <w:pStyle w:val="bullet"/>
        <w:numPr>
          <w:ilvl w:val="0"/>
          <w:numId w:val="1"/>
        </w:numPr>
        <w:overflowPunct/>
        <w:autoSpaceDE/>
        <w:adjustRightInd/>
        <w:spacing w:before="240"/>
        <w:textAlignment w:val="auto"/>
        <w:rPr>
          <w:rFonts w:cs="Arial"/>
          <w:szCs w:val="22"/>
        </w:rPr>
      </w:pPr>
      <w:r w:rsidRPr="00CC4B88">
        <w:rPr>
          <w:rFonts w:cs="Arial"/>
          <w:szCs w:val="22"/>
        </w:rPr>
        <w:t>Locate theories of leadership and management within youth work and their application to practice.</w:t>
      </w:r>
    </w:p>
    <w:p w:rsidR="00CC4B88" w:rsidRPr="00CC4B88" w:rsidRDefault="00CC4B88" w:rsidP="00CC4B88">
      <w:pPr>
        <w:pStyle w:val="bullet"/>
        <w:numPr>
          <w:ilvl w:val="0"/>
          <w:numId w:val="1"/>
        </w:numPr>
        <w:overflowPunct/>
        <w:autoSpaceDE/>
        <w:adjustRightInd/>
        <w:spacing w:before="240"/>
        <w:textAlignment w:val="auto"/>
        <w:rPr>
          <w:rFonts w:cs="Arial"/>
          <w:szCs w:val="22"/>
        </w:rPr>
      </w:pPr>
      <w:r w:rsidRPr="00CC4B88">
        <w:rPr>
          <w:rFonts w:cs="Arial"/>
          <w:szCs w:val="22"/>
        </w:rPr>
        <w:t>Demonstrate in-depth understanding of the challenges associated with managing a public service within an increasingly challenging financial climate.</w:t>
      </w:r>
    </w:p>
    <w:p w:rsidR="00CC4B88" w:rsidRPr="00CC4B88" w:rsidRDefault="00CC4B88" w:rsidP="00CC4B88">
      <w:pPr>
        <w:numPr>
          <w:ilvl w:val="0"/>
          <w:numId w:val="1"/>
        </w:numPr>
        <w:spacing w:before="240"/>
        <w:ind w:left="709" w:hanging="425"/>
        <w:textAlignment w:val="auto"/>
        <w:rPr>
          <w:rFonts w:cs="Arial"/>
        </w:rPr>
      </w:pPr>
      <w:r w:rsidRPr="00CC4B88">
        <w:rPr>
          <w:rFonts w:cs="Arial"/>
        </w:rPr>
        <w:t>Organise their knowledge and learning through use of a range of information resources, and present their work appropriately.</w:t>
      </w:r>
    </w:p>
    <w:p w:rsidR="00CC4B88" w:rsidRPr="00CC4B88" w:rsidRDefault="00CC4B88" w:rsidP="00CC4B88">
      <w:pPr>
        <w:pStyle w:val="bullet"/>
        <w:overflowPunct/>
        <w:autoSpaceDE/>
        <w:adjustRightInd/>
        <w:spacing w:before="240"/>
        <w:ind w:left="284" w:firstLine="0"/>
        <w:rPr>
          <w:rFonts w:cs="Arial"/>
          <w:szCs w:val="22"/>
        </w:rPr>
      </w:pPr>
    </w:p>
    <w:p w:rsidR="00CC4B88" w:rsidRPr="00CC4B88" w:rsidRDefault="00CC4B88" w:rsidP="00CC4B88">
      <w:pPr>
        <w:pStyle w:val="fixed"/>
        <w:rPr>
          <w:rFonts w:cs="Arial"/>
          <w:szCs w:val="22"/>
        </w:rPr>
      </w:pPr>
      <w:r w:rsidRPr="00CC4B88">
        <w:rPr>
          <w:rFonts w:cs="Arial"/>
          <w:szCs w:val="22"/>
        </w:rPr>
        <w:t>INDICATIVE CONTENT</w:t>
      </w:r>
    </w:p>
    <w:p w:rsidR="00CC4B88" w:rsidRPr="00CC4B88" w:rsidRDefault="00CC4B88" w:rsidP="00CC4B88">
      <w:pPr>
        <w:pStyle w:val="fixed"/>
        <w:rPr>
          <w:rFonts w:cs="Arial"/>
          <w:szCs w:val="22"/>
        </w:rPr>
      </w:pPr>
    </w:p>
    <w:p w:rsidR="00CC4B88" w:rsidRPr="00CC4B88" w:rsidRDefault="00CC4B88" w:rsidP="00CC4B88">
      <w:pPr>
        <w:numPr>
          <w:ilvl w:val="0"/>
          <w:numId w:val="3"/>
        </w:numPr>
        <w:textAlignment w:val="auto"/>
        <w:rPr>
          <w:rFonts w:cs="Arial"/>
        </w:rPr>
      </w:pPr>
      <w:r w:rsidRPr="00CC4B88">
        <w:rPr>
          <w:rFonts w:cs="Arial"/>
        </w:rPr>
        <w:t>An outline of three key functions of supervision: formative, normative and restorative</w:t>
      </w:r>
    </w:p>
    <w:p w:rsidR="00CC4B88" w:rsidRPr="00CC4B88" w:rsidRDefault="00CC4B88" w:rsidP="00CC4B88">
      <w:pPr>
        <w:numPr>
          <w:ilvl w:val="0"/>
          <w:numId w:val="3"/>
        </w:numPr>
        <w:textAlignment w:val="auto"/>
        <w:rPr>
          <w:rFonts w:cs="Arial"/>
        </w:rPr>
      </w:pPr>
      <w:r w:rsidRPr="00CC4B88">
        <w:rPr>
          <w:rFonts w:cs="Arial"/>
        </w:rPr>
        <w:t>Exploration of important supervisory skills and a critical analysis of their impact on practice:</w:t>
      </w:r>
    </w:p>
    <w:p w:rsidR="00CC4B88" w:rsidRPr="00CC4B88" w:rsidRDefault="00CC4B88" w:rsidP="00CC4B88">
      <w:pPr>
        <w:numPr>
          <w:ilvl w:val="1"/>
          <w:numId w:val="3"/>
        </w:numPr>
        <w:textAlignment w:val="auto"/>
        <w:rPr>
          <w:rFonts w:cs="Arial"/>
        </w:rPr>
      </w:pPr>
      <w:r w:rsidRPr="00CC4B88">
        <w:rPr>
          <w:rFonts w:cs="Arial"/>
        </w:rPr>
        <w:t>non-verbal communication skills</w:t>
      </w:r>
    </w:p>
    <w:p w:rsidR="00CC4B88" w:rsidRPr="00CC4B88" w:rsidRDefault="00CC4B88" w:rsidP="00CC4B88">
      <w:pPr>
        <w:numPr>
          <w:ilvl w:val="1"/>
          <w:numId w:val="3"/>
        </w:numPr>
        <w:textAlignment w:val="auto"/>
        <w:rPr>
          <w:rFonts w:cs="Arial"/>
        </w:rPr>
      </w:pPr>
      <w:r w:rsidRPr="00CC4B88">
        <w:rPr>
          <w:rFonts w:cs="Arial"/>
        </w:rPr>
        <w:t>active listening</w:t>
      </w:r>
    </w:p>
    <w:p w:rsidR="00CC4B88" w:rsidRPr="00CC4B88" w:rsidRDefault="00CC4B88" w:rsidP="00CC4B88">
      <w:pPr>
        <w:numPr>
          <w:ilvl w:val="1"/>
          <w:numId w:val="3"/>
        </w:numPr>
        <w:textAlignment w:val="auto"/>
        <w:rPr>
          <w:rFonts w:cs="Arial"/>
        </w:rPr>
      </w:pPr>
      <w:r w:rsidRPr="00CC4B88">
        <w:rPr>
          <w:rFonts w:cs="Arial"/>
        </w:rPr>
        <w:t>verbal communication skills.</w:t>
      </w:r>
    </w:p>
    <w:p w:rsidR="00CC4B88" w:rsidRPr="00CC4B88" w:rsidRDefault="00CC4B88" w:rsidP="00CC4B88">
      <w:pPr>
        <w:numPr>
          <w:ilvl w:val="0"/>
          <w:numId w:val="3"/>
        </w:numPr>
        <w:textAlignment w:val="auto"/>
        <w:rPr>
          <w:rFonts w:cs="Arial"/>
        </w:rPr>
      </w:pPr>
      <w:r w:rsidRPr="00CC4B88">
        <w:rPr>
          <w:rFonts w:cs="Arial"/>
        </w:rPr>
        <w:t>In-depth exploration of the importance of creating an appropriate supervision environment and working within the core values of youth and community work.</w:t>
      </w:r>
    </w:p>
    <w:p w:rsidR="00CC4B88" w:rsidRPr="00CC4B88" w:rsidRDefault="00CC4B88" w:rsidP="00CC4B88">
      <w:pPr>
        <w:numPr>
          <w:ilvl w:val="0"/>
          <w:numId w:val="3"/>
        </w:numPr>
        <w:textAlignment w:val="auto"/>
        <w:rPr>
          <w:rFonts w:cs="Arial"/>
        </w:rPr>
      </w:pPr>
      <w:r w:rsidRPr="00CC4B88">
        <w:rPr>
          <w:rFonts w:cs="Arial"/>
        </w:rPr>
        <w:t>Detailed consideration of inclusive practice in supervision, confidentiality and record keeping; equal opportunities and anti-discriminatory practice.</w:t>
      </w:r>
    </w:p>
    <w:p w:rsidR="00CC4B88" w:rsidRPr="00CC4B88" w:rsidRDefault="00CC4B88" w:rsidP="00CC4B88">
      <w:pPr>
        <w:numPr>
          <w:ilvl w:val="0"/>
          <w:numId w:val="3"/>
        </w:numPr>
        <w:textAlignment w:val="auto"/>
        <w:rPr>
          <w:rFonts w:cs="Arial"/>
        </w:rPr>
      </w:pPr>
      <w:r w:rsidRPr="00CC4B88">
        <w:rPr>
          <w:rFonts w:cs="Arial"/>
        </w:rPr>
        <w:t>Experiential learning opportunities with an emphasis on experiential learning and practice of skills and the sharing of experiences.</w:t>
      </w:r>
    </w:p>
    <w:p w:rsidR="00CC4B88" w:rsidRPr="00CC4B88" w:rsidRDefault="00CC4B88" w:rsidP="00CC4B88">
      <w:pPr>
        <w:numPr>
          <w:ilvl w:val="0"/>
          <w:numId w:val="3"/>
        </w:numPr>
        <w:textAlignment w:val="auto"/>
        <w:rPr>
          <w:rFonts w:cs="Arial"/>
          <w:b/>
        </w:rPr>
      </w:pPr>
      <w:r w:rsidRPr="00CC4B88">
        <w:rPr>
          <w:rFonts w:cs="Arial"/>
        </w:rPr>
        <w:t>Opportunities to undertake one to one and group supervision sessions, to evaluate the supervision session and critically reflect on performance.</w:t>
      </w:r>
    </w:p>
    <w:p w:rsidR="00CC4B88" w:rsidRPr="00CC4B88" w:rsidRDefault="00CC4B88" w:rsidP="00CC4B88">
      <w:pPr>
        <w:numPr>
          <w:ilvl w:val="0"/>
          <w:numId w:val="3"/>
        </w:numPr>
        <w:textAlignment w:val="auto"/>
        <w:rPr>
          <w:rFonts w:cs="Arial"/>
          <w:b/>
        </w:rPr>
      </w:pPr>
      <w:r w:rsidRPr="00CC4B88">
        <w:rPr>
          <w:rFonts w:cs="Arial"/>
        </w:rPr>
        <w:t>An exploration of management and leadership theory including case study examples.</w:t>
      </w:r>
    </w:p>
    <w:p w:rsidR="00CC4B88" w:rsidRPr="00CC4B88" w:rsidRDefault="00CC4B88" w:rsidP="00CC4B88">
      <w:pPr>
        <w:pStyle w:val="ListParagraph"/>
        <w:numPr>
          <w:ilvl w:val="0"/>
          <w:numId w:val="3"/>
        </w:numPr>
        <w:spacing w:after="0" w:line="240" w:lineRule="auto"/>
        <w:contextualSpacing w:val="0"/>
        <w:jc w:val="both"/>
        <w:rPr>
          <w:rFonts w:ascii="Arial" w:hAnsi="Arial" w:cs="Arial"/>
        </w:rPr>
      </w:pPr>
      <w:r w:rsidRPr="00CC4B88">
        <w:rPr>
          <w:rFonts w:ascii="Arial" w:hAnsi="Arial" w:cs="Arial"/>
        </w:rPr>
        <w:t>Understanding the wider context of the services for young people, including the Youth Service.</w:t>
      </w:r>
    </w:p>
    <w:p w:rsidR="00CC4B88" w:rsidRPr="00CC4B88" w:rsidRDefault="00CC4B88" w:rsidP="00CC4B88">
      <w:pPr>
        <w:pStyle w:val="ListParagraph"/>
        <w:numPr>
          <w:ilvl w:val="0"/>
          <w:numId w:val="3"/>
        </w:numPr>
        <w:spacing w:after="0" w:line="240" w:lineRule="auto"/>
        <w:contextualSpacing w:val="0"/>
        <w:jc w:val="both"/>
        <w:rPr>
          <w:rFonts w:ascii="Arial" w:hAnsi="Arial" w:cs="Arial"/>
        </w:rPr>
      </w:pPr>
      <w:r w:rsidRPr="00CC4B88">
        <w:rPr>
          <w:rFonts w:ascii="Arial" w:hAnsi="Arial" w:cs="Arial"/>
        </w:rPr>
        <w:lastRenderedPageBreak/>
        <w:t>Funding for funding’s sake?  Identifying appropriate sources of funding for youth work and wider services.</w:t>
      </w:r>
    </w:p>
    <w:p w:rsidR="00CC4B88" w:rsidRPr="00CC4B88" w:rsidRDefault="00CC4B88" w:rsidP="00CC4B88">
      <w:pPr>
        <w:pStyle w:val="ListParagraph"/>
        <w:numPr>
          <w:ilvl w:val="0"/>
          <w:numId w:val="3"/>
        </w:numPr>
        <w:spacing w:after="0" w:line="240" w:lineRule="auto"/>
        <w:contextualSpacing w:val="0"/>
        <w:jc w:val="both"/>
        <w:rPr>
          <w:rFonts w:ascii="Arial" w:hAnsi="Arial" w:cs="Arial"/>
        </w:rPr>
      </w:pPr>
      <w:r w:rsidRPr="00CC4B88">
        <w:rPr>
          <w:rFonts w:ascii="Arial" w:hAnsi="Arial" w:cs="Arial"/>
        </w:rPr>
        <w:t>How to manage oneself within the organisational culture using the McKinsey 7’S’ framework.</w:t>
      </w:r>
    </w:p>
    <w:p w:rsidR="00CC4B88" w:rsidRPr="00CC4B88" w:rsidRDefault="00CC4B88" w:rsidP="00CC4B88">
      <w:pPr>
        <w:pStyle w:val="ListParagraph"/>
        <w:numPr>
          <w:ilvl w:val="0"/>
          <w:numId w:val="3"/>
        </w:numPr>
        <w:spacing w:after="0" w:line="240" w:lineRule="auto"/>
        <w:contextualSpacing w:val="0"/>
        <w:jc w:val="both"/>
        <w:rPr>
          <w:rFonts w:ascii="Arial" w:hAnsi="Arial" w:cs="Arial"/>
        </w:rPr>
      </w:pPr>
      <w:r w:rsidRPr="00CC4B88">
        <w:rPr>
          <w:rFonts w:ascii="Arial" w:hAnsi="Arial" w:cs="Arial"/>
        </w:rPr>
        <w:t>Resource management, people, projects, programmes, resources.</w:t>
      </w:r>
    </w:p>
    <w:p w:rsidR="00CC4B88" w:rsidRPr="00CC4B88" w:rsidRDefault="00CC4B88" w:rsidP="00CC4B88">
      <w:pPr>
        <w:pStyle w:val="ListParagraph"/>
        <w:numPr>
          <w:ilvl w:val="0"/>
          <w:numId w:val="3"/>
        </w:numPr>
        <w:spacing w:after="0" w:line="240" w:lineRule="auto"/>
        <w:contextualSpacing w:val="0"/>
        <w:jc w:val="both"/>
        <w:rPr>
          <w:rFonts w:ascii="Arial" w:hAnsi="Arial" w:cs="Arial"/>
        </w:rPr>
      </w:pPr>
      <w:r w:rsidRPr="00CC4B88">
        <w:rPr>
          <w:rFonts w:ascii="Arial" w:hAnsi="Arial" w:cs="Arial"/>
        </w:rPr>
        <w:t>Understanding and linking research, theory, strategy and practice using Quinn’s competing values framework.</w:t>
      </w:r>
    </w:p>
    <w:p w:rsidR="00CC4B88" w:rsidRPr="00CC4B88" w:rsidRDefault="00CC4B88" w:rsidP="00CC4B88">
      <w:pPr>
        <w:pStyle w:val="ListParagraph"/>
        <w:numPr>
          <w:ilvl w:val="0"/>
          <w:numId w:val="3"/>
        </w:numPr>
        <w:spacing w:after="0" w:line="240" w:lineRule="auto"/>
        <w:contextualSpacing w:val="0"/>
        <w:jc w:val="both"/>
        <w:rPr>
          <w:rFonts w:ascii="Arial" w:hAnsi="Arial" w:cs="Arial"/>
        </w:rPr>
      </w:pPr>
      <w:r w:rsidRPr="00CC4B88">
        <w:rPr>
          <w:rFonts w:ascii="Arial" w:hAnsi="Arial" w:cs="Arial"/>
        </w:rPr>
        <w:t>Youth work within an increasingly complex range of services for young people.</w:t>
      </w:r>
    </w:p>
    <w:p w:rsidR="00CC4B88" w:rsidRPr="00CC4B88" w:rsidRDefault="00CC4B88" w:rsidP="00CC4B88">
      <w:pPr>
        <w:pStyle w:val="ListParagraph"/>
        <w:numPr>
          <w:ilvl w:val="0"/>
          <w:numId w:val="3"/>
        </w:numPr>
        <w:spacing w:after="0" w:line="240" w:lineRule="auto"/>
        <w:contextualSpacing w:val="0"/>
        <w:rPr>
          <w:rFonts w:ascii="Arial" w:hAnsi="Arial" w:cs="Arial"/>
        </w:rPr>
      </w:pPr>
      <w:r w:rsidRPr="00CC4B88">
        <w:rPr>
          <w:rFonts w:ascii="Arial" w:hAnsi="Arial" w:cs="Arial"/>
        </w:rPr>
        <w:t>Proactive or reactive work with young people – the role of the project leader in anticipating emerging issues.</w:t>
      </w:r>
    </w:p>
    <w:p w:rsidR="00CC4B88" w:rsidRPr="00CC4B88" w:rsidRDefault="00CC4B88" w:rsidP="00CC4B88">
      <w:pPr>
        <w:rPr>
          <w:rFonts w:cs="Arial"/>
        </w:rPr>
      </w:pPr>
    </w:p>
    <w:p w:rsidR="00CC4B88" w:rsidRPr="00CC4B88" w:rsidRDefault="00CC4B88" w:rsidP="00CC4B88">
      <w:pPr>
        <w:pStyle w:val="fixed"/>
        <w:rPr>
          <w:rFonts w:cs="Arial"/>
          <w:szCs w:val="22"/>
        </w:rPr>
      </w:pPr>
      <w:r w:rsidRPr="00CC4B88">
        <w:rPr>
          <w:rFonts w:cs="Arial"/>
          <w:szCs w:val="22"/>
        </w:rPr>
        <w:t>Study Time Allocation</w:t>
      </w:r>
    </w:p>
    <w:p w:rsidR="00CC4B88" w:rsidRPr="00CC4B88" w:rsidRDefault="00CC4B88" w:rsidP="00CC4B88">
      <w:pPr>
        <w:pStyle w:val="fixed"/>
        <w:rPr>
          <w:rFonts w:cs="Arial"/>
          <w:szCs w:val="22"/>
        </w:rPr>
      </w:pPr>
    </w:p>
    <w:p w:rsidR="00CC4B88" w:rsidRPr="00CC4B88" w:rsidRDefault="00CC4B88" w:rsidP="00CC4B88">
      <w:pPr>
        <w:keepNext/>
        <w:rPr>
          <w:rFonts w:cs="Arial"/>
        </w:rPr>
      </w:pPr>
      <w:r w:rsidRPr="00CC4B88">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CC4B88" w:rsidRPr="00CC4B88" w:rsidTr="00CC4B88">
        <w:tc>
          <w:tcPr>
            <w:tcW w:w="396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b/>
              </w:rPr>
            </w:pPr>
            <w:r w:rsidRPr="00CC4B88">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b/>
              </w:rPr>
            </w:pPr>
            <w:r w:rsidRPr="00CC4B88">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b/>
              </w:rPr>
            </w:pPr>
            <w:r w:rsidRPr="00CC4B88">
              <w:rPr>
                <w:rFonts w:cs="Arial"/>
                <w:b/>
              </w:rPr>
              <w:t>Percentage</w:t>
            </w:r>
          </w:p>
        </w:tc>
      </w:tr>
      <w:tr w:rsidR="00CC4B88" w:rsidRPr="00CC4B88" w:rsidTr="00CC4B88">
        <w:tc>
          <w:tcPr>
            <w:tcW w:w="396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rPr>
            </w:pPr>
            <w:r w:rsidRPr="00CC4B88">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rPr>
            </w:pPr>
            <w:r w:rsidRPr="00CC4B88">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rPr>
            </w:pPr>
            <w:r w:rsidRPr="00CC4B88">
              <w:rPr>
                <w:rFonts w:cs="Arial"/>
              </w:rPr>
              <w:t>10%</w:t>
            </w:r>
          </w:p>
        </w:tc>
      </w:tr>
      <w:tr w:rsidR="00CC4B88" w:rsidRPr="00CC4B88" w:rsidTr="00CC4B88">
        <w:tc>
          <w:tcPr>
            <w:tcW w:w="396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rPr>
            </w:pPr>
            <w:r w:rsidRPr="00CC4B88">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rPr>
            </w:pPr>
            <w:r w:rsidRPr="00CC4B88">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rPr>
            </w:pPr>
            <w:r w:rsidRPr="00CC4B88">
              <w:rPr>
                <w:rFonts w:cs="Arial"/>
              </w:rPr>
              <w:t>90%</w:t>
            </w:r>
          </w:p>
        </w:tc>
      </w:tr>
      <w:tr w:rsidR="00CC4B88" w:rsidRPr="00CC4B88" w:rsidTr="00CC4B88">
        <w:tc>
          <w:tcPr>
            <w:tcW w:w="396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rPr>
            </w:pPr>
            <w:r w:rsidRPr="00CC4B88">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keepNext/>
              <w:jc w:val="center"/>
              <w:rPr>
                <w:rFonts w:cs="Arial"/>
              </w:rPr>
            </w:pPr>
          </w:p>
        </w:tc>
      </w:tr>
      <w:tr w:rsidR="00CC4B88" w:rsidRPr="00CC4B88" w:rsidTr="00CC4B88">
        <w:tc>
          <w:tcPr>
            <w:tcW w:w="396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rPr>
            </w:pPr>
            <w:r w:rsidRPr="00CC4B88">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b/>
              </w:rPr>
            </w:pPr>
            <w:r w:rsidRPr="00CC4B88">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b/>
              </w:rPr>
            </w:pPr>
            <w:r w:rsidRPr="00CC4B88">
              <w:rPr>
                <w:rFonts w:cs="Arial"/>
                <w:b/>
              </w:rPr>
              <w:t>100%</w:t>
            </w:r>
          </w:p>
        </w:tc>
      </w:tr>
    </w:tbl>
    <w:p w:rsidR="00CC4B88" w:rsidRPr="00CC4B88" w:rsidRDefault="00CC4B88" w:rsidP="00CC4B88">
      <w:pPr>
        <w:pStyle w:val="fixed"/>
        <w:ind w:left="0" w:firstLine="0"/>
        <w:rPr>
          <w:rFonts w:cs="Arial"/>
          <w:szCs w:val="22"/>
        </w:rPr>
      </w:pPr>
    </w:p>
    <w:p w:rsidR="00CC4B88" w:rsidRPr="00CC4B88" w:rsidRDefault="00CC4B88" w:rsidP="00CC4B88">
      <w:pPr>
        <w:pStyle w:val="fixed"/>
        <w:ind w:left="0" w:firstLine="0"/>
        <w:rPr>
          <w:rFonts w:cs="Arial"/>
          <w:szCs w:val="22"/>
        </w:rPr>
      </w:pPr>
      <w:r w:rsidRPr="00CC4B88">
        <w:rPr>
          <w:rFonts w:cs="Arial"/>
          <w:szCs w:val="22"/>
        </w:rPr>
        <w:t>ASSESSMENT</w:t>
      </w:r>
    </w:p>
    <w:p w:rsidR="00CC4B88" w:rsidRPr="00CC4B88" w:rsidRDefault="00CC4B88" w:rsidP="00CC4B88">
      <w:pPr>
        <w:pStyle w:val="fixed"/>
        <w:ind w:left="0"/>
        <w:rPr>
          <w:rFonts w:cs="Arial"/>
          <w:szCs w:val="22"/>
        </w:rPr>
      </w:pPr>
    </w:p>
    <w:p w:rsidR="00CC4B88" w:rsidRPr="00CC4B88" w:rsidRDefault="00CC4B88" w:rsidP="00CC4B88">
      <w:pPr>
        <w:rPr>
          <w:rFonts w:cs="Arial"/>
          <w:b/>
        </w:rPr>
      </w:pPr>
      <w:r w:rsidRPr="00CC4B88">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C4B88" w:rsidRPr="00CC4B88" w:rsidTr="00CC4B88">
        <w:sdt>
          <w:sdtPr>
            <w:rPr>
              <w:rFonts w:cs="Arial"/>
            </w:rPr>
            <w:id w:val="569473230"/>
            <w14:checkbox>
              <w14:checked w14:val="0"/>
              <w14:checkedState w14:val="2612" w14:font="MS Gothic"/>
              <w14:uncheckedState w14:val="2610" w14:font="MS Gothic"/>
            </w14:checkbox>
          </w:sdtPr>
          <w:sdtContent>
            <w:tc>
              <w:tcPr>
                <w:tcW w:w="562" w:type="dxa"/>
                <w:hideMark/>
              </w:tcPr>
              <w:p w:rsidR="00CC4B88" w:rsidRPr="00CC4B88" w:rsidRDefault="00CC4B88" w:rsidP="009E5EFE">
                <w:pPr>
                  <w:rPr>
                    <w:rFonts w:cs="Arial"/>
                  </w:rPr>
                </w:pPr>
                <w:r w:rsidRPr="00CC4B88">
                  <w:rPr>
                    <w:rFonts w:eastAsia="MS Gothic" w:cs="Arial"/>
                  </w:rPr>
                  <w:t>☐</w:t>
                </w:r>
              </w:p>
            </w:tc>
          </w:sdtContent>
        </w:sdt>
        <w:tc>
          <w:tcPr>
            <w:tcW w:w="2458" w:type="dxa"/>
            <w:hideMark/>
          </w:tcPr>
          <w:p w:rsidR="00CC4B88" w:rsidRPr="00CC4B88" w:rsidRDefault="00CC4B88" w:rsidP="009E5EFE">
            <w:pPr>
              <w:rPr>
                <w:rFonts w:cs="Arial"/>
                <w:b/>
              </w:rPr>
            </w:pPr>
            <w:r w:rsidRPr="00CC4B88">
              <w:rPr>
                <w:rFonts w:cs="Arial"/>
                <w:b/>
              </w:rPr>
              <w:t>Written exam</w:t>
            </w:r>
          </w:p>
        </w:tc>
        <w:sdt>
          <w:sdtPr>
            <w:rPr>
              <w:rFonts w:cs="Arial"/>
            </w:rPr>
            <w:id w:val="-1057854302"/>
            <w14:checkbox>
              <w14:checked w14:val="1"/>
              <w14:checkedState w14:val="2612" w14:font="MS Gothic"/>
              <w14:uncheckedState w14:val="2610" w14:font="MS Gothic"/>
            </w14:checkbox>
          </w:sdtPr>
          <w:sdtContent>
            <w:tc>
              <w:tcPr>
                <w:tcW w:w="538" w:type="dxa"/>
                <w:gridSpan w:val="2"/>
                <w:hideMark/>
              </w:tcPr>
              <w:p w:rsidR="00CC4B88" w:rsidRPr="00CC4B88" w:rsidRDefault="00CC4B88" w:rsidP="009E5EFE">
                <w:pPr>
                  <w:rPr>
                    <w:rFonts w:cs="Arial"/>
                  </w:rPr>
                </w:pPr>
                <w:r w:rsidRPr="00CC4B88">
                  <w:rPr>
                    <w:rFonts w:eastAsia="MS Gothic" w:cs="Arial"/>
                  </w:rPr>
                  <w:t>☒</w:t>
                </w:r>
              </w:p>
            </w:tc>
          </w:sdtContent>
        </w:sdt>
        <w:tc>
          <w:tcPr>
            <w:tcW w:w="2482" w:type="dxa"/>
            <w:hideMark/>
          </w:tcPr>
          <w:p w:rsidR="00CC4B88" w:rsidRPr="00CC4B88" w:rsidRDefault="00CC4B88" w:rsidP="009E5EFE">
            <w:pPr>
              <w:rPr>
                <w:rFonts w:cs="Arial"/>
                <w:b/>
              </w:rPr>
            </w:pPr>
            <w:r w:rsidRPr="00CC4B88">
              <w:rPr>
                <w:rFonts w:cs="Arial"/>
                <w:b/>
              </w:rPr>
              <w:t>Coursework</w:t>
            </w:r>
          </w:p>
        </w:tc>
        <w:sdt>
          <w:sdtPr>
            <w:rPr>
              <w:rFonts w:cs="Arial"/>
            </w:rPr>
            <w:id w:val="-451705654"/>
            <w14:checkbox>
              <w14:checked w14:val="0"/>
              <w14:checkedState w14:val="2612" w14:font="MS Gothic"/>
              <w14:uncheckedState w14:val="2610" w14:font="MS Gothic"/>
            </w14:checkbox>
          </w:sdtPr>
          <w:sdtContent>
            <w:tc>
              <w:tcPr>
                <w:tcW w:w="538" w:type="dxa"/>
                <w:hideMark/>
              </w:tcPr>
              <w:p w:rsidR="00CC4B88" w:rsidRPr="00CC4B88" w:rsidRDefault="00CC4B88" w:rsidP="009E5EFE">
                <w:pPr>
                  <w:rPr>
                    <w:rFonts w:cs="Arial"/>
                  </w:rPr>
                </w:pPr>
                <w:r w:rsidRPr="00CC4B88">
                  <w:rPr>
                    <w:rFonts w:eastAsia="MS Gothic" w:cs="Arial"/>
                  </w:rPr>
                  <w:t>☐</w:t>
                </w:r>
              </w:p>
            </w:tc>
          </w:sdtContent>
        </w:sdt>
        <w:tc>
          <w:tcPr>
            <w:tcW w:w="2482" w:type="dxa"/>
            <w:gridSpan w:val="3"/>
            <w:hideMark/>
          </w:tcPr>
          <w:p w:rsidR="00CC4B88" w:rsidRPr="00CC4B88" w:rsidRDefault="00CC4B88" w:rsidP="009E5EFE">
            <w:pPr>
              <w:rPr>
                <w:rFonts w:cs="Arial"/>
                <w:b/>
              </w:rPr>
            </w:pPr>
            <w:r w:rsidRPr="00CC4B88">
              <w:rPr>
                <w:rFonts w:cs="Arial"/>
                <w:b/>
              </w:rPr>
              <w:t>Practical</w:t>
            </w:r>
          </w:p>
        </w:tc>
      </w:tr>
      <w:tr w:rsidR="00CC4B88" w:rsidRPr="00CC4B88" w:rsidTr="00CC4B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jc w:val="center"/>
              <w:rPr>
                <w:rFonts w:cs="Arial"/>
                <w:b/>
              </w:rPr>
            </w:pPr>
            <w:r w:rsidRPr="00CC4B88">
              <w:rPr>
                <w:rFonts w:cs="Arial"/>
                <w:b/>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rPr>
                <w:rFonts w:cs="Arial"/>
              </w:rPr>
            </w:pPr>
            <w:r w:rsidRPr="00CC4B88">
              <w:rPr>
                <w:rFonts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rPr>
                <w:rFonts w:cs="Arial"/>
              </w:rPr>
            </w:pPr>
            <w:r w:rsidRPr="00CC4B88">
              <w:rPr>
                <w:rFonts w:cs="Arial"/>
                <w:b/>
              </w:rPr>
              <w:t>Weighting</w:t>
            </w:r>
          </w:p>
        </w:tc>
      </w:tr>
      <w:tr w:rsidR="00CC4B88" w:rsidRPr="00CC4B88" w:rsidTr="00CC4B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jc w:val="center"/>
              <w:rPr>
                <w:rFonts w:cs="Arial"/>
              </w:rPr>
            </w:pPr>
            <w:r w:rsidRPr="00CC4B88">
              <w:rPr>
                <w:rFonts w:cs="Arial"/>
              </w:rPr>
              <w:t>Supervision and Management Portfolio</w:t>
            </w:r>
          </w:p>
        </w:tc>
        <w:tc>
          <w:tcPr>
            <w:tcW w:w="3969" w:type="dxa"/>
            <w:gridSpan w:val="4"/>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rPr>
                <w:rFonts w:cs="Arial"/>
              </w:rPr>
            </w:pPr>
            <w:r w:rsidRPr="00CC4B88">
              <w:rPr>
                <w:rFonts w:cs="Arial"/>
              </w:rPr>
              <w:t xml:space="preserve">7500 words </w:t>
            </w:r>
          </w:p>
        </w:tc>
        <w:tc>
          <w:tcPr>
            <w:tcW w:w="155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rPr>
                <w:rFonts w:cs="Arial"/>
              </w:rPr>
            </w:pPr>
            <w:r w:rsidRPr="00CC4B88">
              <w:rPr>
                <w:rFonts w:cs="Arial"/>
              </w:rPr>
              <w:t>100%</w:t>
            </w:r>
          </w:p>
        </w:tc>
      </w:tr>
    </w:tbl>
    <w:p w:rsidR="00CC4B88" w:rsidRPr="00CC4B88" w:rsidRDefault="00CC4B88" w:rsidP="00CC4B88">
      <w:pPr>
        <w:pStyle w:val="fixed"/>
        <w:keepNext/>
        <w:ind w:left="0" w:firstLine="0"/>
        <w:jc w:val="both"/>
        <w:rPr>
          <w:rFonts w:cs="Arial"/>
          <w:szCs w:val="22"/>
        </w:rPr>
      </w:pPr>
    </w:p>
    <w:p w:rsidR="00CC4B88" w:rsidRPr="00CC4B88" w:rsidRDefault="00CC4B88" w:rsidP="00CC4B88">
      <w:pPr>
        <w:pStyle w:val="fixed"/>
        <w:keepNext/>
        <w:ind w:left="0" w:firstLine="0"/>
        <w:jc w:val="both"/>
        <w:rPr>
          <w:rFonts w:cs="Arial"/>
          <w:szCs w:val="22"/>
        </w:rPr>
      </w:pPr>
      <w:r w:rsidRPr="00CC4B88">
        <w:rPr>
          <w:rFonts w:cs="Arial"/>
          <w:szCs w:val="22"/>
        </w:rPr>
        <w:t>Assessment Summary</w:t>
      </w:r>
    </w:p>
    <w:p w:rsidR="00CC4B88" w:rsidRPr="00CC4B88" w:rsidRDefault="00CC4B88" w:rsidP="00CC4B88">
      <w:pPr>
        <w:pStyle w:val="fixed"/>
        <w:keepNext/>
        <w:ind w:left="0" w:firstLine="0"/>
        <w:jc w:val="both"/>
        <w:rPr>
          <w:rFonts w:cs="Arial"/>
          <w:szCs w:val="22"/>
        </w:rPr>
      </w:pPr>
    </w:p>
    <w:tbl>
      <w:tblPr>
        <w:tblStyle w:val="TableGrid"/>
        <w:tblW w:w="0" w:type="auto"/>
        <w:tblLayout w:type="fixed"/>
        <w:tblLook w:val="04A0" w:firstRow="1" w:lastRow="0" w:firstColumn="1" w:lastColumn="0" w:noHBand="0" w:noVBand="1"/>
      </w:tblPr>
      <w:tblGrid>
        <w:gridCol w:w="3261"/>
        <w:gridCol w:w="1842"/>
      </w:tblGrid>
      <w:tr w:rsidR="00CC4B88" w:rsidRPr="00CC4B88" w:rsidTr="00CC4B88">
        <w:tc>
          <w:tcPr>
            <w:tcW w:w="326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b/>
              </w:rPr>
            </w:pPr>
            <w:r w:rsidRPr="00CC4B88">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b/>
              </w:rPr>
            </w:pPr>
            <w:r w:rsidRPr="00CC4B88">
              <w:rPr>
                <w:rFonts w:cs="Arial"/>
                <w:b/>
              </w:rPr>
              <w:t>Percentage</w:t>
            </w:r>
          </w:p>
        </w:tc>
      </w:tr>
      <w:tr w:rsidR="00CC4B88" w:rsidRPr="00CC4B88" w:rsidTr="00CC4B88">
        <w:tc>
          <w:tcPr>
            <w:tcW w:w="326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rPr>
            </w:pPr>
            <w:r w:rsidRPr="00CC4B88">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keepNext/>
              <w:jc w:val="center"/>
              <w:rPr>
                <w:rFonts w:cs="Arial"/>
              </w:rPr>
            </w:pPr>
          </w:p>
        </w:tc>
      </w:tr>
      <w:tr w:rsidR="00CC4B88" w:rsidRPr="00CC4B88" w:rsidTr="00CC4B88">
        <w:tc>
          <w:tcPr>
            <w:tcW w:w="326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rPr>
            </w:pPr>
            <w:r w:rsidRPr="00CC4B88">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rPr>
            </w:pPr>
            <w:r w:rsidRPr="00CC4B88">
              <w:rPr>
                <w:rFonts w:cs="Arial"/>
              </w:rPr>
              <w:t>100%</w:t>
            </w:r>
          </w:p>
        </w:tc>
      </w:tr>
      <w:tr w:rsidR="00CC4B88" w:rsidRPr="00CC4B88" w:rsidTr="00CC4B88">
        <w:tc>
          <w:tcPr>
            <w:tcW w:w="326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rPr>
            </w:pPr>
            <w:r w:rsidRPr="00CC4B88">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keepNext/>
              <w:jc w:val="center"/>
              <w:rPr>
                <w:rFonts w:cs="Arial"/>
              </w:rPr>
            </w:pPr>
          </w:p>
        </w:tc>
      </w:tr>
      <w:tr w:rsidR="00CC4B88" w:rsidRPr="00CC4B88" w:rsidTr="00CC4B88">
        <w:tc>
          <w:tcPr>
            <w:tcW w:w="3261"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rPr>
                <w:rFonts w:cs="Arial"/>
              </w:rPr>
            </w:pPr>
            <w:r w:rsidRPr="00CC4B88">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keepNext/>
              <w:jc w:val="center"/>
              <w:rPr>
                <w:rFonts w:cs="Arial"/>
                <w:b/>
              </w:rPr>
            </w:pPr>
            <w:r w:rsidRPr="00CC4B88">
              <w:rPr>
                <w:rFonts w:cs="Arial"/>
                <w:b/>
              </w:rPr>
              <w:t>100%</w:t>
            </w:r>
          </w:p>
        </w:tc>
      </w:tr>
    </w:tbl>
    <w:p w:rsidR="00CC4B88" w:rsidRPr="00CC4B88" w:rsidRDefault="00CC4B88" w:rsidP="00CC4B88">
      <w:pPr>
        <w:rPr>
          <w:rFonts w:cs="Arial"/>
        </w:rPr>
      </w:pPr>
    </w:p>
    <w:p w:rsidR="00CC4B88" w:rsidRPr="00CC4B88" w:rsidRDefault="00CC4B88" w:rsidP="00CC4B88">
      <w:pPr>
        <w:rPr>
          <w:rFonts w:cs="Arial"/>
        </w:rPr>
      </w:pPr>
      <w:r w:rsidRPr="00CC4B88">
        <w:rPr>
          <w:rFonts w:cs="Arial"/>
        </w:rPr>
        <w:t>This module is part of a PGDip/MA programme which is professionally endorsed by ETS Cymru.</w:t>
      </w:r>
    </w:p>
    <w:p w:rsidR="00CC4B88" w:rsidRPr="00CC4B88" w:rsidRDefault="00CC4B88" w:rsidP="00CC4B88">
      <w:pPr>
        <w:rPr>
          <w:rFonts w:cs="Arial"/>
          <w:b/>
        </w:rPr>
      </w:pPr>
      <w:r w:rsidRPr="00CC4B88">
        <w:rPr>
          <w:rFonts w:cs="Arial"/>
          <w:b/>
        </w:rPr>
        <w:t>INDICATIVE READING LIST</w:t>
      </w:r>
    </w:p>
    <w:tbl>
      <w:tblPr>
        <w:tblStyle w:val="TableGrid"/>
        <w:tblW w:w="0" w:type="auto"/>
        <w:tblLook w:val="04A0" w:firstRow="1" w:lastRow="0" w:firstColumn="1" w:lastColumn="0" w:noHBand="0" w:noVBand="1"/>
      </w:tblPr>
      <w:tblGrid>
        <w:gridCol w:w="1689"/>
        <w:gridCol w:w="5605"/>
        <w:gridCol w:w="1366"/>
      </w:tblGrid>
      <w:tr w:rsidR="00CC4B88" w:rsidRPr="00CC4B88" w:rsidTr="00CC4B88">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C4B88" w:rsidRPr="00CC4B88" w:rsidRDefault="00CC4B88" w:rsidP="009E5EFE">
            <w:pPr>
              <w:tabs>
                <w:tab w:val="num" w:pos="720"/>
                <w:tab w:val="left" w:pos="1440"/>
              </w:tabs>
              <w:rPr>
                <w:rFonts w:cs="Arial"/>
                <w:b/>
              </w:rPr>
            </w:pPr>
            <w:r w:rsidRPr="00CC4B88">
              <w:rPr>
                <w:rFonts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b/>
              </w:rPr>
            </w:pPr>
            <w:r w:rsidRPr="00CC4B88">
              <w:rPr>
                <w:rFonts w:cs="Arial"/>
                <w:b/>
              </w:rPr>
              <w:t>ECYW7003</w:t>
            </w:r>
          </w:p>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C4B88" w:rsidRPr="00CC4B88" w:rsidRDefault="00CC4B88" w:rsidP="009E5EFE">
            <w:pPr>
              <w:tabs>
                <w:tab w:val="num" w:pos="720"/>
                <w:tab w:val="left" w:pos="1440"/>
              </w:tabs>
              <w:rPr>
                <w:rFonts w:cs="Arial"/>
                <w:b/>
              </w:rPr>
            </w:pPr>
            <w:r w:rsidRPr="00CC4B88">
              <w:rPr>
                <w:rFonts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b/>
              </w:rPr>
            </w:pPr>
            <w:r w:rsidRPr="00CC4B88">
              <w:rPr>
                <w:rFonts w:cs="Arial"/>
                <w:b/>
              </w:rPr>
              <w:t>Supervision, Leadership and Management for Professionals</w:t>
            </w:r>
          </w:p>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C4B88" w:rsidRPr="00CC4B88" w:rsidRDefault="00CC4B88" w:rsidP="009E5EFE">
            <w:pPr>
              <w:tabs>
                <w:tab w:val="num" w:pos="720"/>
                <w:tab w:val="left" w:pos="1440"/>
              </w:tabs>
              <w:rPr>
                <w:rFonts w:cs="Arial"/>
                <w:b/>
              </w:rPr>
            </w:pPr>
            <w:r w:rsidRPr="00CC4B88">
              <w:rPr>
                <w:rFonts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C4B88" w:rsidRPr="00CC4B88" w:rsidRDefault="00CC4B88" w:rsidP="009E5EFE">
            <w:pPr>
              <w:tabs>
                <w:tab w:val="num" w:pos="720"/>
                <w:tab w:val="left" w:pos="1440"/>
              </w:tabs>
              <w:rPr>
                <w:rFonts w:cs="Arial"/>
                <w:b/>
              </w:rPr>
            </w:pPr>
            <w:r w:rsidRPr="00CC4B88">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C4B88" w:rsidRPr="00CC4B88" w:rsidRDefault="00CC4B88" w:rsidP="009E5EFE">
            <w:pPr>
              <w:tabs>
                <w:tab w:val="num" w:pos="720"/>
                <w:tab w:val="left" w:pos="1440"/>
              </w:tabs>
              <w:rPr>
                <w:rFonts w:cs="Arial"/>
                <w:b/>
              </w:rPr>
            </w:pPr>
            <w:r w:rsidRPr="00CC4B88">
              <w:rPr>
                <w:rFonts w:cs="Arial"/>
                <w:b/>
              </w:rPr>
              <w:t>Electronic*</w:t>
            </w:r>
          </w:p>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Armstrong, M. (2012) Armstrong’s handbook of management and leadership: developing effective people skills for better leadership and management. (Online) London; Philadelphia: Kogan Page.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11264060"/>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Belton, B. Hill, J. Salter, T. Peaper, J. (2011) Supervision: Praxis and Purpose, Dorset, Russell House Publishing.</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90756990"/>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CLD Standards Council Scotland. (2019) Youth Work National Occupational Standards, CLD Standards Council Scotland: Glasgow.</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26350375"/>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Hawkins, P. and Schohet, R. (2007) Supervision in the helping professions, Buckingham: 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53959166"/>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Hoggarth, E.A. Merton, B. and Tyler, M. (2009) Managing Modern Youth work. Exeter: Learning Matters.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137975932"/>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Ord, J. (2012) Critical Issues in Youth work Management. Abingdon, Oxon: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65545826"/>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Adair, J. E. (1989). The Action Centred Leader. Industrial Society.</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006009536"/>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Alvesson, M. and Willmott, H. (1996) Making sense of management: A critical introduction,London: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29312658"/>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Banks, S., Butcher, H., Henderson, P. and Robertson, J. (2003) Managing Community Practice, Principles, policies and programmes. Great Britain: The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6353673"/>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Batsleer, J. and Davies, B. (Eds.) (2010) What is Youth work? Essex: Learning Matters.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40921547"/>
              <w14:checkbox>
                <w14:checked w14:val="0"/>
                <w14:checkedState w14:val="2612" w14:font="MS Gothic"/>
                <w14:uncheckedState w14:val="2610" w14:font="MS Gothic"/>
              </w14:checkbox>
            </w:sdtPr>
            <w:sdtContent>
              <w:p w:rsidR="00CC4B88" w:rsidRPr="00CC4B88" w:rsidRDefault="00CC4B88" w:rsidP="009E5EFE">
                <w:pPr>
                  <w:jc w:val="center"/>
                  <w:rPr>
                    <w:rFonts w:eastAsia="MS Gothic"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eastAsia="Times New Roman"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Bennis, W.  (2009) On Becoming a Leader, New York, Basic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12475346"/>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Cole, G.A. (2011) Management: Theory and Practice, 7th ed. London: Letts.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58605148"/>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Handy, C. (1988) Understanding Voluntary Organisations. London Penguin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59393606"/>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Handy, C. (1993) Understanding Organisations, 4th Ed. London: Penguin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18992162"/>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Herman, M. Reflective Practice Meets Youth work Supervision, Youth and Policy, 109, September 2013, 107-118.</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72686986"/>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Hill, J. (1997) Managing performance: goals, feedback, coaching, recognition. Aldershot: Gower.</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63792325"/>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Jeffs, T. and Smith, M. (2010) Youth work Practice. 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106100653"/>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Jenkinson, H. (2010) The Importance and Benefits of Supervision in Youth work Practice. Child &amp; Youth Services, 31 (3): 157-169.</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978289917"/>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Maguire, M. (2009) Law and Youth work, Exeter: Learning Matters.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94491929"/>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Nelson-Jones, R. (2005) Practical counselling and helping skills, 5th ed. London: Sage Publications.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07175440"/>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Nelson–Jones, R. (2006) Human relationship skills, 4th ed. London: Continuum.</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998076463"/>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Nicholls, D. (2002) Employment practice and policies in Youth and Community Work, 2nd ed. Dorset: Russell House Publishing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39803610"/>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 xml:space="preserve">Nicholls, D. (2012) For Youth workers and Youth work: Speaking Out for a Better Future. Bristol: Policy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969156516"/>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Pease, A. (1981) The definitive book of Body language, London: Orion.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38178538"/>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Posner, B.Z. (2008) The Leadership Challenge: 4th Edition, Jossey-Bass.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24073863"/>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Schon, D. (1983) The reflective practitioner, New York: Basic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569077853"/>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tr w:rsidR="00CC4B88" w:rsidRPr="00CC4B88" w:rsidTr="00CC4B88">
        <w:tc>
          <w:tcPr>
            <w:tcW w:w="1689" w:type="dxa"/>
            <w:tcBorders>
              <w:top w:val="single" w:sz="4" w:space="0" w:color="auto"/>
              <w:left w:val="single" w:sz="4" w:space="0" w:color="auto"/>
              <w:bottom w:val="single" w:sz="4" w:space="0" w:color="auto"/>
              <w:right w:val="single" w:sz="4" w:space="0" w:color="auto"/>
            </w:tcBorders>
            <w:hideMark/>
          </w:tcPr>
          <w:p w:rsidR="00CC4B88" w:rsidRPr="00CC4B88" w:rsidRDefault="00CC4B88" w:rsidP="009E5EFE">
            <w:pPr>
              <w:tabs>
                <w:tab w:val="num" w:pos="720"/>
                <w:tab w:val="left" w:pos="1440"/>
              </w:tabs>
              <w:rPr>
                <w:rFonts w:cs="Arial"/>
              </w:rPr>
            </w:pPr>
            <w:r w:rsidRPr="00CC4B88">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CC4B88" w:rsidRPr="00CC4B88" w:rsidRDefault="00CC4B88" w:rsidP="009E5EFE">
            <w:pPr>
              <w:tabs>
                <w:tab w:val="num" w:pos="720"/>
                <w:tab w:val="left" w:pos="1440"/>
              </w:tabs>
              <w:rPr>
                <w:rFonts w:cs="Arial"/>
              </w:rPr>
            </w:pPr>
            <w:r w:rsidRPr="00CC4B88">
              <w:rPr>
                <w:rFonts w:cs="Arial"/>
              </w:rPr>
              <w:t xml:space="preserve">Tyler, M. Hoggarth, L, Merton, B. (Eds) (2009) Managing Modern Youth work, Essex: Learning Matters.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93506434"/>
              <w14:checkbox>
                <w14:checked w14:val="0"/>
                <w14:checkedState w14:val="2612" w14:font="MS Gothic"/>
                <w14:uncheckedState w14:val="2610" w14:font="MS Gothic"/>
              </w14:checkbox>
            </w:sdtPr>
            <w:sdtContent>
              <w:p w:rsidR="00CC4B88" w:rsidRPr="00CC4B88" w:rsidRDefault="00CC4B88" w:rsidP="009E5EFE">
                <w:pPr>
                  <w:jc w:val="center"/>
                  <w:rPr>
                    <w:rFonts w:cs="Arial"/>
                  </w:rPr>
                </w:pPr>
                <w:r w:rsidRPr="00CC4B88">
                  <w:rPr>
                    <w:rFonts w:eastAsia="MS Gothic" w:cs="Arial"/>
                  </w:rPr>
                  <w:t>☐</w:t>
                </w:r>
              </w:p>
            </w:sdtContent>
          </w:sdt>
        </w:tc>
      </w:tr>
      <w:bookmarkEnd w:id="0"/>
    </w:tbl>
    <w:p w:rsidR="00B3318C" w:rsidRPr="00CC4B88" w:rsidRDefault="00B3318C" w:rsidP="002E13CA">
      <w:pPr>
        <w:pStyle w:val="HTMLPreformatted"/>
        <w:rPr>
          <w:rFonts w:cs="Arial"/>
        </w:rPr>
      </w:pPr>
    </w:p>
    <w:sectPr w:rsidR="00B3318C" w:rsidRPr="00CC4B88"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70B"/>
    <w:multiLevelType w:val="hybridMultilevel"/>
    <w:tmpl w:val="ADC4C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AEA4055"/>
    <w:multiLevelType w:val="hybridMultilevel"/>
    <w:tmpl w:val="8AF69F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B88"/>
    <w:rsid w:val="000205AE"/>
    <w:rsid w:val="002E13CA"/>
    <w:rsid w:val="003743BC"/>
    <w:rsid w:val="004369BC"/>
    <w:rsid w:val="004820AF"/>
    <w:rsid w:val="005E3C6A"/>
    <w:rsid w:val="006279FE"/>
    <w:rsid w:val="00642FF8"/>
    <w:rsid w:val="007C29BA"/>
    <w:rsid w:val="009D57EC"/>
    <w:rsid w:val="00B3318C"/>
    <w:rsid w:val="00CC4B88"/>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83F5902-3067-412E-8E7C-BFBCA17CF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uiPriority w:val="99"/>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uiPriority w:val="99"/>
    <w:rsid w:val="00CC4B88"/>
    <w:rPr>
      <w:rFonts w:ascii="Arial" w:hAnsi="Arial"/>
      <w:sz w:val="22"/>
    </w:rPr>
  </w:style>
  <w:style w:type="character" w:customStyle="1" w:styleId="fixedChar">
    <w:name w:val="fixed Char"/>
    <w:link w:val="fixed"/>
    <w:rsid w:val="00CC4B88"/>
    <w:rPr>
      <w:rFonts w:ascii="Arial" w:hAnsi="Arial"/>
      <w:b/>
      <w:sz w:val="22"/>
    </w:rPr>
  </w:style>
  <w:style w:type="paragraph" w:styleId="ListParagraph">
    <w:name w:val="List Paragraph"/>
    <w:basedOn w:val="Normal"/>
    <w:link w:val="ListParagraphChar"/>
    <w:uiPriority w:val="34"/>
    <w:qFormat/>
    <w:rsid w:val="00CC4B88"/>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rsid w:val="00CC4B88"/>
    <w:rPr>
      <w:rFonts w:ascii="Calibri" w:eastAsia="Calibri" w:hAnsi="Calibri"/>
      <w:sz w:val="22"/>
      <w:szCs w:val="22"/>
      <w:lang w:val="en-US" w:eastAsia="en-US"/>
    </w:rPr>
  </w:style>
  <w:style w:type="table" w:styleId="TableGrid">
    <w:name w:val="Table Grid"/>
    <w:basedOn w:val="TableNormal"/>
    <w:uiPriority w:val="59"/>
    <w:rsid w:val="00CC4B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1678BF7451F4AADB57538F1B004DF20"/>
        <w:category>
          <w:name w:val="General"/>
          <w:gallery w:val="placeholder"/>
        </w:category>
        <w:types>
          <w:type w:val="bbPlcHdr"/>
        </w:types>
        <w:behaviors>
          <w:behavior w:val="content"/>
        </w:behaviors>
        <w:guid w:val="{55839769-F733-4989-96BA-75B0F2DC118B}"/>
      </w:docPartPr>
      <w:docPartBody>
        <w:p w:rsidR="00000000" w:rsidRDefault="00E6672A" w:rsidP="00E6672A">
          <w:pPr>
            <w:pStyle w:val="01678BF7451F4AADB57538F1B004DF20"/>
          </w:pPr>
          <w:r>
            <w:rPr>
              <w:rStyle w:val="PlaceholderText"/>
            </w:rPr>
            <w:t>Click or tap to enter a date.</w:t>
          </w:r>
        </w:p>
      </w:docPartBody>
    </w:docPart>
    <w:docPart>
      <w:docPartPr>
        <w:name w:val="2F68C0ABB9BB49368598D20F114D9AA2"/>
        <w:category>
          <w:name w:val="General"/>
          <w:gallery w:val="placeholder"/>
        </w:category>
        <w:types>
          <w:type w:val="bbPlcHdr"/>
        </w:types>
        <w:behaviors>
          <w:behavior w:val="content"/>
        </w:behaviors>
        <w:guid w:val="{583F9F5F-5D4A-47BD-B441-EC66E28C0AC9}"/>
      </w:docPartPr>
      <w:docPartBody>
        <w:p w:rsidR="00000000" w:rsidRDefault="00E6672A" w:rsidP="00E6672A">
          <w:pPr>
            <w:pStyle w:val="2F68C0ABB9BB49368598D20F114D9AA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72A"/>
    <w:rsid w:val="00E66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672A"/>
  </w:style>
  <w:style w:type="paragraph" w:customStyle="1" w:styleId="01678BF7451F4AADB57538F1B004DF20">
    <w:name w:val="01678BF7451F4AADB57538F1B004DF20"/>
    <w:rsid w:val="00E6672A"/>
  </w:style>
  <w:style w:type="paragraph" w:customStyle="1" w:styleId="2F68C0ABB9BB49368598D20F114D9AA2">
    <w:name w:val="2F68C0ABB9BB49368598D20F114D9AA2"/>
    <w:rsid w:val="00E667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2</Pages>
  <Words>970</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Gwion Ramage</cp:lastModifiedBy>
  <cp:revision>1</cp:revision>
  <cp:lastPrinted>1900-01-01T00:00:00Z</cp:lastPrinted>
  <dcterms:created xsi:type="dcterms:W3CDTF">2020-03-17T15:18:00Z</dcterms:created>
  <dcterms:modified xsi:type="dcterms:W3CDTF">2020-03-17T15:18:00Z</dcterms:modified>
</cp:coreProperties>
</file>