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4DB9F" w14:textId="490AC0E4" w:rsidR="00A55237" w:rsidRPr="002B5366" w:rsidRDefault="00EB5E4B" w:rsidP="00EB5E4B">
      <w:pPr>
        <w:jc w:val="center"/>
        <w:rPr>
          <w:rFonts w:ascii="Arial" w:hAnsi="Arial" w:cs="Arial"/>
          <w:b/>
          <w:bCs/>
          <w:sz w:val="24"/>
          <w:szCs w:val="24"/>
        </w:rPr>
      </w:pPr>
      <w:r w:rsidRPr="002B5366">
        <w:rPr>
          <w:rFonts w:ascii="Arial" w:hAnsi="Arial" w:cs="Arial"/>
          <w:b/>
          <w:bCs/>
          <w:sz w:val="24"/>
          <w:szCs w:val="24"/>
        </w:rPr>
        <w:t>Principles of Professional Legal Practice</w:t>
      </w:r>
    </w:p>
    <w:p w14:paraId="18DA65FA" w14:textId="287BB0C2" w:rsidR="00EB5E4B" w:rsidRPr="002B5366" w:rsidRDefault="00EB5E4B" w:rsidP="00EB5E4B">
      <w:pPr>
        <w:jc w:val="center"/>
        <w:rPr>
          <w:rFonts w:ascii="Arial" w:hAnsi="Arial" w:cs="Arial"/>
          <w:b/>
          <w:bCs/>
          <w:sz w:val="24"/>
          <w:szCs w:val="24"/>
        </w:rPr>
      </w:pPr>
      <w:r w:rsidRPr="002B5366">
        <w:rPr>
          <w:rFonts w:ascii="Arial" w:hAnsi="Arial" w:cs="Arial"/>
          <w:b/>
          <w:bCs/>
          <w:sz w:val="24"/>
          <w:szCs w:val="24"/>
        </w:rPr>
        <w:t>Equality and Diversity</w:t>
      </w:r>
    </w:p>
    <w:p w14:paraId="6A0B0624" w14:textId="7FECB80C" w:rsidR="00EB5E4B" w:rsidRPr="00EB5E4B" w:rsidRDefault="00EB5E4B" w:rsidP="00EB5E4B">
      <w:pPr>
        <w:rPr>
          <w:rFonts w:ascii="Arial" w:hAnsi="Arial" w:cs="Arial"/>
          <w:sz w:val="24"/>
          <w:szCs w:val="24"/>
          <w:lang w:eastAsia="en-GB"/>
        </w:rPr>
      </w:pPr>
      <w:r w:rsidRPr="00EB5E4B">
        <w:rPr>
          <w:rFonts w:ascii="Arial" w:hAnsi="Arial" w:cs="Arial"/>
          <w:sz w:val="24"/>
          <w:szCs w:val="24"/>
          <w:lang w:eastAsia="en-GB"/>
        </w:rPr>
        <w:t>Equality and diversity are fundamental principles that underpin a fair and just society. Within the legal profession, these principles are of utmost importance, not only to ensure fairness and non-discrimination but also to enhance the profession's effectiveness and credibility. This essay will explore the significance of equality and diversity within the legal profession, with specific reference to the Equality Act 2010 and the Solicitors Regulation Authority (SRA) Code of Conduct (2019). By examining the legal framework and ethical obligations, this essay will demonstrate the importance of promoting equality and diversity in the legal profession.</w:t>
      </w:r>
    </w:p>
    <w:p w14:paraId="0B054C67" w14:textId="2E3B53F1" w:rsidR="00EB5E4B" w:rsidRPr="00EB5E4B" w:rsidRDefault="00EB5E4B" w:rsidP="00EB5E4B">
      <w:pPr>
        <w:rPr>
          <w:rFonts w:ascii="Arial" w:hAnsi="Arial" w:cs="Arial"/>
          <w:sz w:val="24"/>
          <w:szCs w:val="24"/>
          <w:lang w:eastAsia="en-GB"/>
        </w:rPr>
      </w:pPr>
      <w:r w:rsidRPr="00EB5E4B">
        <w:rPr>
          <w:rFonts w:ascii="Arial" w:hAnsi="Arial" w:cs="Arial"/>
          <w:sz w:val="24"/>
          <w:szCs w:val="24"/>
          <w:lang w:eastAsia="en-GB"/>
        </w:rPr>
        <w:t>The Equality Act 2010 serves as a comprehensive legislative framework that prohibits discrimination and promotes equality across various protected characteristics, including age, disability, gender reassignment, marriage and civil partnership, pregnancy and maternity, race, religion or belief, sex, and sexual orientation. The Act establishes a legal duty for all individuals and organizations, including legal professionals, to promote equality and prevent discrimination.</w:t>
      </w:r>
      <w:r w:rsidR="002435E0">
        <w:rPr>
          <w:rFonts w:ascii="Arial" w:hAnsi="Arial" w:cs="Arial"/>
          <w:sz w:val="24"/>
          <w:szCs w:val="24"/>
          <w:lang w:eastAsia="en-GB"/>
        </w:rPr>
        <w:t xml:space="preserve"> </w:t>
      </w:r>
      <w:r w:rsidRPr="00EB5E4B">
        <w:rPr>
          <w:rFonts w:ascii="Arial" w:hAnsi="Arial" w:cs="Arial"/>
          <w:sz w:val="24"/>
          <w:szCs w:val="24"/>
          <w:lang w:eastAsia="en-GB"/>
        </w:rPr>
        <w:t>In addition to the Equality Act 2010, the SRA Code of Conduct (2019) sets out the regulatory requirements and ethical obligations for solicitors in England and Wales. The Code emphasizes the importance of promoting equality, diversity, and inclusion within the legal profession. It explicitly states that solicitors must "promote equality of opportunity and diversity" and "not discriminate unlawfully" based on the protected characteristics outlined in the Equality Act.</w:t>
      </w:r>
      <w:r w:rsidR="00B2113D">
        <w:rPr>
          <w:rFonts w:ascii="Arial" w:hAnsi="Arial" w:cs="Arial"/>
          <w:sz w:val="24"/>
          <w:szCs w:val="24"/>
          <w:lang w:eastAsia="en-GB"/>
        </w:rPr>
        <w:t xml:space="preserve"> </w:t>
      </w:r>
      <w:r w:rsidR="00B726C6">
        <w:rPr>
          <w:rFonts w:ascii="Arial" w:hAnsi="Arial" w:cs="Arial"/>
          <w:sz w:val="24"/>
          <w:szCs w:val="24"/>
          <w:lang w:eastAsia="en-GB"/>
        </w:rPr>
        <w:t xml:space="preserve">The Oxford Dictionary defines equal opportunity as </w:t>
      </w:r>
      <w:r w:rsidR="00B726C6" w:rsidRPr="00B726C6">
        <w:rPr>
          <w:rFonts w:ascii="Arial" w:hAnsi="Arial" w:cs="Arial"/>
          <w:sz w:val="24"/>
          <w:szCs w:val="24"/>
          <w:lang w:eastAsia="en-GB"/>
        </w:rPr>
        <w:t>“</w:t>
      </w:r>
      <w:r w:rsidR="00B726C6" w:rsidRPr="00B726C6">
        <w:rPr>
          <w:rFonts w:ascii="Arial" w:hAnsi="Arial" w:cs="Arial"/>
          <w:color w:val="111111"/>
          <w:sz w:val="24"/>
          <w:szCs w:val="24"/>
          <w:shd w:val="clear" w:color="auto" w:fill="FFFFFF"/>
        </w:rPr>
        <w:t>the right to be treated without discrimination, especially on the grounds of race, sex, age, or disability</w:t>
      </w:r>
      <w:r w:rsidR="00C92434">
        <w:rPr>
          <w:rFonts w:ascii="Arial" w:hAnsi="Arial" w:cs="Arial"/>
          <w:color w:val="111111"/>
          <w:sz w:val="24"/>
          <w:szCs w:val="24"/>
          <w:shd w:val="clear" w:color="auto" w:fill="FFFFFF"/>
        </w:rPr>
        <w:t>.</w:t>
      </w:r>
      <w:r w:rsidR="00B726C6">
        <w:rPr>
          <w:rFonts w:ascii="Arial" w:hAnsi="Arial" w:cs="Arial"/>
          <w:color w:val="111111"/>
          <w:sz w:val="24"/>
          <w:szCs w:val="24"/>
          <w:shd w:val="clear" w:color="auto" w:fill="FFFFFF"/>
        </w:rPr>
        <w:t>”</w:t>
      </w:r>
      <w:r w:rsidR="00C92434">
        <w:rPr>
          <w:rFonts w:ascii="Arial" w:hAnsi="Arial" w:cs="Arial"/>
          <w:color w:val="111111"/>
          <w:sz w:val="24"/>
          <w:szCs w:val="24"/>
          <w:shd w:val="clear" w:color="auto" w:fill="FFFFFF"/>
        </w:rPr>
        <w:t xml:space="preserve"> (</w:t>
      </w:r>
      <w:r w:rsidR="003D22F8">
        <w:rPr>
          <w:rFonts w:ascii="Arial" w:hAnsi="Arial" w:cs="Arial"/>
          <w:color w:val="111111"/>
          <w:sz w:val="24"/>
          <w:szCs w:val="24"/>
          <w:shd w:val="clear" w:color="auto" w:fill="FFFFFF"/>
        </w:rPr>
        <w:t xml:space="preserve">Oxford, </w:t>
      </w:r>
      <w:r w:rsidR="006415BA">
        <w:rPr>
          <w:rFonts w:ascii="Arial" w:hAnsi="Arial" w:cs="Arial"/>
          <w:color w:val="111111"/>
          <w:sz w:val="24"/>
          <w:szCs w:val="24"/>
          <w:shd w:val="clear" w:color="auto" w:fill="FFFFFF"/>
        </w:rPr>
        <w:t xml:space="preserve">2023). </w:t>
      </w:r>
    </w:p>
    <w:p w14:paraId="655C2D00" w14:textId="36F5A7BA" w:rsidR="00EB5E4B" w:rsidRPr="00EB5E4B" w:rsidRDefault="00EB5E4B" w:rsidP="00EB5E4B">
      <w:pPr>
        <w:rPr>
          <w:rFonts w:ascii="Arial" w:hAnsi="Arial" w:cs="Arial"/>
          <w:sz w:val="24"/>
          <w:szCs w:val="24"/>
          <w:lang w:eastAsia="en-GB"/>
        </w:rPr>
      </w:pPr>
      <w:r w:rsidRPr="00EB5E4B">
        <w:rPr>
          <w:rFonts w:ascii="Arial" w:hAnsi="Arial" w:cs="Arial"/>
          <w:sz w:val="24"/>
          <w:szCs w:val="24"/>
          <w:lang w:eastAsia="en-GB"/>
        </w:rPr>
        <w:t>Equality and diversity are intrinsic to the pursuit of justice and fairness within the legal profession. By treating individuals and groups fairly, without discrimination, legal professionals ensure that all individuals have equal access to justice and are protected from prejudice or bias. Promoting equality and diversity fosters a legal system that is perceived as impartial, credible, and trustworthy.</w:t>
      </w:r>
    </w:p>
    <w:p w14:paraId="1C37432D" w14:textId="09305CB2" w:rsidR="00EB5E4B" w:rsidRPr="00EB5E4B" w:rsidRDefault="00EB5E4B" w:rsidP="00EB5E4B">
      <w:pPr>
        <w:rPr>
          <w:rFonts w:ascii="Arial" w:hAnsi="Arial" w:cs="Arial"/>
          <w:sz w:val="24"/>
          <w:szCs w:val="24"/>
          <w:lang w:eastAsia="en-GB"/>
        </w:rPr>
      </w:pPr>
      <w:r w:rsidRPr="00EB5E4B">
        <w:rPr>
          <w:rFonts w:ascii="Arial" w:hAnsi="Arial" w:cs="Arial"/>
          <w:sz w:val="24"/>
          <w:szCs w:val="24"/>
          <w:lang w:eastAsia="en-GB"/>
        </w:rPr>
        <w:t>Society is diverse, comprising individuals from various backgrounds, cultures, and identities. It is crucial for the legal profession to reflect this diversity to effectively serve the needs of all individuals. By embracing equality and diversity, the legal profession gains access to a wider range of perspectives and experiences, leading to more innovative and inclusive legal solutions. Diversity also promotes the legitimacy of the legal profession by ensuring that legal professionals better understand the diverse needs and experiences of the clients they serve.</w:t>
      </w:r>
    </w:p>
    <w:p w14:paraId="0F18D796" w14:textId="1F60CF24" w:rsidR="00EB5E4B" w:rsidRPr="00EB5E4B" w:rsidRDefault="00EB5E4B" w:rsidP="00EB5E4B">
      <w:pPr>
        <w:rPr>
          <w:rFonts w:ascii="Arial" w:hAnsi="Arial" w:cs="Arial"/>
          <w:sz w:val="24"/>
          <w:szCs w:val="24"/>
          <w:lang w:eastAsia="en-GB"/>
        </w:rPr>
      </w:pPr>
      <w:r w:rsidRPr="00EB5E4B">
        <w:rPr>
          <w:rFonts w:ascii="Arial" w:hAnsi="Arial" w:cs="Arial"/>
          <w:sz w:val="24"/>
          <w:szCs w:val="24"/>
          <w:lang w:eastAsia="en-GB"/>
        </w:rPr>
        <w:t>Equality and diversity within the legal profession are key to addressing barriers to access to justice. By promoting equality of opportunity, the legal profession can ensure that individuals from disadvantaged or marginalized backgrounds have equal access to legal services. This includes increasing representation of underrepresented groups within the legal profession, addressing unconscious biases in decision-making, and providing culturally sensitive legal support.</w:t>
      </w:r>
    </w:p>
    <w:p w14:paraId="47135ED9" w14:textId="5FF74D93" w:rsidR="00EB5E4B" w:rsidRDefault="00EB5E4B" w:rsidP="00EB5E4B">
      <w:pPr>
        <w:rPr>
          <w:rFonts w:ascii="Arial" w:hAnsi="Arial" w:cs="Arial"/>
          <w:sz w:val="24"/>
          <w:szCs w:val="24"/>
          <w:lang w:eastAsia="en-GB"/>
        </w:rPr>
      </w:pPr>
      <w:r w:rsidRPr="00EB5E4B">
        <w:rPr>
          <w:rFonts w:ascii="Arial" w:hAnsi="Arial" w:cs="Arial"/>
          <w:sz w:val="24"/>
          <w:szCs w:val="24"/>
          <w:lang w:eastAsia="en-GB"/>
        </w:rPr>
        <w:lastRenderedPageBreak/>
        <w:t>Legal professionals have a professional responsibility to uphold the principles of equality and diversity. The SRA Code of Conduct (2019) highlights the ethical obligations of solicitors to promote equality, diversity, and inclusion within their practice. This includes actively challenging discrimination, fostering inclusive working environments, and promoting equal opportunities for career progression.</w:t>
      </w:r>
    </w:p>
    <w:p w14:paraId="2A6D18C6" w14:textId="0FA0C8CC" w:rsidR="002753C2" w:rsidRDefault="002753C2" w:rsidP="00EB5E4B">
      <w:pPr>
        <w:rPr>
          <w:rFonts w:ascii="Arial" w:hAnsi="Arial" w:cs="Arial"/>
          <w:sz w:val="24"/>
          <w:szCs w:val="24"/>
          <w:lang w:eastAsia="en-GB"/>
        </w:rPr>
      </w:pPr>
      <w:r>
        <w:rPr>
          <w:rFonts w:ascii="Arial" w:hAnsi="Arial" w:cs="Arial"/>
          <w:sz w:val="24"/>
          <w:szCs w:val="24"/>
          <w:lang w:eastAsia="en-GB"/>
        </w:rPr>
        <w:t xml:space="preserve">Misconduct within the legal profession can have detrimental consequences to </w:t>
      </w:r>
      <w:r w:rsidR="003D5782">
        <w:rPr>
          <w:rFonts w:ascii="Arial" w:hAnsi="Arial" w:cs="Arial"/>
          <w:sz w:val="24"/>
          <w:szCs w:val="24"/>
          <w:lang w:eastAsia="en-GB"/>
        </w:rPr>
        <w:t>the organisation</w:t>
      </w:r>
      <w:r w:rsidR="006121A7">
        <w:rPr>
          <w:rFonts w:ascii="Arial" w:hAnsi="Arial" w:cs="Arial"/>
          <w:sz w:val="24"/>
          <w:szCs w:val="24"/>
          <w:lang w:eastAsia="en-GB"/>
        </w:rPr>
        <w:t xml:space="preserve"> </w:t>
      </w:r>
      <w:r w:rsidR="003D5782">
        <w:rPr>
          <w:rFonts w:ascii="Arial" w:hAnsi="Arial" w:cs="Arial"/>
          <w:sz w:val="24"/>
          <w:szCs w:val="24"/>
          <w:lang w:eastAsia="en-GB"/>
        </w:rPr>
        <w:t>as well as the individual</w:t>
      </w:r>
      <w:r w:rsidR="006121A7">
        <w:rPr>
          <w:rFonts w:ascii="Arial" w:hAnsi="Arial" w:cs="Arial"/>
          <w:sz w:val="24"/>
          <w:szCs w:val="24"/>
          <w:lang w:eastAsia="en-GB"/>
        </w:rPr>
        <w:t xml:space="preserve">, as seen in the </w:t>
      </w:r>
      <w:r w:rsidR="00566936">
        <w:rPr>
          <w:rFonts w:ascii="Arial" w:hAnsi="Arial" w:cs="Arial"/>
          <w:sz w:val="24"/>
          <w:szCs w:val="24"/>
          <w:lang w:eastAsia="en-GB"/>
        </w:rPr>
        <w:t>case of Wasim Iqba</w:t>
      </w:r>
      <w:r w:rsidR="00930BA4">
        <w:rPr>
          <w:rFonts w:ascii="Arial" w:hAnsi="Arial" w:cs="Arial"/>
          <w:sz w:val="24"/>
          <w:szCs w:val="24"/>
          <w:lang w:eastAsia="en-GB"/>
        </w:rPr>
        <w:t xml:space="preserve">l, a trainee </w:t>
      </w:r>
      <w:r w:rsidR="00D025C8">
        <w:rPr>
          <w:rFonts w:ascii="Arial" w:hAnsi="Arial" w:cs="Arial"/>
          <w:sz w:val="24"/>
          <w:szCs w:val="24"/>
          <w:lang w:eastAsia="en-GB"/>
        </w:rPr>
        <w:t xml:space="preserve">associate at </w:t>
      </w:r>
      <w:proofErr w:type="spellStart"/>
      <w:r w:rsidR="00D025C8">
        <w:rPr>
          <w:rFonts w:ascii="Arial" w:hAnsi="Arial" w:cs="Arial"/>
          <w:sz w:val="24"/>
          <w:szCs w:val="24"/>
          <w:lang w:eastAsia="en-GB"/>
        </w:rPr>
        <w:t>Eastway</w:t>
      </w:r>
      <w:proofErr w:type="spellEnd"/>
      <w:r w:rsidR="00D025C8">
        <w:rPr>
          <w:rFonts w:ascii="Arial" w:hAnsi="Arial" w:cs="Arial"/>
          <w:sz w:val="24"/>
          <w:szCs w:val="24"/>
          <w:lang w:eastAsia="en-GB"/>
        </w:rPr>
        <w:t xml:space="preserve"> Solicitors</w:t>
      </w:r>
      <w:r w:rsidR="00C17DF6">
        <w:rPr>
          <w:rFonts w:ascii="Arial" w:hAnsi="Arial" w:cs="Arial"/>
          <w:sz w:val="24"/>
          <w:szCs w:val="24"/>
          <w:lang w:eastAsia="en-GB"/>
        </w:rPr>
        <w:t xml:space="preserve"> </w:t>
      </w:r>
      <w:r w:rsidR="000471D7">
        <w:rPr>
          <w:rFonts w:ascii="Arial" w:hAnsi="Arial" w:cs="Arial"/>
          <w:sz w:val="24"/>
          <w:szCs w:val="24"/>
          <w:lang w:eastAsia="en-GB"/>
        </w:rPr>
        <w:t>personal injury firm</w:t>
      </w:r>
      <w:r w:rsidR="00D025C8">
        <w:rPr>
          <w:rFonts w:ascii="Arial" w:hAnsi="Arial" w:cs="Arial"/>
          <w:sz w:val="24"/>
          <w:szCs w:val="24"/>
          <w:lang w:eastAsia="en-GB"/>
        </w:rPr>
        <w:t xml:space="preserve">, </w:t>
      </w:r>
      <w:r w:rsidR="002302F0">
        <w:rPr>
          <w:rFonts w:ascii="Arial" w:hAnsi="Arial" w:cs="Arial"/>
          <w:sz w:val="24"/>
          <w:szCs w:val="24"/>
          <w:lang w:eastAsia="en-GB"/>
        </w:rPr>
        <w:t xml:space="preserve">who took part in fraud where </w:t>
      </w:r>
      <w:proofErr w:type="gramStart"/>
      <w:r w:rsidR="002302F0">
        <w:rPr>
          <w:rFonts w:ascii="Arial" w:hAnsi="Arial" w:cs="Arial"/>
          <w:sz w:val="24"/>
          <w:szCs w:val="24"/>
          <w:lang w:eastAsia="en-GB"/>
        </w:rPr>
        <w:t>a number of</w:t>
      </w:r>
      <w:proofErr w:type="gramEnd"/>
      <w:r w:rsidR="002302F0">
        <w:rPr>
          <w:rFonts w:ascii="Arial" w:hAnsi="Arial" w:cs="Arial"/>
          <w:sz w:val="24"/>
          <w:szCs w:val="24"/>
          <w:lang w:eastAsia="en-GB"/>
        </w:rPr>
        <w:t xml:space="preserve"> defendants conspired to defraud victims of over £400,000</w:t>
      </w:r>
      <w:r w:rsidR="00AE0543">
        <w:rPr>
          <w:rFonts w:ascii="Arial" w:hAnsi="Arial" w:cs="Arial"/>
          <w:sz w:val="24"/>
          <w:szCs w:val="24"/>
          <w:lang w:eastAsia="en-GB"/>
        </w:rPr>
        <w:t xml:space="preserve"> (King, 2018)</w:t>
      </w:r>
      <w:r w:rsidR="002302F0">
        <w:rPr>
          <w:rFonts w:ascii="Arial" w:hAnsi="Arial" w:cs="Arial"/>
          <w:sz w:val="24"/>
          <w:szCs w:val="24"/>
          <w:lang w:eastAsia="en-GB"/>
        </w:rPr>
        <w:t xml:space="preserve">. </w:t>
      </w:r>
      <w:r w:rsidR="003728FD">
        <w:rPr>
          <w:rFonts w:ascii="Arial" w:hAnsi="Arial" w:cs="Arial"/>
          <w:sz w:val="24"/>
          <w:szCs w:val="24"/>
          <w:lang w:eastAsia="en-GB"/>
        </w:rPr>
        <w:t xml:space="preserve">Because of this, the Solicitors Regulatory Authority (SRA) issued a </w:t>
      </w:r>
      <w:r w:rsidR="007A697D">
        <w:rPr>
          <w:rFonts w:ascii="Arial" w:hAnsi="Arial" w:cs="Arial"/>
          <w:sz w:val="24"/>
          <w:szCs w:val="24"/>
          <w:lang w:eastAsia="en-GB"/>
        </w:rPr>
        <w:t>S</w:t>
      </w:r>
      <w:r w:rsidR="003728FD">
        <w:rPr>
          <w:rFonts w:ascii="Arial" w:hAnsi="Arial" w:cs="Arial"/>
          <w:sz w:val="24"/>
          <w:szCs w:val="24"/>
          <w:lang w:eastAsia="en-GB"/>
        </w:rPr>
        <w:t>ection 43 order</w:t>
      </w:r>
      <w:r w:rsidR="007A697D">
        <w:rPr>
          <w:rFonts w:ascii="Arial" w:hAnsi="Arial" w:cs="Arial"/>
          <w:sz w:val="24"/>
          <w:szCs w:val="24"/>
          <w:lang w:eastAsia="en-GB"/>
        </w:rPr>
        <w:t xml:space="preserve"> which means that </w:t>
      </w:r>
      <w:r w:rsidR="00D22283">
        <w:rPr>
          <w:rFonts w:ascii="Arial" w:hAnsi="Arial" w:cs="Arial"/>
          <w:sz w:val="24"/>
          <w:szCs w:val="24"/>
          <w:lang w:eastAsia="en-GB"/>
        </w:rPr>
        <w:t>Wasim Iqbal can be prevented from being employed of remunerated by an SRA authorised body without the express written permission of the SRA</w:t>
      </w:r>
      <w:r w:rsidR="00323D6A">
        <w:rPr>
          <w:rFonts w:ascii="Arial" w:hAnsi="Arial" w:cs="Arial"/>
          <w:sz w:val="24"/>
          <w:szCs w:val="24"/>
          <w:lang w:eastAsia="en-GB"/>
        </w:rPr>
        <w:t xml:space="preserve"> (Solicitors Regulation Authority)</w:t>
      </w:r>
      <w:r w:rsidR="00D22283">
        <w:rPr>
          <w:rFonts w:ascii="Arial" w:hAnsi="Arial" w:cs="Arial"/>
          <w:sz w:val="24"/>
          <w:szCs w:val="24"/>
          <w:lang w:eastAsia="en-GB"/>
        </w:rPr>
        <w:t xml:space="preserve">. </w:t>
      </w:r>
      <w:proofErr w:type="spellStart"/>
      <w:r w:rsidR="00496F4F">
        <w:rPr>
          <w:rFonts w:ascii="Arial" w:hAnsi="Arial" w:cs="Arial"/>
          <w:sz w:val="24"/>
          <w:szCs w:val="24"/>
          <w:lang w:eastAsia="en-GB"/>
        </w:rPr>
        <w:t>Eastway</w:t>
      </w:r>
      <w:proofErr w:type="spellEnd"/>
      <w:r w:rsidR="00496F4F">
        <w:rPr>
          <w:rFonts w:ascii="Arial" w:hAnsi="Arial" w:cs="Arial"/>
          <w:sz w:val="24"/>
          <w:szCs w:val="24"/>
          <w:lang w:eastAsia="en-GB"/>
        </w:rPr>
        <w:t xml:space="preserve"> Solicitors since closed following an SRA intervention</w:t>
      </w:r>
      <w:r w:rsidR="00AE0543">
        <w:rPr>
          <w:rFonts w:ascii="Arial" w:hAnsi="Arial" w:cs="Arial"/>
          <w:sz w:val="24"/>
          <w:szCs w:val="24"/>
          <w:lang w:eastAsia="en-GB"/>
        </w:rPr>
        <w:t xml:space="preserve"> (</w:t>
      </w:r>
      <w:r w:rsidR="00700E8A">
        <w:rPr>
          <w:rFonts w:ascii="Arial" w:hAnsi="Arial" w:cs="Arial"/>
          <w:sz w:val="24"/>
          <w:szCs w:val="24"/>
          <w:lang w:eastAsia="en-GB"/>
        </w:rPr>
        <w:t xml:space="preserve">ITV, </w:t>
      </w:r>
      <w:r w:rsidR="00143AE7">
        <w:rPr>
          <w:rFonts w:ascii="Arial" w:hAnsi="Arial" w:cs="Arial"/>
          <w:sz w:val="24"/>
          <w:szCs w:val="24"/>
          <w:lang w:eastAsia="en-GB"/>
        </w:rPr>
        <w:t xml:space="preserve">2017). James Dalton, the Director of General Insurance Policy, Association of British Insurers was quoted saying </w:t>
      </w:r>
      <w:r w:rsidR="00D7372B" w:rsidRPr="00D7372B">
        <w:rPr>
          <w:rFonts w:ascii="Arial" w:hAnsi="Arial" w:cs="Arial"/>
          <w:sz w:val="24"/>
          <w:szCs w:val="24"/>
          <w:lang w:eastAsia="en-GB"/>
        </w:rPr>
        <w:t>“</w:t>
      </w:r>
      <w:r w:rsidR="00D7372B" w:rsidRPr="00D7372B">
        <w:rPr>
          <w:rFonts w:ascii="Arial" w:hAnsi="Arial" w:cs="Arial"/>
          <w:spacing w:val="-2"/>
          <w:sz w:val="24"/>
          <w:szCs w:val="24"/>
          <w:shd w:val="clear" w:color="auto" w:fill="FFFFFF"/>
        </w:rPr>
        <w:t>This ruling shows that the industry will do whatever it takes to root out anyone who abuses their professional position to commit insurance fraud.</w:t>
      </w:r>
      <w:r w:rsidR="00D7372B" w:rsidRPr="00D7372B">
        <w:rPr>
          <w:rFonts w:ascii="Arial" w:hAnsi="Arial" w:cs="Arial"/>
          <w:spacing w:val="-2"/>
          <w:sz w:val="24"/>
          <w:szCs w:val="24"/>
          <w:shd w:val="clear" w:color="auto" w:fill="FFFFFF"/>
        </w:rPr>
        <w:t>”</w:t>
      </w:r>
    </w:p>
    <w:p w14:paraId="49AE8890" w14:textId="09DE0081" w:rsidR="004C0465" w:rsidRDefault="004C0465" w:rsidP="004C0465">
      <w:pPr>
        <w:rPr>
          <w:rFonts w:ascii="Arial" w:hAnsi="Arial" w:cs="Arial"/>
          <w:sz w:val="24"/>
          <w:szCs w:val="24"/>
        </w:rPr>
      </w:pPr>
      <w:r w:rsidRPr="004C0465">
        <w:rPr>
          <w:rFonts w:ascii="Arial" w:hAnsi="Arial" w:cs="Arial"/>
          <w:sz w:val="24"/>
          <w:szCs w:val="24"/>
        </w:rPr>
        <w:t xml:space="preserve">One of the ways to understand the significance of equality and diversity within the legal profession is by referencing the Chartered Institute of Legal Executives (CILEx) Code of Conduct 2019, which outlines the ethical and professional standards expected of legal </w:t>
      </w:r>
      <w:proofErr w:type="spellStart"/>
      <w:r w:rsidRPr="004C0465">
        <w:rPr>
          <w:rFonts w:ascii="Arial" w:hAnsi="Arial" w:cs="Arial"/>
          <w:sz w:val="24"/>
          <w:szCs w:val="24"/>
        </w:rPr>
        <w:t>professionals.The</w:t>
      </w:r>
      <w:proofErr w:type="spellEnd"/>
      <w:r w:rsidRPr="004C0465">
        <w:rPr>
          <w:rFonts w:ascii="Arial" w:hAnsi="Arial" w:cs="Arial"/>
          <w:sz w:val="24"/>
          <w:szCs w:val="24"/>
        </w:rPr>
        <w:t xml:space="preserve"> CILEx Code of Conduct 2019 emphasizes the importance of equality and diversity through several key points</w:t>
      </w:r>
      <w:r w:rsidR="002B1B05">
        <w:rPr>
          <w:rFonts w:ascii="Arial" w:hAnsi="Arial" w:cs="Arial"/>
          <w:sz w:val="24"/>
          <w:szCs w:val="24"/>
        </w:rPr>
        <w:t xml:space="preserve"> such as fair treatment and respect, avoiding discrimination, diverse representation, access to justice, challenging discrimination and supporting inclusive workplaces. </w:t>
      </w:r>
      <w:r w:rsidRPr="004C0465">
        <w:rPr>
          <w:rFonts w:ascii="Arial" w:hAnsi="Arial" w:cs="Arial"/>
          <w:sz w:val="24"/>
          <w:szCs w:val="24"/>
        </w:rPr>
        <w:t>The code underscores that legal professionals must treat everyone fairly and respectfully, regardless of their age, gender, race, ethnicity, religion, sexual orientation, disability, or any other characteristic. This aligns with the principle of equal treatment under the law.</w:t>
      </w:r>
      <w:r w:rsidR="002B1B05">
        <w:rPr>
          <w:rFonts w:ascii="Arial" w:hAnsi="Arial" w:cs="Arial"/>
          <w:sz w:val="24"/>
          <w:szCs w:val="24"/>
        </w:rPr>
        <w:t xml:space="preserve"> </w:t>
      </w:r>
      <w:r w:rsidRPr="004C0465">
        <w:rPr>
          <w:rFonts w:ascii="Arial" w:hAnsi="Arial" w:cs="Arial"/>
          <w:sz w:val="24"/>
          <w:szCs w:val="24"/>
        </w:rPr>
        <w:t>The code explicitly prohibits discrimination in all forms, ensuring that legal professionals do not engage in any actions that might lead to unequal treatment based on protected characteristics. This prohibition helps maintain the integrity of legal proceedings and interactions.</w:t>
      </w:r>
      <w:r w:rsidR="0047527F">
        <w:rPr>
          <w:rFonts w:ascii="Arial" w:hAnsi="Arial" w:cs="Arial"/>
          <w:sz w:val="24"/>
          <w:szCs w:val="24"/>
        </w:rPr>
        <w:t xml:space="preserve"> As well as this, they </w:t>
      </w:r>
      <w:r w:rsidRPr="004C0465">
        <w:rPr>
          <w:rFonts w:ascii="Arial" w:hAnsi="Arial" w:cs="Arial"/>
          <w:sz w:val="24"/>
          <w:szCs w:val="24"/>
        </w:rPr>
        <w:t>encourage legal professionals to actively promote diversity within the profession. This includes efforts to increase representation of individuals from diverse backgrounds in the legal workforce, thereby enriching the profession with a broader range of perspectives and experiences.</w:t>
      </w:r>
      <w:r w:rsidR="0047527F">
        <w:rPr>
          <w:rFonts w:ascii="Arial" w:hAnsi="Arial" w:cs="Arial"/>
          <w:sz w:val="24"/>
          <w:szCs w:val="24"/>
        </w:rPr>
        <w:t xml:space="preserve"> </w:t>
      </w:r>
      <w:r w:rsidRPr="004C0465">
        <w:rPr>
          <w:rFonts w:ascii="Arial" w:hAnsi="Arial" w:cs="Arial"/>
          <w:sz w:val="24"/>
          <w:szCs w:val="24"/>
        </w:rPr>
        <w:t>Equality and diversity are fundamental to ensuring access to justice for all individuals. The code highlights the need for legal professionals to make their services accessible to a diverse range of clients, ensuring that no one is excluded or disadvantaged due to their background.</w:t>
      </w:r>
      <w:r w:rsidR="004033FE">
        <w:rPr>
          <w:rFonts w:ascii="Arial" w:hAnsi="Arial" w:cs="Arial"/>
          <w:sz w:val="24"/>
          <w:szCs w:val="24"/>
        </w:rPr>
        <w:t xml:space="preserve"> </w:t>
      </w:r>
      <w:r w:rsidRPr="004C0465">
        <w:rPr>
          <w:rFonts w:ascii="Arial" w:hAnsi="Arial" w:cs="Arial"/>
          <w:sz w:val="24"/>
          <w:szCs w:val="24"/>
        </w:rPr>
        <w:t>The code recognizes the importance of ongoing personal development and training for legal professionals in the areas of equality and diversity. This helps legal professionals stay informed about best practices and updates in this realm, enabling them to provide better services to their clients.</w:t>
      </w:r>
      <w:r w:rsidR="007B2E4D">
        <w:rPr>
          <w:rFonts w:ascii="Arial" w:hAnsi="Arial" w:cs="Arial"/>
          <w:sz w:val="24"/>
          <w:szCs w:val="24"/>
        </w:rPr>
        <w:t xml:space="preserve"> They also encourage </w:t>
      </w:r>
      <w:r w:rsidRPr="004C0465">
        <w:rPr>
          <w:rFonts w:ascii="Arial" w:hAnsi="Arial" w:cs="Arial"/>
          <w:sz w:val="24"/>
          <w:szCs w:val="24"/>
        </w:rPr>
        <w:t xml:space="preserve">legal professionals to challenge discriminatory </w:t>
      </w:r>
      <w:r w:rsidR="007B2E4D" w:rsidRPr="004C0465">
        <w:rPr>
          <w:rFonts w:ascii="Arial" w:hAnsi="Arial" w:cs="Arial"/>
          <w:sz w:val="24"/>
          <w:szCs w:val="24"/>
        </w:rPr>
        <w:t>behaviour</w:t>
      </w:r>
      <w:r w:rsidRPr="004C0465">
        <w:rPr>
          <w:rFonts w:ascii="Arial" w:hAnsi="Arial" w:cs="Arial"/>
          <w:sz w:val="24"/>
          <w:szCs w:val="24"/>
        </w:rPr>
        <w:t xml:space="preserve"> they encounter within the legal system or profession. This proactive stance helps create an environment where discrimination is not tolerated.</w:t>
      </w:r>
      <w:r w:rsidR="00974EF4">
        <w:rPr>
          <w:rFonts w:ascii="Arial" w:hAnsi="Arial" w:cs="Arial"/>
          <w:sz w:val="24"/>
          <w:szCs w:val="24"/>
        </w:rPr>
        <w:t xml:space="preserve"> </w:t>
      </w:r>
      <w:r w:rsidRPr="004C0465">
        <w:rPr>
          <w:rFonts w:ascii="Arial" w:hAnsi="Arial" w:cs="Arial"/>
          <w:sz w:val="24"/>
          <w:szCs w:val="24"/>
        </w:rPr>
        <w:t xml:space="preserve">The code emphasizes that legal professionals should work to create inclusive workplaces </w:t>
      </w:r>
      <w:r w:rsidRPr="004C0465">
        <w:rPr>
          <w:rFonts w:ascii="Arial" w:hAnsi="Arial" w:cs="Arial"/>
          <w:sz w:val="24"/>
          <w:szCs w:val="24"/>
        </w:rPr>
        <w:lastRenderedPageBreak/>
        <w:t xml:space="preserve">where diversity is </w:t>
      </w:r>
      <w:r w:rsidR="00974EF4" w:rsidRPr="004C0465">
        <w:rPr>
          <w:rFonts w:ascii="Arial" w:hAnsi="Arial" w:cs="Arial"/>
          <w:sz w:val="24"/>
          <w:szCs w:val="24"/>
        </w:rPr>
        <w:t>celebrated,</w:t>
      </w:r>
      <w:r w:rsidRPr="004C0465">
        <w:rPr>
          <w:rFonts w:ascii="Arial" w:hAnsi="Arial" w:cs="Arial"/>
          <w:sz w:val="24"/>
          <w:szCs w:val="24"/>
        </w:rPr>
        <w:t xml:space="preserve"> and everyone feels welcome. This extends to colleagues, clients, and stakeholders.</w:t>
      </w:r>
      <w:r w:rsidR="00974EF4">
        <w:rPr>
          <w:rFonts w:ascii="Arial" w:hAnsi="Arial" w:cs="Arial"/>
          <w:sz w:val="24"/>
          <w:szCs w:val="24"/>
        </w:rPr>
        <w:t xml:space="preserve"> </w:t>
      </w:r>
      <w:r w:rsidRPr="004C0465">
        <w:rPr>
          <w:rFonts w:ascii="Arial" w:hAnsi="Arial" w:cs="Arial"/>
          <w:sz w:val="24"/>
          <w:szCs w:val="24"/>
        </w:rPr>
        <w:t xml:space="preserve">In summary, the CILEx Code of Conduct 2019 underscores the significance of equality and diversity within the legal profession. By adhering to these principles, legal professionals contribute to a more just, equitable, and accessible legal system. Moreover, these principles align with broader societal values of fairness and respect, enhancing the credibility and integrity of the legal </w:t>
      </w:r>
      <w:proofErr w:type="gramStart"/>
      <w:r w:rsidRPr="004C0465">
        <w:rPr>
          <w:rFonts w:ascii="Arial" w:hAnsi="Arial" w:cs="Arial"/>
          <w:sz w:val="24"/>
          <w:szCs w:val="24"/>
        </w:rPr>
        <w:t>profession as a whole</w:t>
      </w:r>
      <w:proofErr w:type="gramEnd"/>
      <w:r w:rsidRPr="004C0465">
        <w:rPr>
          <w:rFonts w:ascii="Arial" w:hAnsi="Arial" w:cs="Arial"/>
          <w:sz w:val="24"/>
          <w:szCs w:val="24"/>
        </w:rPr>
        <w:t>.</w:t>
      </w:r>
    </w:p>
    <w:p w14:paraId="72CF5EA7" w14:textId="7613B3AB" w:rsidR="007D0C41" w:rsidRPr="00AF7833" w:rsidRDefault="007D0C41" w:rsidP="004C0465">
      <w:pPr>
        <w:rPr>
          <w:rFonts w:ascii="Arial" w:hAnsi="Arial" w:cs="Arial"/>
          <w:sz w:val="24"/>
          <w:szCs w:val="24"/>
        </w:rPr>
      </w:pPr>
      <w:r>
        <w:rPr>
          <w:rFonts w:ascii="Arial" w:hAnsi="Arial" w:cs="Arial"/>
          <w:sz w:val="24"/>
          <w:szCs w:val="24"/>
        </w:rPr>
        <w:t xml:space="preserve">In this current era, </w:t>
      </w:r>
      <w:r w:rsidRPr="00AF7833">
        <w:rPr>
          <w:rFonts w:ascii="Arial" w:hAnsi="Arial" w:cs="Arial"/>
          <w:sz w:val="24"/>
          <w:szCs w:val="24"/>
        </w:rPr>
        <w:t>t</w:t>
      </w:r>
      <w:r w:rsidRPr="00AF7833">
        <w:rPr>
          <w:rFonts w:ascii="Arial" w:hAnsi="Arial" w:cs="Arial"/>
          <w:sz w:val="24"/>
          <w:szCs w:val="24"/>
        </w:rPr>
        <w:t>he legal landscape is evolving, becoming more intricate and challenging due to factors like technological advancements, economic shifts, and global changes. In such an environment, legal professionals need to understand and adapt to diverse social forces and trends that extend beyond the traditional scope of legal practice. This includes recognizing the impact of major social and economic trends on legal work.</w:t>
      </w:r>
      <w:r w:rsidR="00F47B84" w:rsidRPr="00AF7833">
        <w:rPr>
          <w:rFonts w:ascii="Arial" w:hAnsi="Arial" w:cs="Arial"/>
          <w:sz w:val="24"/>
          <w:szCs w:val="24"/>
        </w:rPr>
        <w:t xml:space="preserve"> </w:t>
      </w:r>
      <w:r w:rsidR="00F47B84" w:rsidRPr="00AF7833">
        <w:rPr>
          <w:rFonts w:ascii="Arial" w:hAnsi="Arial" w:cs="Arial"/>
          <w:sz w:val="24"/>
          <w:szCs w:val="24"/>
        </w:rPr>
        <w:t>ethical decision-making within the legal profession is no longer solely about applying legal rules and case law. It requires an understanding of moral philosophy and general morality. This shift reflects the recognition that ethical decisions should encompass a broader perspective that considers societal values and norms.</w:t>
      </w:r>
      <w:r w:rsidR="00D94038" w:rsidRPr="00AF7833">
        <w:rPr>
          <w:rFonts w:ascii="Arial" w:hAnsi="Arial" w:cs="Arial"/>
          <w:sz w:val="24"/>
          <w:szCs w:val="24"/>
        </w:rPr>
        <w:t xml:space="preserve"> Therefore, </w:t>
      </w:r>
      <w:r w:rsidR="00D94038" w:rsidRPr="00AF7833">
        <w:rPr>
          <w:rFonts w:ascii="Arial" w:hAnsi="Arial" w:cs="Arial"/>
          <w:sz w:val="24"/>
          <w:szCs w:val="24"/>
        </w:rPr>
        <w:t>the legal profession needs to align with changing social and economic trends, including a move away from economic neo-liberalism towards sustainable legal practice. This shift necessitates a deeper understanding of societal and environmental concerns, which are often interconnected with issues of equality and diversity.</w:t>
      </w:r>
      <w:r w:rsidR="0097645B" w:rsidRPr="00AF7833">
        <w:rPr>
          <w:rFonts w:ascii="Arial" w:hAnsi="Arial" w:cs="Arial"/>
          <w:sz w:val="24"/>
          <w:szCs w:val="24"/>
        </w:rPr>
        <w:t xml:space="preserve"> </w:t>
      </w:r>
      <w:r w:rsidR="0097645B" w:rsidRPr="00AF7833">
        <w:rPr>
          <w:rFonts w:ascii="Arial" w:hAnsi="Arial" w:cs="Arial"/>
          <w:sz w:val="24"/>
          <w:szCs w:val="24"/>
        </w:rPr>
        <w:t>As legal practice evolves to encompass mediation, responsible lawyering, and other alternative approaches, there is an increasing need for legal professionals to adopt more inclusive roles. These roles involve understanding and accommodating diverse perspectives and interests, which align with the principles of equality and diversity.</w:t>
      </w:r>
      <w:r w:rsidR="000A7E14" w:rsidRPr="00AF7833">
        <w:rPr>
          <w:rFonts w:ascii="Arial" w:hAnsi="Arial" w:cs="Arial"/>
          <w:sz w:val="24"/>
          <w:szCs w:val="24"/>
        </w:rPr>
        <w:t xml:space="preserve"> It’s important</w:t>
      </w:r>
      <w:r w:rsidR="000A7E14" w:rsidRPr="00AF7833">
        <w:rPr>
          <w:rFonts w:ascii="Arial" w:hAnsi="Arial" w:cs="Arial"/>
          <w:sz w:val="24"/>
          <w:szCs w:val="24"/>
        </w:rPr>
        <w:t xml:space="preserve"> </w:t>
      </w:r>
      <w:r w:rsidR="000A7E14" w:rsidRPr="00AF7833">
        <w:rPr>
          <w:rFonts w:ascii="Arial" w:hAnsi="Arial" w:cs="Arial"/>
          <w:sz w:val="24"/>
          <w:szCs w:val="24"/>
        </w:rPr>
        <w:t>that</w:t>
      </w:r>
      <w:r w:rsidR="000A7E14" w:rsidRPr="00AF7833">
        <w:rPr>
          <w:rFonts w:ascii="Arial" w:hAnsi="Arial" w:cs="Arial"/>
          <w:sz w:val="24"/>
          <w:szCs w:val="24"/>
        </w:rPr>
        <w:t xml:space="preserve"> lawyers </w:t>
      </w:r>
      <w:r w:rsidR="000A7E14" w:rsidRPr="00AF7833">
        <w:rPr>
          <w:rFonts w:ascii="Arial" w:hAnsi="Arial" w:cs="Arial"/>
          <w:sz w:val="24"/>
          <w:szCs w:val="24"/>
        </w:rPr>
        <w:t>are</w:t>
      </w:r>
      <w:r w:rsidR="000A7E14" w:rsidRPr="00AF7833">
        <w:rPr>
          <w:rFonts w:ascii="Arial" w:hAnsi="Arial" w:cs="Arial"/>
          <w:sz w:val="24"/>
          <w:szCs w:val="24"/>
        </w:rPr>
        <w:t xml:space="preserve"> aware of and engaged with political policy changes and shifts in societal values</w:t>
      </w:r>
      <w:r w:rsidR="005A275E">
        <w:rPr>
          <w:rFonts w:ascii="Arial" w:hAnsi="Arial" w:cs="Arial"/>
          <w:sz w:val="24"/>
          <w:szCs w:val="24"/>
        </w:rPr>
        <w:t xml:space="preserve"> (Parker, 2018, p.2). </w:t>
      </w:r>
    </w:p>
    <w:p w14:paraId="4D2A7E01" w14:textId="2D67F4C4" w:rsidR="00EB5E4B" w:rsidRPr="00EB5E4B" w:rsidRDefault="00EB5E4B" w:rsidP="00EB5E4B">
      <w:pPr>
        <w:rPr>
          <w:rFonts w:ascii="Arial" w:hAnsi="Arial" w:cs="Arial"/>
          <w:sz w:val="24"/>
          <w:szCs w:val="24"/>
          <w:lang w:eastAsia="en-GB"/>
        </w:rPr>
      </w:pPr>
      <w:r w:rsidRPr="00EB5E4B">
        <w:rPr>
          <w:rFonts w:ascii="Arial" w:hAnsi="Arial" w:cs="Arial"/>
          <w:sz w:val="24"/>
          <w:szCs w:val="24"/>
          <w:lang w:eastAsia="en-GB"/>
        </w:rPr>
        <w:t>Equality and diversity are integral to the functioning of the legal profession. The Equality Act 2010 and the SRA Code of Conduct (2019) provide a robust legal and regulatory framework to ensure that legal professionals uphold the principles of equality, non-discrimination, and inclusivity. By promoting equality and diversity, the legal profession upholds justice, enhances credibility, and ensures equal access to justice for all individuals. Embracing diversity also brings a wider range of perspectives, fostering innovation and inclusivity within the legal profession. It is through these efforts that the legal profession can effectively serve the needs of a diverse and evolving society, ensuring fairness and equal opportunities for all.</w:t>
      </w:r>
    </w:p>
    <w:p w14:paraId="3455D697" w14:textId="77777777" w:rsidR="00EB5E4B" w:rsidRDefault="00EB5E4B" w:rsidP="00EB5E4B">
      <w:pPr>
        <w:jc w:val="center"/>
        <w:rPr>
          <w:rFonts w:ascii="Arial" w:hAnsi="Arial" w:cs="Arial"/>
          <w:b/>
          <w:bCs/>
          <w:sz w:val="24"/>
          <w:szCs w:val="24"/>
          <w:lang w:eastAsia="en-GB"/>
        </w:rPr>
      </w:pPr>
    </w:p>
    <w:p w14:paraId="164C023D" w14:textId="77777777" w:rsidR="00DC56B5" w:rsidRDefault="00DC56B5" w:rsidP="00EB5E4B">
      <w:pPr>
        <w:jc w:val="center"/>
        <w:rPr>
          <w:rFonts w:ascii="Arial" w:hAnsi="Arial" w:cs="Arial"/>
          <w:b/>
          <w:bCs/>
          <w:sz w:val="24"/>
          <w:szCs w:val="24"/>
          <w:lang w:eastAsia="en-GB"/>
        </w:rPr>
      </w:pPr>
    </w:p>
    <w:p w14:paraId="4E22E081" w14:textId="77777777" w:rsidR="00DC56B5" w:rsidRDefault="00DC56B5" w:rsidP="00EB5E4B">
      <w:pPr>
        <w:jc w:val="center"/>
        <w:rPr>
          <w:rFonts w:ascii="Arial" w:hAnsi="Arial" w:cs="Arial"/>
          <w:b/>
          <w:bCs/>
          <w:sz w:val="24"/>
          <w:szCs w:val="24"/>
          <w:lang w:eastAsia="en-GB"/>
        </w:rPr>
      </w:pPr>
    </w:p>
    <w:p w14:paraId="7887BD5E" w14:textId="77777777" w:rsidR="00DC56B5" w:rsidRDefault="00DC56B5" w:rsidP="00EB5E4B">
      <w:pPr>
        <w:jc w:val="center"/>
        <w:rPr>
          <w:rFonts w:ascii="Arial" w:hAnsi="Arial" w:cs="Arial"/>
          <w:b/>
          <w:bCs/>
          <w:sz w:val="24"/>
          <w:szCs w:val="24"/>
          <w:lang w:eastAsia="en-GB"/>
        </w:rPr>
      </w:pPr>
    </w:p>
    <w:p w14:paraId="51861D27" w14:textId="77777777" w:rsidR="00DC56B5" w:rsidRDefault="00DC56B5" w:rsidP="00EB5E4B">
      <w:pPr>
        <w:jc w:val="center"/>
        <w:rPr>
          <w:rFonts w:ascii="Arial" w:hAnsi="Arial" w:cs="Arial"/>
          <w:b/>
          <w:bCs/>
          <w:sz w:val="24"/>
          <w:szCs w:val="24"/>
          <w:lang w:eastAsia="en-GB"/>
        </w:rPr>
      </w:pPr>
    </w:p>
    <w:p w14:paraId="62B9CDB6" w14:textId="77777777" w:rsidR="00DC56B5" w:rsidRDefault="00DC56B5" w:rsidP="00EB5E4B">
      <w:pPr>
        <w:jc w:val="center"/>
        <w:rPr>
          <w:rFonts w:ascii="Arial" w:hAnsi="Arial" w:cs="Arial"/>
          <w:b/>
          <w:bCs/>
          <w:sz w:val="24"/>
          <w:szCs w:val="24"/>
          <w:lang w:eastAsia="en-GB"/>
        </w:rPr>
      </w:pPr>
    </w:p>
    <w:p w14:paraId="1473B452" w14:textId="77777777" w:rsidR="00DC56B5" w:rsidRDefault="00DC56B5" w:rsidP="00EB5E4B">
      <w:pPr>
        <w:jc w:val="center"/>
        <w:rPr>
          <w:rFonts w:ascii="Arial" w:hAnsi="Arial" w:cs="Arial"/>
          <w:b/>
          <w:bCs/>
          <w:sz w:val="24"/>
          <w:szCs w:val="24"/>
          <w:lang w:eastAsia="en-GB"/>
        </w:rPr>
      </w:pPr>
    </w:p>
    <w:p w14:paraId="704715EE" w14:textId="77777777" w:rsidR="00DC56B5" w:rsidRDefault="00DC56B5" w:rsidP="00EB5E4B">
      <w:pPr>
        <w:jc w:val="center"/>
        <w:rPr>
          <w:rFonts w:ascii="Arial" w:hAnsi="Arial" w:cs="Arial"/>
          <w:b/>
          <w:bCs/>
          <w:sz w:val="24"/>
          <w:szCs w:val="24"/>
          <w:lang w:eastAsia="en-GB"/>
        </w:rPr>
      </w:pPr>
    </w:p>
    <w:p w14:paraId="033820E2" w14:textId="77777777" w:rsidR="00DC56B5" w:rsidRDefault="00DC56B5" w:rsidP="00EB5E4B">
      <w:pPr>
        <w:jc w:val="center"/>
        <w:rPr>
          <w:rFonts w:ascii="Arial" w:hAnsi="Arial" w:cs="Arial"/>
          <w:b/>
          <w:bCs/>
          <w:sz w:val="24"/>
          <w:szCs w:val="24"/>
          <w:lang w:eastAsia="en-GB"/>
        </w:rPr>
      </w:pPr>
    </w:p>
    <w:p w14:paraId="3CF9B8C8" w14:textId="77777777" w:rsidR="00DC56B5" w:rsidRDefault="00DC56B5" w:rsidP="00EB5E4B">
      <w:pPr>
        <w:jc w:val="center"/>
        <w:rPr>
          <w:rFonts w:ascii="Arial" w:hAnsi="Arial" w:cs="Arial"/>
          <w:b/>
          <w:bCs/>
          <w:sz w:val="24"/>
          <w:szCs w:val="24"/>
          <w:lang w:eastAsia="en-GB"/>
        </w:rPr>
      </w:pPr>
    </w:p>
    <w:p w14:paraId="5B41EA9B" w14:textId="77777777" w:rsidR="00DC56B5" w:rsidRDefault="00DC56B5" w:rsidP="00EB5E4B">
      <w:pPr>
        <w:jc w:val="center"/>
        <w:rPr>
          <w:rFonts w:ascii="Arial" w:hAnsi="Arial" w:cs="Arial"/>
          <w:b/>
          <w:bCs/>
          <w:sz w:val="24"/>
          <w:szCs w:val="24"/>
          <w:lang w:eastAsia="en-GB"/>
        </w:rPr>
      </w:pPr>
    </w:p>
    <w:p w14:paraId="3CB0730D" w14:textId="77777777" w:rsidR="00DC56B5" w:rsidRDefault="00DC56B5" w:rsidP="00EB5E4B">
      <w:pPr>
        <w:jc w:val="center"/>
        <w:rPr>
          <w:rFonts w:ascii="Arial" w:hAnsi="Arial" w:cs="Arial"/>
          <w:b/>
          <w:bCs/>
          <w:sz w:val="24"/>
          <w:szCs w:val="24"/>
          <w:lang w:eastAsia="en-GB"/>
        </w:rPr>
      </w:pPr>
    </w:p>
    <w:p w14:paraId="56EBD322" w14:textId="77777777" w:rsidR="00DC56B5" w:rsidRDefault="00DC56B5" w:rsidP="00EB5E4B">
      <w:pPr>
        <w:jc w:val="center"/>
        <w:rPr>
          <w:rFonts w:ascii="Arial" w:hAnsi="Arial" w:cs="Arial"/>
          <w:b/>
          <w:bCs/>
          <w:sz w:val="24"/>
          <w:szCs w:val="24"/>
          <w:lang w:eastAsia="en-GB"/>
        </w:rPr>
      </w:pPr>
    </w:p>
    <w:p w14:paraId="655A3198" w14:textId="77777777" w:rsidR="00DC56B5" w:rsidRDefault="00DC56B5" w:rsidP="00EB5E4B">
      <w:pPr>
        <w:jc w:val="center"/>
        <w:rPr>
          <w:rFonts w:ascii="Arial" w:hAnsi="Arial" w:cs="Arial"/>
          <w:b/>
          <w:bCs/>
          <w:sz w:val="24"/>
          <w:szCs w:val="24"/>
          <w:lang w:eastAsia="en-GB"/>
        </w:rPr>
      </w:pPr>
    </w:p>
    <w:p w14:paraId="7DFD37EA" w14:textId="77777777" w:rsidR="00DC56B5" w:rsidRDefault="00DC56B5" w:rsidP="00EB5E4B">
      <w:pPr>
        <w:jc w:val="center"/>
        <w:rPr>
          <w:rFonts w:ascii="Arial" w:hAnsi="Arial" w:cs="Arial"/>
          <w:b/>
          <w:bCs/>
          <w:sz w:val="24"/>
          <w:szCs w:val="24"/>
          <w:lang w:eastAsia="en-GB"/>
        </w:rPr>
      </w:pPr>
    </w:p>
    <w:p w14:paraId="0337740F" w14:textId="77777777" w:rsidR="00DC56B5" w:rsidRDefault="00DC56B5" w:rsidP="00EB5E4B">
      <w:pPr>
        <w:jc w:val="center"/>
        <w:rPr>
          <w:rFonts w:ascii="Arial" w:hAnsi="Arial" w:cs="Arial"/>
          <w:b/>
          <w:bCs/>
          <w:sz w:val="24"/>
          <w:szCs w:val="24"/>
          <w:lang w:eastAsia="en-GB"/>
        </w:rPr>
      </w:pPr>
    </w:p>
    <w:p w14:paraId="27CCF566" w14:textId="77777777" w:rsidR="00DC56B5" w:rsidRDefault="00DC56B5" w:rsidP="00EB5E4B">
      <w:pPr>
        <w:jc w:val="center"/>
        <w:rPr>
          <w:rFonts w:ascii="Arial" w:hAnsi="Arial" w:cs="Arial"/>
          <w:b/>
          <w:bCs/>
          <w:sz w:val="24"/>
          <w:szCs w:val="24"/>
          <w:lang w:eastAsia="en-GB"/>
        </w:rPr>
      </w:pPr>
    </w:p>
    <w:p w14:paraId="7A7AA04C" w14:textId="77777777" w:rsidR="00DC56B5" w:rsidRDefault="00DC56B5" w:rsidP="00EB5E4B">
      <w:pPr>
        <w:jc w:val="center"/>
        <w:rPr>
          <w:rFonts w:ascii="Arial" w:hAnsi="Arial" w:cs="Arial"/>
          <w:b/>
          <w:bCs/>
          <w:sz w:val="24"/>
          <w:szCs w:val="24"/>
          <w:lang w:eastAsia="en-GB"/>
        </w:rPr>
      </w:pPr>
    </w:p>
    <w:p w14:paraId="21E86DEB" w14:textId="77777777" w:rsidR="00DC56B5" w:rsidRDefault="00DC56B5" w:rsidP="00EB5E4B">
      <w:pPr>
        <w:jc w:val="center"/>
        <w:rPr>
          <w:rFonts w:ascii="Arial" w:hAnsi="Arial" w:cs="Arial"/>
          <w:b/>
          <w:bCs/>
          <w:sz w:val="24"/>
          <w:szCs w:val="24"/>
          <w:lang w:eastAsia="en-GB"/>
        </w:rPr>
      </w:pPr>
    </w:p>
    <w:p w14:paraId="25CEB068" w14:textId="77777777" w:rsidR="00DC56B5" w:rsidRDefault="00DC56B5" w:rsidP="00EB5E4B">
      <w:pPr>
        <w:jc w:val="center"/>
        <w:rPr>
          <w:rFonts w:ascii="Arial" w:hAnsi="Arial" w:cs="Arial"/>
          <w:b/>
          <w:bCs/>
          <w:sz w:val="24"/>
          <w:szCs w:val="24"/>
          <w:lang w:eastAsia="en-GB"/>
        </w:rPr>
      </w:pPr>
    </w:p>
    <w:p w14:paraId="4322B455" w14:textId="77777777" w:rsidR="00DC56B5" w:rsidRDefault="00DC56B5" w:rsidP="00EB5E4B">
      <w:pPr>
        <w:jc w:val="center"/>
        <w:rPr>
          <w:rFonts w:ascii="Arial" w:hAnsi="Arial" w:cs="Arial"/>
          <w:b/>
          <w:bCs/>
          <w:sz w:val="24"/>
          <w:szCs w:val="24"/>
          <w:lang w:eastAsia="en-GB"/>
        </w:rPr>
      </w:pPr>
    </w:p>
    <w:p w14:paraId="601D7F0D" w14:textId="77777777" w:rsidR="00DC56B5" w:rsidRDefault="00DC56B5" w:rsidP="00EB5E4B">
      <w:pPr>
        <w:jc w:val="center"/>
        <w:rPr>
          <w:rFonts w:ascii="Arial" w:hAnsi="Arial" w:cs="Arial"/>
          <w:b/>
          <w:bCs/>
          <w:sz w:val="24"/>
          <w:szCs w:val="24"/>
          <w:lang w:eastAsia="en-GB"/>
        </w:rPr>
      </w:pPr>
    </w:p>
    <w:p w14:paraId="6D7E5FC9" w14:textId="77777777" w:rsidR="00974EF4" w:rsidRDefault="00974EF4" w:rsidP="00EB5E4B">
      <w:pPr>
        <w:jc w:val="center"/>
        <w:rPr>
          <w:rFonts w:ascii="Arial" w:hAnsi="Arial" w:cs="Arial"/>
          <w:b/>
          <w:bCs/>
          <w:sz w:val="24"/>
          <w:szCs w:val="24"/>
          <w:lang w:eastAsia="en-GB"/>
        </w:rPr>
      </w:pPr>
    </w:p>
    <w:p w14:paraId="046AA541" w14:textId="77777777" w:rsidR="00974EF4" w:rsidRDefault="00974EF4" w:rsidP="00EB5E4B">
      <w:pPr>
        <w:jc w:val="center"/>
        <w:rPr>
          <w:rFonts w:ascii="Arial" w:hAnsi="Arial" w:cs="Arial"/>
          <w:b/>
          <w:bCs/>
          <w:sz w:val="24"/>
          <w:szCs w:val="24"/>
          <w:lang w:eastAsia="en-GB"/>
        </w:rPr>
      </w:pPr>
    </w:p>
    <w:p w14:paraId="1780E766" w14:textId="77777777" w:rsidR="00974EF4" w:rsidRDefault="00974EF4" w:rsidP="00EB5E4B">
      <w:pPr>
        <w:jc w:val="center"/>
        <w:rPr>
          <w:rFonts w:ascii="Arial" w:hAnsi="Arial" w:cs="Arial"/>
          <w:b/>
          <w:bCs/>
          <w:sz w:val="24"/>
          <w:szCs w:val="24"/>
          <w:lang w:eastAsia="en-GB"/>
        </w:rPr>
      </w:pPr>
    </w:p>
    <w:p w14:paraId="148AF189" w14:textId="77777777" w:rsidR="00974EF4" w:rsidRDefault="00974EF4" w:rsidP="00EB5E4B">
      <w:pPr>
        <w:jc w:val="center"/>
        <w:rPr>
          <w:rFonts w:ascii="Arial" w:hAnsi="Arial" w:cs="Arial"/>
          <w:b/>
          <w:bCs/>
          <w:sz w:val="24"/>
          <w:szCs w:val="24"/>
          <w:lang w:eastAsia="en-GB"/>
        </w:rPr>
      </w:pPr>
    </w:p>
    <w:p w14:paraId="6C3364EC" w14:textId="77777777" w:rsidR="00974EF4" w:rsidRDefault="00974EF4" w:rsidP="00EB5E4B">
      <w:pPr>
        <w:jc w:val="center"/>
        <w:rPr>
          <w:rFonts w:ascii="Arial" w:hAnsi="Arial" w:cs="Arial"/>
          <w:b/>
          <w:bCs/>
          <w:sz w:val="24"/>
          <w:szCs w:val="24"/>
          <w:lang w:eastAsia="en-GB"/>
        </w:rPr>
      </w:pPr>
    </w:p>
    <w:p w14:paraId="000A0C4D" w14:textId="77777777" w:rsidR="00891176" w:rsidRDefault="00891176" w:rsidP="00EB5E4B">
      <w:pPr>
        <w:jc w:val="center"/>
        <w:rPr>
          <w:rFonts w:ascii="Arial" w:hAnsi="Arial" w:cs="Arial"/>
          <w:b/>
          <w:bCs/>
          <w:sz w:val="24"/>
          <w:szCs w:val="24"/>
          <w:lang w:eastAsia="en-GB"/>
        </w:rPr>
      </w:pPr>
    </w:p>
    <w:p w14:paraId="726C05F1" w14:textId="77777777" w:rsidR="00891176" w:rsidRDefault="00891176" w:rsidP="00EB5E4B">
      <w:pPr>
        <w:jc w:val="center"/>
        <w:rPr>
          <w:rFonts w:ascii="Arial" w:hAnsi="Arial" w:cs="Arial"/>
          <w:b/>
          <w:bCs/>
          <w:sz w:val="24"/>
          <w:szCs w:val="24"/>
          <w:lang w:eastAsia="en-GB"/>
        </w:rPr>
      </w:pPr>
    </w:p>
    <w:p w14:paraId="1377C5D6" w14:textId="77777777" w:rsidR="00891176" w:rsidRDefault="00891176" w:rsidP="00EB5E4B">
      <w:pPr>
        <w:jc w:val="center"/>
        <w:rPr>
          <w:rFonts w:ascii="Arial" w:hAnsi="Arial" w:cs="Arial"/>
          <w:b/>
          <w:bCs/>
          <w:sz w:val="24"/>
          <w:szCs w:val="24"/>
          <w:lang w:eastAsia="en-GB"/>
        </w:rPr>
      </w:pPr>
    </w:p>
    <w:p w14:paraId="534A6EE6" w14:textId="77777777" w:rsidR="00891176" w:rsidRDefault="00891176" w:rsidP="00EB5E4B">
      <w:pPr>
        <w:jc w:val="center"/>
        <w:rPr>
          <w:rFonts w:ascii="Arial" w:hAnsi="Arial" w:cs="Arial"/>
          <w:b/>
          <w:bCs/>
          <w:sz w:val="24"/>
          <w:szCs w:val="24"/>
          <w:lang w:eastAsia="en-GB"/>
        </w:rPr>
      </w:pPr>
    </w:p>
    <w:p w14:paraId="6CE474C2" w14:textId="77777777" w:rsidR="00891176" w:rsidRDefault="00891176" w:rsidP="00EB5E4B">
      <w:pPr>
        <w:jc w:val="center"/>
        <w:rPr>
          <w:rFonts w:ascii="Arial" w:hAnsi="Arial" w:cs="Arial"/>
          <w:b/>
          <w:bCs/>
          <w:sz w:val="24"/>
          <w:szCs w:val="24"/>
          <w:lang w:eastAsia="en-GB"/>
        </w:rPr>
      </w:pPr>
    </w:p>
    <w:p w14:paraId="68673946" w14:textId="77777777" w:rsidR="00891176" w:rsidRDefault="00891176" w:rsidP="00EB5E4B">
      <w:pPr>
        <w:jc w:val="center"/>
        <w:rPr>
          <w:rFonts w:ascii="Arial" w:hAnsi="Arial" w:cs="Arial"/>
          <w:b/>
          <w:bCs/>
          <w:sz w:val="24"/>
          <w:szCs w:val="24"/>
          <w:lang w:eastAsia="en-GB"/>
        </w:rPr>
      </w:pPr>
    </w:p>
    <w:p w14:paraId="204311BB" w14:textId="77777777" w:rsidR="00891176" w:rsidRDefault="00891176" w:rsidP="00EB5E4B">
      <w:pPr>
        <w:jc w:val="center"/>
        <w:rPr>
          <w:rFonts w:ascii="Arial" w:hAnsi="Arial" w:cs="Arial"/>
          <w:b/>
          <w:bCs/>
          <w:sz w:val="24"/>
          <w:szCs w:val="24"/>
          <w:lang w:eastAsia="en-GB"/>
        </w:rPr>
      </w:pPr>
    </w:p>
    <w:p w14:paraId="0CB56EC2" w14:textId="77777777" w:rsidR="00891176" w:rsidRDefault="00891176" w:rsidP="00EB5E4B">
      <w:pPr>
        <w:jc w:val="center"/>
        <w:rPr>
          <w:rFonts w:ascii="Arial" w:hAnsi="Arial" w:cs="Arial"/>
          <w:b/>
          <w:bCs/>
          <w:sz w:val="24"/>
          <w:szCs w:val="24"/>
          <w:lang w:eastAsia="en-GB"/>
        </w:rPr>
      </w:pPr>
    </w:p>
    <w:p w14:paraId="2C116822" w14:textId="77777777" w:rsidR="00891176" w:rsidRDefault="00891176" w:rsidP="00EB5E4B">
      <w:pPr>
        <w:jc w:val="center"/>
        <w:rPr>
          <w:rFonts w:ascii="Arial" w:hAnsi="Arial" w:cs="Arial"/>
          <w:b/>
          <w:bCs/>
          <w:sz w:val="24"/>
          <w:szCs w:val="24"/>
          <w:lang w:eastAsia="en-GB"/>
        </w:rPr>
      </w:pPr>
    </w:p>
    <w:p w14:paraId="224BC5C4" w14:textId="77777777" w:rsidR="00891176" w:rsidRDefault="00891176" w:rsidP="00EB5E4B">
      <w:pPr>
        <w:jc w:val="center"/>
        <w:rPr>
          <w:rFonts w:ascii="Arial" w:hAnsi="Arial" w:cs="Arial"/>
          <w:b/>
          <w:bCs/>
          <w:sz w:val="24"/>
          <w:szCs w:val="24"/>
          <w:lang w:eastAsia="en-GB"/>
        </w:rPr>
      </w:pPr>
    </w:p>
    <w:p w14:paraId="7230B7AA" w14:textId="32D4A1B1" w:rsidR="00EB5E4B" w:rsidRPr="00EB5E4B" w:rsidRDefault="00EB5E4B" w:rsidP="00EB5E4B">
      <w:pPr>
        <w:jc w:val="center"/>
        <w:rPr>
          <w:rFonts w:ascii="Arial" w:hAnsi="Arial" w:cs="Arial"/>
          <w:b/>
          <w:bCs/>
          <w:sz w:val="24"/>
          <w:szCs w:val="24"/>
          <w:lang w:eastAsia="en-GB"/>
        </w:rPr>
      </w:pPr>
      <w:r w:rsidRPr="00EB5E4B">
        <w:rPr>
          <w:rFonts w:ascii="Arial" w:hAnsi="Arial" w:cs="Arial"/>
          <w:b/>
          <w:bCs/>
          <w:sz w:val="24"/>
          <w:szCs w:val="24"/>
          <w:lang w:eastAsia="en-GB"/>
        </w:rPr>
        <w:lastRenderedPageBreak/>
        <w:t>References</w:t>
      </w:r>
    </w:p>
    <w:p w14:paraId="6E4CAD59" w14:textId="77777777" w:rsidR="00891176" w:rsidRDefault="00891176" w:rsidP="00891176">
      <w:pPr>
        <w:rPr>
          <w:rFonts w:ascii="Arial" w:hAnsi="Arial" w:cs="Arial"/>
          <w:sz w:val="24"/>
          <w:szCs w:val="24"/>
          <w:lang w:eastAsia="en-GB"/>
        </w:rPr>
      </w:pPr>
      <w:r>
        <w:rPr>
          <w:rFonts w:ascii="Arial" w:hAnsi="Arial" w:cs="Arial"/>
          <w:sz w:val="24"/>
          <w:szCs w:val="24"/>
          <w:lang w:eastAsia="en-GB"/>
        </w:rPr>
        <w:t xml:space="preserve">CILEx Regulation (2019) </w:t>
      </w:r>
      <w:r w:rsidRPr="00F47419">
        <w:rPr>
          <w:rFonts w:ascii="Arial" w:hAnsi="Arial" w:cs="Arial"/>
          <w:i/>
          <w:iCs/>
          <w:sz w:val="24"/>
          <w:szCs w:val="24"/>
          <w:lang w:eastAsia="en-GB"/>
        </w:rPr>
        <w:t>CILEx Code of Conduct.</w:t>
      </w:r>
      <w:r>
        <w:rPr>
          <w:rFonts w:ascii="Arial" w:hAnsi="Arial" w:cs="Arial"/>
          <w:sz w:val="24"/>
          <w:szCs w:val="24"/>
          <w:lang w:eastAsia="en-GB"/>
        </w:rPr>
        <w:t xml:space="preserve"> Available at: </w:t>
      </w:r>
      <w:hyperlink r:id="rId8" w:history="1">
        <w:r w:rsidRPr="006A57B9">
          <w:rPr>
            <w:rStyle w:val="Hyperlink"/>
            <w:rFonts w:ascii="Arial" w:hAnsi="Arial" w:cs="Arial"/>
            <w:sz w:val="24"/>
            <w:szCs w:val="24"/>
            <w:lang w:eastAsia="en-GB"/>
          </w:rPr>
          <w:t>https://cilexregulation.org.uk/code-of-conduct/</w:t>
        </w:r>
      </w:hyperlink>
      <w:r>
        <w:rPr>
          <w:rFonts w:ascii="Arial" w:hAnsi="Arial" w:cs="Arial"/>
          <w:sz w:val="24"/>
          <w:szCs w:val="24"/>
          <w:lang w:eastAsia="en-GB"/>
        </w:rPr>
        <w:t xml:space="preserve"> (Accessed: 09 August 2023). </w:t>
      </w:r>
    </w:p>
    <w:p w14:paraId="5202E3A7" w14:textId="09D49487" w:rsidR="00EB5E4B" w:rsidRDefault="00EB5E4B" w:rsidP="00EB5E4B">
      <w:pPr>
        <w:rPr>
          <w:rFonts w:ascii="Arial" w:hAnsi="Arial" w:cs="Arial"/>
          <w:sz w:val="24"/>
          <w:szCs w:val="24"/>
          <w:lang w:eastAsia="en-GB"/>
        </w:rPr>
      </w:pPr>
      <w:r w:rsidRPr="00A54488">
        <w:rPr>
          <w:rFonts w:ascii="Arial" w:hAnsi="Arial" w:cs="Arial"/>
          <w:i/>
          <w:iCs/>
          <w:sz w:val="24"/>
          <w:szCs w:val="24"/>
          <w:lang w:eastAsia="en-GB"/>
        </w:rPr>
        <w:t>Equality Act 2010</w:t>
      </w:r>
      <w:r w:rsidR="0045297C">
        <w:rPr>
          <w:rFonts w:ascii="Arial" w:hAnsi="Arial" w:cs="Arial"/>
          <w:i/>
          <w:iCs/>
          <w:sz w:val="24"/>
          <w:szCs w:val="24"/>
          <w:lang w:eastAsia="en-GB"/>
        </w:rPr>
        <w:t xml:space="preserve">, </w:t>
      </w:r>
      <w:r w:rsidR="0045297C" w:rsidRPr="00BE474F">
        <w:rPr>
          <w:rFonts w:ascii="Arial" w:hAnsi="Arial" w:cs="Arial"/>
          <w:sz w:val="24"/>
          <w:szCs w:val="24"/>
          <w:lang w:eastAsia="en-GB"/>
        </w:rPr>
        <w:t>c.15 (United Kingdom)</w:t>
      </w:r>
      <w:r w:rsidR="00BE474F">
        <w:rPr>
          <w:rFonts w:ascii="Arial" w:hAnsi="Arial" w:cs="Arial"/>
          <w:sz w:val="24"/>
          <w:szCs w:val="24"/>
          <w:lang w:eastAsia="en-GB"/>
        </w:rPr>
        <w:t xml:space="preserve">. Available at: </w:t>
      </w:r>
      <w:hyperlink r:id="rId9" w:history="1">
        <w:r w:rsidR="0087352F" w:rsidRPr="006A57B9">
          <w:rPr>
            <w:rStyle w:val="Hyperlink"/>
            <w:rFonts w:ascii="Arial" w:hAnsi="Arial" w:cs="Arial"/>
            <w:sz w:val="24"/>
            <w:szCs w:val="24"/>
            <w:lang w:eastAsia="en-GB"/>
          </w:rPr>
          <w:t>https://www.legislation.gov.uk/ukpga/2010/15/contents</w:t>
        </w:r>
      </w:hyperlink>
      <w:r w:rsidR="0087352F">
        <w:rPr>
          <w:rFonts w:ascii="Arial" w:hAnsi="Arial" w:cs="Arial"/>
          <w:sz w:val="24"/>
          <w:szCs w:val="24"/>
          <w:lang w:eastAsia="en-GB"/>
        </w:rPr>
        <w:t xml:space="preserve"> (Accessed: 09 August 2023). </w:t>
      </w:r>
    </w:p>
    <w:p w14:paraId="57B41AB4" w14:textId="77777777" w:rsidR="00891176" w:rsidRDefault="00891176" w:rsidP="00891176">
      <w:pPr>
        <w:rPr>
          <w:rFonts w:ascii="Arial" w:hAnsi="Arial" w:cs="Arial"/>
          <w:sz w:val="24"/>
          <w:szCs w:val="24"/>
          <w:lang w:eastAsia="en-GB"/>
        </w:rPr>
      </w:pPr>
      <w:r w:rsidRPr="0086475D">
        <w:rPr>
          <w:rFonts w:ascii="Arial" w:hAnsi="Arial" w:cs="Arial"/>
          <w:i/>
          <w:iCs/>
          <w:sz w:val="24"/>
          <w:szCs w:val="24"/>
          <w:lang w:eastAsia="en-GB"/>
        </w:rPr>
        <w:t xml:space="preserve">ITV </w:t>
      </w:r>
      <w:r>
        <w:rPr>
          <w:rFonts w:ascii="Arial" w:hAnsi="Arial" w:cs="Arial"/>
          <w:sz w:val="24"/>
          <w:szCs w:val="24"/>
          <w:lang w:eastAsia="en-GB"/>
        </w:rPr>
        <w:t>(2017) ‘Six men sentenced for half-a-</w:t>
      </w:r>
      <w:proofErr w:type="gramStart"/>
      <w:r>
        <w:rPr>
          <w:rFonts w:ascii="Arial" w:hAnsi="Arial" w:cs="Arial"/>
          <w:sz w:val="24"/>
          <w:szCs w:val="24"/>
          <w:lang w:eastAsia="en-GB"/>
        </w:rPr>
        <w:t>million pound</w:t>
      </w:r>
      <w:proofErr w:type="gramEnd"/>
      <w:r>
        <w:rPr>
          <w:rFonts w:ascii="Arial" w:hAnsi="Arial" w:cs="Arial"/>
          <w:sz w:val="24"/>
          <w:szCs w:val="24"/>
          <w:lang w:eastAsia="en-GB"/>
        </w:rPr>
        <w:t xml:space="preserve"> fraud’. 07 April. Available at: </w:t>
      </w:r>
      <w:hyperlink r:id="rId10" w:history="1">
        <w:r w:rsidRPr="006A57B9">
          <w:rPr>
            <w:rStyle w:val="Hyperlink"/>
            <w:rFonts w:ascii="Arial" w:hAnsi="Arial" w:cs="Arial"/>
            <w:sz w:val="24"/>
            <w:szCs w:val="24"/>
            <w:lang w:eastAsia="en-GB"/>
          </w:rPr>
          <w:t>https://www.itv.com/news/granada/2017-04-07/six-men-sentenced-for-half-a-million-pound-fraud</w:t>
        </w:r>
      </w:hyperlink>
      <w:r>
        <w:rPr>
          <w:rFonts w:ascii="Arial" w:hAnsi="Arial" w:cs="Arial"/>
          <w:sz w:val="24"/>
          <w:szCs w:val="24"/>
          <w:lang w:eastAsia="en-GB"/>
        </w:rPr>
        <w:t xml:space="preserve"> (Accessed: 09 August 2023). </w:t>
      </w:r>
    </w:p>
    <w:p w14:paraId="1ECE3805" w14:textId="77777777" w:rsidR="00891176" w:rsidRDefault="00891176" w:rsidP="00891176">
      <w:pPr>
        <w:rPr>
          <w:rFonts w:ascii="Arial" w:hAnsi="Arial" w:cs="Arial"/>
          <w:sz w:val="24"/>
          <w:szCs w:val="24"/>
          <w:lang w:eastAsia="en-GB"/>
        </w:rPr>
      </w:pPr>
      <w:r>
        <w:rPr>
          <w:rFonts w:ascii="Arial" w:hAnsi="Arial" w:cs="Arial"/>
          <w:sz w:val="24"/>
          <w:szCs w:val="24"/>
          <w:lang w:eastAsia="en-GB"/>
        </w:rPr>
        <w:t xml:space="preserve">King, K. (2018) ‘Over before it’s even began: Two trainee solicitors removed from profession’, </w:t>
      </w:r>
      <w:r w:rsidRPr="005C790F">
        <w:rPr>
          <w:rFonts w:ascii="Arial" w:hAnsi="Arial" w:cs="Arial"/>
          <w:i/>
          <w:iCs/>
          <w:sz w:val="24"/>
          <w:szCs w:val="24"/>
          <w:lang w:eastAsia="en-GB"/>
        </w:rPr>
        <w:t>Legal Cheek</w:t>
      </w:r>
      <w:r>
        <w:rPr>
          <w:rFonts w:ascii="Arial" w:hAnsi="Arial" w:cs="Arial"/>
          <w:sz w:val="24"/>
          <w:szCs w:val="24"/>
          <w:lang w:eastAsia="en-GB"/>
        </w:rPr>
        <w:t xml:space="preserve">, 29 January. Available at: </w:t>
      </w:r>
      <w:hyperlink r:id="rId11" w:history="1">
        <w:r w:rsidRPr="006A57B9">
          <w:rPr>
            <w:rStyle w:val="Hyperlink"/>
            <w:rFonts w:ascii="Arial" w:hAnsi="Arial" w:cs="Arial"/>
            <w:sz w:val="24"/>
            <w:szCs w:val="24"/>
            <w:lang w:eastAsia="en-GB"/>
          </w:rPr>
          <w:t>https://www.legalcheek.com/2018/01/over-before-its-even-began-two-trainee-solicitors-removed-from-profession/</w:t>
        </w:r>
      </w:hyperlink>
      <w:r>
        <w:rPr>
          <w:rFonts w:ascii="Arial" w:hAnsi="Arial" w:cs="Arial"/>
          <w:sz w:val="24"/>
          <w:szCs w:val="24"/>
          <w:lang w:eastAsia="en-GB"/>
        </w:rPr>
        <w:t xml:space="preserve"> (Accessed: 09 August 2023). </w:t>
      </w:r>
    </w:p>
    <w:p w14:paraId="0951FF0F" w14:textId="77777777" w:rsidR="00891176" w:rsidRDefault="00891176" w:rsidP="00891176">
      <w:pPr>
        <w:rPr>
          <w:rFonts w:ascii="Arial" w:hAnsi="Arial" w:cs="Arial"/>
          <w:sz w:val="24"/>
          <w:szCs w:val="24"/>
          <w:lang w:eastAsia="en-GB"/>
        </w:rPr>
      </w:pPr>
      <w:r>
        <w:rPr>
          <w:rFonts w:ascii="Arial" w:hAnsi="Arial" w:cs="Arial"/>
          <w:sz w:val="24"/>
          <w:szCs w:val="24"/>
          <w:lang w:eastAsia="en-GB"/>
        </w:rPr>
        <w:t xml:space="preserve">Oxford Learner’s Dictionaries (2023) </w:t>
      </w:r>
      <w:r w:rsidRPr="003661A3">
        <w:rPr>
          <w:rFonts w:ascii="Arial" w:hAnsi="Arial" w:cs="Arial"/>
          <w:i/>
          <w:iCs/>
          <w:sz w:val="24"/>
          <w:szCs w:val="24"/>
          <w:lang w:eastAsia="en-GB"/>
        </w:rPr>
        <w:t>Definition of Equal Opportunities.</w:t>
      </w:r>
      <w:r>
        <w:rPr>
          <w:rFonts w:ascii="Arial" w:hAnsi="Arial" w:cs="Arial"/>
          <w:sz w:val="24"/>
          <w:szCs w:val="24"/>
          <w:lang w:eastAsia="en-GB"/>
        </w:rPr>
        <w:t xml:space="preserve"> Available at: </w:t>
      </w:r>
      <w:hyperlink r:id="rId12" w:history="1">
        <w:r w:rsidRPr="006A57B9">
          <w:rPr>
            <w:rStyle w:val="Hyperlink"/>
            <w:rFonts w:ascii="Arial" w:hAnsi="Arial" w:cs="Arial"/>
            <w:sz w:val="24"/>
            <w:szCs w:val="24"/>
            <w:lang w:eastAsia="en-GB"/>
          </w:rPr>
          <w:t>https://www.oxfordlearnersdictionaries.com/definition/english/equal-opportunities</w:t>
        </w:r>
      </w:hyperlink>
      <w:r>
        <w:rPr>
          <w:rFonts w:ascii="Arial" w:hAnsi="Arial" w:cs="Arial"/>
          <w:sz w:val="24"/>
          <w:szCs w:val="24"/>
          <w:lang w:eastAsia="en-GB"/>
        </w:rPr>
        <w:t xml:space="preserve"> (Accessed: 09 August 2023). </w:t>
      </w:r>
    </w:p>
    <w:p w14:paraId="52DF32FE" w14:textId="07FCFDEB" w:rsidR="00891176" w:rsidRPr="00BE474F" w:rsidRDefault="00891176" w:rsidP="00EB5E4B">
      <w:pPr>
        <w:rPr>
          <w:rFonts w:ascii="Arial" w:hAnsi="Arial" w:cs="Arial"/>
          <w:sz w:val="24"/>
          <w:szCs w:val="24"/>
          <w:lang w:eastAsia="en-GB"/>
        </w:rPr>
      </w:pPr>
      <w:r>
        <w:rPr>
          <w:rFonts w:ascii="Arial" w:hAnsi="Arial" w:cs="Arial"/>
          <w:sz w:val="24"/>
          <w:szCs w:val="24"/>
          <w:lang w:eastAsia="en-GB"/>
        </w:rPr>
        <w:t xml:space="preserve">Parker, C. (2018) </w:t>
      </w:r>
      <w:r w:rsidRPr="003A1D29">
        <w:rPr>
          <w:rFonts w:ascii="Arial" w:hAnsi="Arial" w:cs="Arial"/>
          <w:i/>
          <w:iCs/>
          <w:sz w:val="24"/>
          <w:szCs w:val="24"/>
          <w:lang w:eastAsia="en-GB"/>
        </w:rPr>
        <w:t>Inside Lawyers’ Ethics.</w:t>
      </w:r>
      <w:r>
        <w:rPr>
          <w:rFonts w:ascii="Arial" w:hAnsi="Arial" w:cs="Arial"/>
          <w:sz w:val="24"/>
          <w:szCs w:val="24"/>
          <w:lang w:eastAsia="en-GB"/>
        </w:rPr>
        <w:t xml:space="preserve"> 3</w:t>
      </w:r>
      <w:r w:rsidRPr="00BD1FCB">
        <w:rPr>
          <w:rFonts w:ascii="Arial" w:hAnsi="Arial" w:cs="Arial"/>
          <w:sz w:val="24"/>
          <w:szCs w:val="24"/>
          <w:vertAlign w:val="superscript"/>
          <w:lang w:eastAsia="en-GB"/>
        </w:rPr>
        <w:t>rd</w:t>
      </w:r>
      <w:r>
        <w:rPr>
          <w:rFonts w:ascii="Arial" w:hAnsi="Arial" w:cs="Arial"/>
          <w:sz w:val="24"/>
          <w:szCs w:val="24"/>
          <w:lang w:eastAsia="en-GB"/>
        </w:rPr>
        <w:t xml:space="preserve"> </w:t>
      </w:r>
      <w:proofErr w:type="spellStart"/>
      <w:r>
        <w:rPr>
          <w:rFonts w:ascii="Arial" w:hAnsi="Arial" w:cs="Arial"/>
          <w:sz w:val="24"/>
          <w:szCs w:val="24"/>
          <w:lang w:eastAsia="en-GB"/>
        </w:rPr>
        <w:t>edn</w:t>
      </w:r>
      <w:proofErr w:type="spellEnd"/>
      <w:r>
        <w:rPr>
          <w:rFonts w:ascii="Arial" w:hAnsi="Arial" w:cs="Arial"/>
          <w:sz w:val="24"/>
          <w:szCs w:val="24"/>
          <w:lang w:eastAsia="en-GB"/>
        </w:rPr>
        <w:t xml:space="preserve">. Cambridge: University Press. </w:t>
      </w:r>
    </w:p>
    <w:p w14:paraId="63515C80" w14:textId="3983DDA2" w:rsidR="00EB5E4B" w:rsidRDefault="00EB5E4B" w:rsidP="00EB5E4B">
      <w:pPr>
        <w:rPr>
          <w:rFonts w:ascii="Arial" w:hAnsi="Arial" w:cs="Arial"/>
          <w:sz w:val="24"/>
          <w:szCs w:val="24"/>
          <w:lang w:eastAsia="en-GB"/>
        </w:rPr>
      </w:pPr>
      <w:r w:rsidRPr="00EB5E4B">
        <w:rPr>
          <w:rFonts w:ascii="Arial" w:hAnsi="Arial" w:cs="Arial"/>
          <w:sz w:val="24"/>
          <w:szCs w:val="24"/>
          <w:lang w:eastAsia="en-GB"/>
        </w:rPr>
        <w:t xml:space="preserve">Solicitors Regulation </w:t>
      </w:r>
      <w:r w:rsidR="00CF4EC7">
        <w:rPr>
          <w:rFonts w:ascii="Arial" w:hAnsi="Arial" w:cs="Arial"/>
          <w:sz w:val="24"/>
          <w:szCs w:val="24"/>
          <w:lang w:eastAsia="en-GB"/>
        </w:rPr>
        <w:t>Authority (2023)</w:t>
      </w:r>
      <w:r w:rsidRPr="00EB5E4B">
        <w:rPr>
          <w:rFonts w:ascii="Arial" w:hAnsi="Arial" w:cs="Arial"/>
          <w:sz w:val="24"/>
          <w:szCs w:val="24"/>
          <w:lang w:eastAsia="en-GB"/>
        </w:rPr>
        <w:t xml:space="preserve"> </w:t>
      </w:r>
      <w:r w:rsidRPr="00CB2279">
        <w:rPr>
          <w:rFonts w:ascii="Arial" w:hAnsi="Arial" w:cs="Arial"/>
          <w:i/>
          <w:iCs/>
          <w:sz w:val="24"/>
          <w:szCs w:val="24"/>
          <w:lang w:eastAsia="en-GB"/>
        </w:rPr>
        <w:t>SRA Code of Conduct</w:t>
      </w:r>
      <w:r w:rsidR="00CB2279" w:rsidRPr="00CB2279">
        <w:rPr>
          <w:rFonts w:ascii="Arial" w:hAnsi="Arial" w:cs="Arial"/>
          <w:i/>
          <w:iCs/>
          <w:sz w:val="24"/>
          <w:szCs w:val="24"/>
          <w:lang w:eastAsia="en-GB"/>
        </w:rPr>
        <w:t xml:space="preserve"> for Solicitors, RELs and RFLs</w:t>
      </w:r>
      <w:r w:rsidRPr="00CB2279">
        <w:rPr>
          <w:rFonts w:ascii="Arial" w:hAnsi="Arial" w:cs="Arial"/>
          <w:i/>
          <w:iCs/>
          <w:sz w:val="24"/>
          <w:szCs w:val="24"/>
          <w:lang w:eastAsia="en-GB"/>
        </w:rPr>
        <w:t>.</w:t>
      </w:r>
      <w:r w:rsidR="00CB2279">
        <w:rPr>
          <w:rFonts w:ascii="Arial" w:hAnsi="Arial" w:cs="Arial"/>
          <w:sz w:val="24"/>
          <w:szCs w:val="24"/>
          <w:lang w:eastAsia="en-GB"/>
        </w:rPr>
        <w:t xml:space="preserve"> Available at: </w:t>
      </w:r>
      <w:hyperlink r:id="rId13" w:history="1">
        <w:r w:rsidR="00CB2279" w:rsidRPr="006A57B9">
          <w:rPr>
            <w:rStyle w:val="Hyperlink"/>
            <w:rFonts w:ascii="Arial" w:hAnsi="Arial" w:cs="Arial"/>
            <w:sz w:val="24"/>
            <w:szCs w:val="24"/>
            <w:lang w:eastAsia="en-GB"/>
          </w:rPr>
          <w:t>https://www.sra.org.uk/solicitors/standards-regulations/code-conduct-solicitors/</w:t>
        </w:r>
      </w:hyperlink>
      <w:r w:rsidR="00CB2279">
        <w:rPr>
          <w:rFonts w:ascii="Arial" w:hAnsi="Arial" w:cs="Arial"/>
          <w:sz w:val="24"/>
          <w:szCs w:val="24"/>
          <w:lang w:eastAsia="en-GB"/>
        </w:rPr>
        <w:t xml:space="preserve"> (Accessed: 09 August 2023). </w:t>
      </w:r>
    </w:p>
    <w:p w14:paraId="245B9E84" w14:textId="5B7F852A" w:rsidR="0086475D" w:rsidRPr="00F47419" w:rsidRDefault="00E81C51" w:rsidP="00EB5E4B">
      <w:pPr>
        <w:rPr>
          <w:rFonts w:ascii="Arial" w:hAnsi="Arial" w:cs="Arial"/>
          <w:b/>
          <w:bCs/>
          <w:sz w:val="24"/>
          <w:szCs w:val="24"/>
          <w:lang w:eastAsia="en-GB"/>
        </w:rPr>
      </w:pPr>
      <w:r>
        <w:rPr>
          <w:rFonts w:ascii="Arial" w:hAnsi="Arial" w:cs="Arial"/>
          <w:sz w:val="24"/>
          <w:szCs w:val="24"/>
          <w:lang w:eastAsia="en-GB"/>
        </w:rPr>
        <w:t xml:space="preserve">Solicitors Regulation Authority </w:t>
      </w:r>
      <w:r w:rsidR="008802C6">
        <w:rPr>
          <w:rFonts w:ascii="Arial" w:hAnsi="Arial" w:cs="Arial"/>
          <w:sz w:val="24"/>
          <w:szCs w:val="24"/>
          <w:lang w:eastAsia="en-GB"/>
        </w:rPr>
        <w:t xml:space="preserve">(no date) </w:t>
      </w:r>
      <w:r w:rsidR="008802C6" w:rsidRPr="00891176">
        <w:rPr>
          <w:rFonts w:ascii="Arial" w:hAnsi="Arial" w:cs="Arial"/>
          <w:i/>
          <w:iCs/>
          <w:sz w:val="24"/>
          <w:szCs w:val="24"/>
          <w:lang w:eastAsia="en-GB"/>
        </w:rPr>
        <w:t>Employee-related Decision.</w:t>
      </w:r>
      <w:r w:rsidR="008802C6">
        <w:rPr>
          <w:rFonts w:ascii="Arial" w:hAnsi="Arial" w:cs="Arial"/>
          <w:sz w:val="24"/>
          <w:szCs w:val="24"/>
          <w:lang w:eastAsia="en-GB"/>
        </w:rPr>
        <w:t xml:space="preserve"> Available at: </w:t>
      </w:r>
      <w:hyperlink r:id="rId14" w:history="1">
        <w:r w:rsidR="00891176" w:rsidRPr="006A57B9">
          <w:rPr>
            <w:rStyle w:val="Hyperlink"/>
            <w:rFonts w:ascii="Arial" w:hAnsi="Arial" w:cs="Arial"/>
            <w:sz w:val="24"/>
            <w:szCs w:val="24"/>
            <w:lang w:eastAsia="en-GB"/>
          </w:rPr>
          <w:t>https://www.sra.org.uk/consumers/solicitor-check/employee-decision/</w:t>
        </w:r>
      </w:hyperlink>
      <w:r w:rsidR="00891176">
        <w:rPr>
          <w:rFonts w:ascii="Arial" w:hAnsi="Arial" w:cs="Arial"/>
          <w:sz w:val="24"/>
          <w:szCs w:val="24"/>
          <w:lang w:eastAsia="en-GB"/>
        </w:rPr>
        <w:t xml:space="preserve"> (Accessed: 09 August 2023). </w:t>
      </w:r>
    </w:p>
    <w:sectPr w:rsidR="0086475D" w:rsidRPr="00F474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E6C75"/>
    <w:multiLevelType w:val="multilevel"/>
    <w:tmpl w:val="27B48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6AE7A66"/>
    <w:multiLevelType w:val="multilevel"/>
    <w:tmpl w:val="E1F65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7DB6544"/>
    <w:multiLevelType w:val="multilevel"/>
    <w:tmpl w:val="37FE9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80899050">
    <w:abstractNumId w:val="2"/>
  </w:num>
  <w:num w:numId="2" w16cid:durableId="384647039">
    <w:abstractNumId w:val="0"/>
  </w:num>
  <w:num w:numId="3" w16cid:durableId="2434151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E4B"/>
    <w:rsid w:val="000471D7"/>
    <w:rsid w:val="000A7ACD"/>
    <w:rsid w:val="000A7E14"/>
    <w:rsid w:val="00143AE7"/>
    <w:rsid w:val="002302F0"/>
    <w:rsid w:val="002435E0"/>
    <w:rsid w:val="002753C2"/>
    <w:rsid w:val="002B1B05"/>
    <w:rsid w:val="002B5366"/>
    <w:rsid w:val="00323D6A"/>
    <w:rsid w:val="003661A3"/>
    <w:rsid w:val="003728FD"/>
    <w:rsid w:val="003A1D29"/>
    <w:rsid w:val="003D22F8"/>
    <w:rsid w:val="003D5782"/>
    <w:rsid w:val="004024E8"/>
    <w:rsid w:val="004033FE"/>
    <w:rsid w:val="0045297C"/>
    <w:rsid w:val="0047527F"/>
    <w:rsid w:val="00496F4F"/>
    <w:rsid w:val="004C0465"/>
    <w:rsid w:val="00566936"/>
    <w:rsid w:val="005A275E"/>
    <w:rsid w:val="005C790F"/>
    <w:rsid w:val="006121A7"/>
    <w:rsid w:val="006415BA"/>
    <w:rsid w:val="00697BCF"/>
    <w:rsid w:val="00700E8A"/>
    <w:rsid w:val="007A697D"/>
    <w:rsid w:val="007B2E4D"/>
    <w:rsid w:val="007D0C41"/>
    <w:rsid w:val="0086475D"/>
    <w:rsid w:val="0087352F"/>
    <w:rsid w:val="008802C6"/>
    <w:rsid w:val="00891176"/>
    <w:rsid w:val="00893C72"/>
    <w:rsid w:val="00930BA4"/>
    <w:rsid w:val="00945B8C"/>
    <w:rsid w:val="00974EF4"/>
    <w:rsid w:val="0097645B"/>
    <w:rsid w:val="009923B6"/>
    <w:rsid w:val="00A54488"/>
    <w:rsid w:val="00A55237"/>
    <w:rsid w:val="00A976E8"/>
    <w:rsid w:val="00AE0543"/>
    <w:rsid w:val="00AF4425"/>
    <w:rsid w:val="00AF7833"/>
    <w:rsid w:val="00B2113D"/>
    <w:rsid w:val="00B726C6"/>
    <w:rsid w:val="00BD1FCB"/>
    <w:rsid w:val="00BE474F"/>
    <w:rsid w:val="00C17DF6"/>
    <w:rsid w:val="00C92434"/>
    <w:rsid w:val="00CB2279"/>
    <w:rsid w:val="00CD3F04"/>
    <w:rsid w:val="00CF4EC7"/>
    <w:rsid w:val="00CF72E0"/>
    <w:rsid w:val="00D025C8"/>
    <w:rsid w:val="00D22283"/>
    <w:rsid w:val="00D7372B"/>
    <w:rsid w:val="00D7754B"/>
    <w:rsid w:val="00D94038"/>
    <w:rsid w:val="00DC56B5"/>
    <w:rsid w:val="00E81C51"/>
    <w:rsid w:val="00EB0F2A"/>
    <w:rsid w:val="00EB5E4B"/>
    <w:rsid w:val="00F47419"/>
    <w:rsid w:val="00F47B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69BE5"/>
  <w15:chartTrackingRefBased/>
  <w15:docId w15:val="{6EB6A735-906B-4771-8E81-000C2AE85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B5E4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EB5E4B"/>
    <w:rPr>
      <w:color w:val="0000FF"/>
      <w:u w:val="single"/>
    </w:rPr>
  </w:style>
  <w:style w:type="character" w:styleId="UnresolvedMention">
    <w:name w:val="Unresolved Mention"/>
    <w:basedOn w:val="DefaultParagraphFont"/>
    <w:uiPriority w:val="99"/>
    <w:semiHidden/>
    <w:unhideWhenUsed/>
    <w:rsid w:val="0087352F"/>
    <w:rPr>
      <w:color w:val="605E5C"/>
      <w:shd w:val="clear" w:color="auto" w:fill="E1DFDD"/>
    </w:rPr>
  </w:style>
  <w:style w:type="character" w:styleId="Strong">
    <w:name w:val="Strong"/>
    <w:basedOn w:val="DefaultParagraphFont"/>
    <w:uiPriority w:val="22"/>
    <w:qFormat/>
    <w:rsid w:val="004C04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4206255">
      <w:bodyDiv w:val="1"/>
      <w:marLeft w:val="0"/>
      <w:marRight w:val="0"/>
      <w:marTop w:val="0"/>
      <w:marBottom w:val="0"/>
      <w:divBdr>
        <w:top w:val="none" w:sz="0" w:space="0" w:color="auto"/>
        <w:left w:val="none" w:sz="0" w:space="0" w:color="auto"/>
        <w:bottom w:val="none" w:sz="0" w:space="0" w:color="auto"/>
        <w:right w:val="none" w:sz="0" w:space="0" w:color="auto"/>
      </w:divBdr>
    </w:div>
    <w:div w:id="1647780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ilexregulation.org.uk/code-of-conduct/" TargetMode="External"/><Relationship Id="rId13" Type="http://schemas.openxmlformats.org/officeDocument/2006/relationships/hyperlink" Target="https://www.sra.org.uk/solicitors/standards-regulations/code-conduct-solicitor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oxfordlearnersdictionaries.com/definition/english/equal-opportunitie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egalcheek.com/2018/01/over-before-its-even-began-two-trainee-solicitors-removed-from-profession/"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itv.com/news/granada/2017-04-07/six-men-sentenced-for-half-a-million-pound-fraud" TargetMode="External"/><Relationship Id="rId4" Type="http://schemas.openxmlformats.org/officeDocument/2006/relationships/numbering" Target="numbering.xml"/><Relationship Id="rId9" Type="http://schemas.openxmlformats.org/officeDocument/2006/relationships/hyperlink" Target="https://www.legislation.gov.uk/ukpga/2010/15/contents" TargetMode="External"/><Relationship Id="rId14" Type="http://schemas.openxmlformats.org/officeDocument/2006/relationships/hyperlink" Target="https://www.sra.org.uk/consumers/solicitor-check/employee-deci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7" ma:contentTypeDescription="Create a new document." ma:contentTypeScope="" ma:versionID="f5d853b1b0d3eb963727c3f021c92905">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58e8f9a5649e88ae2a5f06fca135a925"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8704DF18-8534-446F-970A-087A170865E0}">
  <ds:schemaRefs>
    <ds:schemaRef ds:uri="http://schemas.microsoft.com/sharepoint/v3/contenttype/forms"/>
  </ds:schemaRefs>
</ds:datastoreItem>
</file>

<file path=customXml/itemProps2.xml><?xml version="1.0" encoding="utf-8"?>
<ds:datastoreItem xmlns:ds="http://schemas.openxmlformats.org/officeDocument/2006/customXml" ds:itemID="{7EE9F146-FFAC-413C-A8EA-946057CA91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A6F601-C879-4FA4-B6B9-B7E99A649EA8}">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5</Pages>
  <Words>1775</Words>
  <Characters>10120</Characters>
  <Application>Microsoft Office Word</Application>
  <DocSecurity>0</DocSecurity>
  <Lines>84</Lines>
  <Paragraphs>23</Paragraphs>
  <ScaleCrop>false</ScaleCrop>
  <Company/>
  <LinksUpToDate>false</LinksUpToDate>
  <CharactersWithSpaces>11872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Alexandra Olivia Emery (2224078)</dc:creator>
  <cp:keywords/>
  <dc:description/>
  <cp:lastModifiedBy>Phoebe Alexandra Olivia Emery (2224078)</cp:lastModifiedBy>
  <cp:revision>66</cp:revision>
  <dcterms:created xsi:type="dcterms:W3CDTF">2023-07-17T10:38:00Z</dcterms:created>
  <dcterms:modified xsi:type="dcterms:W3CDTF">2023-08-09T18:58:00Z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