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CFB868" wp14:paraId="470F2A8A" wp14:textId="7FCA9BD5">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1752EA8D">
        <w:rPr>
          <w:rFonts w:ascii="Aptos" w:hAnsi="Aptos" w:eastAsia="Aptos" w:cs="Aptos"/>
          <w:b w:val="0"/>
          <w:bCs w:val="0"/>
          <w:i w:val="0"/>
          <w:iCs w:val="0"/>
          <w:caps w:val="0"/>
          <w:smallCaps w:val="0"/>
          <w:noProof w:val="0"/>
          <w:color w:val="000000" w:themeColor="text1" w:themeTint="FF" w:themeShade="FF"/>
          <w:sz w:val="24"/>
          <w:szCs w:val="24"/>
          <w:lang w:val="en-US"/>
        </w:rPr>
        <w:t xml:space="preserve">This essay critically examines the scale, causes, and consequences of staff shortages in the NHS and adult social care sectors in England. Current evidence indicates a system under significant strain, with “one in 11 clinical posts unfilled” and nursing vacancies at “one in eight posts,” resulting in an overall shortfall of approximately 100,000 staff, projected to reach 250,000 by 2030 without intervention. It explores various drivers of these shortages, such as funding constraints, Brexit, burnout, demographic changes, and the lack of long-term workforce planning, while analysing their impact on staff wellbeing, patient outcomes, and the sustainability of health and social care services. By referencing contemporary research and policy commentary, the essay aims to elucidate the systemic challenges of the workforce crisis and underscore the urgent need for strategic, long-term solutions.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694412ED" wp14:textId="300C3C9B">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Current statistics indicate significant staff shortages within the NHS, with one in 11 clinical posts unfilled and nursing vacancies rising to one in eight posts. The overall shortfall of NHS staff employed by trusts in England is approximately 100,000 with projections estimating this could increase to 250,000 by 2030 if no effective measures are taken (Oliver 2019).</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0B3E4AC3" wp14:textId="09D37BEC">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The staffing crisis extends beyond hospitals into adult social care, where over 250,000 posts remain vacant across both sectors combined. The independence of NHS and social care staffing means shortages in one sector exacerbate pressures in the other. General practice faces a dual impact, managing increased demand due to shortfalls in secondary and social care while also experiencing its own staffing deflects (Shemtob,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GB"/>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 2023)</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076417D8" wp14:textId="480C6023">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Community health services, a key area for shifting care from hospitals, face the greatest workforce shortages among NHS sectors. Between 2010 and 2021, there was a 21.2% national reduction in community nursing and support staff related to population needs, with regional variation ranging from a 39.3% reduction in the east of England to a slight increase in London. Workforce provision is higher in more deprived areas but lower in rural regions, potentially affecting equitable access to care (Parkinson.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GB"/>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 2024).</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1227AA15" wp14:textId="36B63C31">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Deakin, (2022) and Cowper. (2019) both state that the ongoing impact of staff shortages is evident in increased absenteeism due to COVID-19, which affects patient care and efforts to address care backlogs. The lack of clear, quantifiable staffing targets contributes to persistent rota gaps and shortfalls, which have become normalised within the NHS.</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757E576B" wp14:textId="37494242">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NHS staff shortages arise from multiple interrelated factors affecting recruitment, retention and workforce capacity. A significant driver is the shortages of resources, high job demands and the time pressure experienced by NHS employees, which contribute to early exit from the service. These pressures create an effort-reward imbalance, where pay dissatisfaction is linked more to increased job demands than to pay levels alone. Flexible working arrangements, while often proposed do not appear to be a key solution to reducing staff turnover according to NHS employee perspectives (Weyman, Roy and Nolan 2020).</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6106B18A" wp14:textId="458BFDC5">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 xml:space="preserve">The NHS workforce is also affected by falling enrolment rates in health professional training and restrictions on migrant labour recruitment, which limit the inflow of new staff. These factors have brought staff retention into sharper focus, as the existing workforce faces increased strain (Weyman, Roy and Nolan 2020). The staffing crisis is compounded by the interconnected nature of health and social care systems, where shortages in adult social care and secondary care increase demand on general practice teams, which themselves face staffing defects (Shemtob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GB"/>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 2023)</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53AB09BD" wp14:textId="7DA227DD">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Yang, Carter and Nelson  (2021) adds by saying pressures include the impact of COVID-19 pandemic, which has exacerbated staffing shortages, particularity in rural nursing homes, due to surges in cases and relates to deaths. This has strained healthcare human resources and highlighted the need for targeted recruitment and retention strategies.</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78FC1290" wp14:textId="73C32576">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Brexit has affected the healthcare workforce, particularly in the NHS and social care, by reducing recruitment and retention of staff from European countries, thereby exacerbating existing shortages (van Schalkwyk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US"/>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2020).</w:t>
      </w:r>
    </w:p>
    <w:p xmlns:wp14="http://schemas.microsoft.com/office/word/2010/wordml" w:rsidP="26CFB868" wp14:paraId="1A323920" wp14:textId="0B835623">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Burnout among healthcare workers is another critical factor contributing to workforce defects. The demanding nature of health and social care roles, combined with increased workload pressures, has led to higher rates of staff leaving the profession or reducing their hours, further intensifying shortages (Shemtob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US"/>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2023).</w:t>
      </w:r>
    </w:p>
    <w:p xmlns:wp14="http://schemas.microsoft.com/office/word/2010/wordml" w:rsidP="26CFB868" wp14:paraId="66883C27" wp14:textId="303ED90F">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Workforce shortages are influenced by systemic factors, including low wages, lagging supply relative to demand, and social perceptions of healthcare professions. However, wage increases alone are insufficient to resolve shortages, as non-financial factors like working conditions, job satisfaction, and intrinsic motivation are equally important (Michaeli . </w:t>
      </w:r>
      <w:r w:rsidRPr="26CFB868" w:rsidR="0F2FB3E3">
        <w:rPr>
          <w:rFonts w:ascii="Aptos" w:hAnsi="Aptos" w:eastAsia="Aptos" w:cs="Aptos"/>
          <w:b w:val="0"/>
          <w:bCs w:val="0"/>
          <w:i w:val="1"/>
          <w:iCs w:val="1"/>
          <w:caps w:val="0"/>
          <w:smallCaps w:val="0"/>
          <w:noProof w:val="0"/>
          <w:color w:val="000000" w:themeColor="text1" w:themeTint="FF" w:themeShade="FF"/>
          <w:sz w:val="24"/>
          <w:szCs w:val="24"/>
          <w:lang w:val="en-US"/>
        </w:rPr>
        <w:t>et al.</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(2024). </w:t>
      </w:r>
    </w:p>
    <w:p xmlns:wp14="http://schemas.microsoft.com/office/word/2010/wordml" w:rsidP="26CFB868" wp14:paraId="2FC0F806" wp14:textId="00BDA4C9">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In relation to staff shortages, funding plays a crucial role. Rimmer (2020) indicates that funding poses a significant challenge in addressing staff shortages within the NHS, stemming from various interconnected factors. A primary concern is the absence of long-term investment and solid financial commitments required to recruit and retain adequate numbers of doctors, nurses, and other healthcare professionals. Without increased national funding, care providers are unable to upgrade inadequate equipment and IT systems, which are essential for supporting an expanded workforce and delivering modern care effectively.</w:t>
      </w:r>
    </w:p>
    <w:p xmlns:wp14="http://schemas.microsoft.com/office/word/2010/wordml" w:rsidP="26CFB868" wp14:paraId="4A80E74B" wp14:textId="0D91AA83">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Moreover, the financial situation of the NHS is described as deteriorating rapidly, with an increasing disparity between political promises to boost staff numbers and the actual resources allocated. This financial pressure restricts the NHS's capacity to implement necessary service changes and innovations that could alleviate workforce challenges. The funding constraints contribute to a broader crisis, including declining quality indicators such as accident and emergency waiting times, which further hinder efforts to recruit and retain staff (Taunt 2014).</w:t>
      </w:r>
    </w:p>
    <w:p xmlns:wp14="http://schemas.microsoft.com/office/word/2010/wordml" w:rsidP="26CFB868" wp14:paraId="5443A5F2" wp14:textId="67432293">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Furthermore, Kirby (2023) asserts that the funding shortfall adversely affects staff morale and contributes to burnout, thereby complicating the retention of existing employees and the recruitment of new ones. In the absence of adequate financial resources to enhance working conditions and support staff wellbeing, the NHS risks losing talent and struggling to maintain its workforce at sustainable levels.</w:t>
      </w:r>
    </w:p>
    <w:p xmlns:wp14="http://schemas.microsoft.com/office/word/2010/wordml" w:rsidP="26CFB868" wp14:paraId="7EC5D18F" wp14:textId="70B41F36">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According to Deakin (2022), staff shortages within the NHS have multifaceted impacts on employees, patients, and the overall delivery of services. For staff, increased workloads and job demands, stemming from insufficient personnel, contribute to burnout and emotional distress, as evidenced by reports of NHS staff feeling overwhelmed and in tears due to patient backlogs and delays in care provision. Weyman, Roy, and Nolan (2020) further emphasize that the shortage of resources and time pressure are identified as primary drivers of staff turnover, with pay dissatisfaction reflecting an imbalance between effort and reward rather than being a direct cause of departure. These conditions jeopardies the wellbeing of remaining staff by increasing job demands and reducing available resources, potentially exacerbating retention challenges.</w:t>
      </w:r>
    </w:p>
    <w:p xmlns:wp14="http://schemas.microsoft.com/office/word/2010/wordml" w:rsidP="26CFB868" wp14:paraId="16EE2352" wp14:textId="2DA56439">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For patients, Deakin (2022) and Stubbings and Scott (2004) indicate that staff shortages result in delays in accessing care, longer waiting times for beds, and difficulties in meeting ongoing demand for services, which negatively impact patient outcomes and the quality of care.</w:t>
      </w:r>
    </w:p>
    <w:p xmlns:wp14="http://schemas.microsoft.com/office/word/2010/wordml" w:rsidP="26CFB868" wp14:paraId="37DE56DD" wp14:textId="0842D72A">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Torjesen</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(2021) asserts that the issue of staff shortages within the NHS is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framed negatively due to its connection with heightened stress, burnout, and the potential decline in care quality. The Care Quality Commission (CQC)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emphasises</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that ongoing pressure on NHS and social care personnel results in anxiety and fatigue, which can </w:t>
      </w:r>
      <w:r w:rsidRPr="26CFB868" w:rsidR="6A1EEF59">
        <w:rPr>
          <w:rFonts w:ascii="Aptos" w:hAnsi="Aptos" w:eastAsia="Aptos" w:cs="Aptos"/>
          <w:b w:val="0"/>
          <w:bCs w:val="0"/>
          <w:i w:val="0"/>
          <w:iCs w:val="0"/>
          <w:caps w:val="0"/>
          <w:smallCaps w:val="0"/>
          <w:noProof w:val="0"/>
          <w:color w:val="000000" w:themeColor="text1" w:themeTint="FF" w:themeShade="FF"/>
          <w:sz w:val="24"/>
          <w:szCs w:val="24"/>
          <w:lang w:val="en-US"/>
        </w:rPr>
        <w:t>jeopardise</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care standards. The regulator has advocated for increased funding to bolster workforce stability and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facilitate</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long-term investments in staffing and infrastructure, highlighting the systemic challenges posed by short staffing.</w:t>
      </w:r>
    </w:p>
    <w:p xmlns:wp14="http://schemas.microsoft.com/office/word/2010/wordml" w:rsidP="26CFB868" wp14:paraId="3F6DA462" wp14:textId="7A9BA660">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Callaghan et al. (2025) further support this by noting that mindfulness interventions introduced in high-pressure environments, such as neonatal intensive care units, have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demonstrated</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potential to enhance staff wellbeing. Brief mindfulness exercises conducted during handovers have been shown to increase feelings of calm and focus among staff, which may help mitigate the adverse effects of workload pressures. This </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indicates</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xml:space="preserve"> that wellbeing initiatives can foster resilience against the stress associated with staff shortages.</w:t>
      </w:r>
    </w:p>
    <w:p xmlns:wp14="http://schemas.microsoft.com/office/word/2010/wordml" w:rsidP="26CFB868" wp14:paraId="34F7EE9D" wp14:textId="14C22626">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6CFB868" w:rsidR="39B9C105">
        <w:rPr>
          <w:rFonts w:ascii="Aptos" w:hAnsi="Aptos" w:eastAsia="Aptos" w:cs="Aptos"/>
          <w:b w:val="0"/>
          <w:bCs w:val="0"/>
          <w:i w:val="0"/>
          <w:iCs w:val="0"/>
          <w:caps w:val="0"/>
          <w:smallCaps w:val="0"/>
          <w:noProof w:val="0"/>
          <w:color w:val="000000" w:themeColor="text1" w:themeTint="FF" w:themeShade="FF"/>
          <w:sz w:val="24"/>
          <w:szCs w:val="24"/>
          <w:lang w:val="en-GB"/>
        </w:rPr>
        <w:t>In addition to the aforementioned issues, another concern affected by short staffing is the increasing demand for long-term condition management and community care in the UK, driven by the ageing population. This scenario places considerable pressure on the NHS, as older adults generally require more assistance with chronic illnesses and complex health needs. Stone and Bryant (2012) support this assertion, stating that the growing ageing population in the UK is leading to heightened demand for long-term condition management, community, and social care, primarily because older adults typically necessitate more support for chronic illnesses and complex health needs. This demographic shift results in increased pressure on health and social care services to deliver coordinated and integrated care tailored to these conditions. The workforce responsible for caring for this demographic faces challenges in meeting these demands due to insufficient numbers and types of workers, as well as a lack of preparation for new service delivery models that emphasise care coordination and integration. Moreover, the workforce often lacks the requisite skills, knowledge, and competencies to effectively manage these evolving care needs.</w:t>
      </w:r>
    </w:p>
    <w:p xmlns:wp14="http://schemas.microsoft.com/office/word/2010/wordml" w:rsidP="26CFB868" wp14:paraId="19C051AA" wp14:textId="2C75A249">
      <w:pPr>
        <w:pStyle w:val="Normal"/>
        <w:spacing w:before="0" w:beforeAutospacing="off" w:after="0" w:afterAutospacing="off"/>
      </w:pPr>
      <w:r w:rsidRPr="26CFB868" w:rsidR="39B9C10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CFB868" wp14:paraId="2C1F32F6" wp14:textId="0CF5AA28">
      <w:pPr>
        <w:pStyle w:val="Normal"/>
        <w:spacing w:before="0" w:beforeAutospacing="off" w:after="0" w:afterAutospacing="off"/>
      </w:pPr>
      <w:r w:rsidRPr="26CFB868" w:rsidR="39B9C105">
        <w:rPr>
          <w:rFonts w:ascii="Aptos" w:hAnsi="Aptos" w:eastAsia="Aptos" w:cs="Aptos"/>
          <w:b w:val="0"/>
          <w:bCs w:val="0"/>
          <w:i w:val="0"/>
          <w:iCs w:val="0"/>
          <w:caps w:val="0"/>
          <w:smallCaps w:val="0"/>
          <w:noProof w:val="0"/>
          <w:color w:val="000000" w:themeColor="text1" w:themeTint="FF" w:themeShade="FF"/>
          <w:sz w:val="24"/>
          <w:szCs w:val="24"/>
          <w:lang w:val="en-GB"/>
        </w:rPr>
        <w:t>Furthermore, alongside an ageing population, a significant proportion of the NHS workforce is also ageing, with many employees approaching retirement age. Ryan et al. (2019), Taylor et al. (2022), and Khan (2023) acknowledge that the ageing NHS workforce, characterised by a considerable number of staff nearing retirement, significantly contributes to short staffing challenges. An ageing workforce implies a growing number of employees nearing the end of their careers, which can exacerbate existing recruitment and retention difficulties. This demographic shift heightens the risk of workforce shortages, as experienced staff retire, thereby reducing the overall number of qualified personnel available to meet service demands. Khan (2023) further notes that reliance on older staff also intersects with issues related to staff morale and retention. The NHS has encountered a staffing crisis exacerbated by factors such as underfunding, inflation, and stagnant salaries, which have prompted both junior and senior staff to seek employment opportunities overseas. This migration further intensifies staffing challenges, particularly as the loss of experienced older workers is not easily compensated by new recruits.</w:t>
      </w:r>
    </w:p>
    <w:p xmlns:wp14="http://schemas.microsoft.com/office/word/2010/wordml" w:rsidP="26CFB868" wp14:paraId="1E5CCC66" wp14:textId="5DEF9F5A">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CFB868" wp14:paraId="771C9174" wp14:textId="18D59983">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The NHS has lacked a long‑term workforce plan for over a decade, leading to reactive rather than strategic recruitment</w:t>
      </w:r>
      <w:r w:rsidRPr="26CFB868" w:rsidR="17D3B46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CFB868" w:rsidR="17D3B46C">
        <w:rPr>
          <w:rFonts w:ascii="Aptos" w:hAnsi="Aptos" w:eastAsia="Aptos" w:cs="Aptos"/>
          <w:noProof w:val="0"/>
          <w:sz w:val="24"/>
          <w:szCs w:val="24"/>
          <w:lang w:val="en-US"/>
        </w:rPr>
        <w:t xml:space="preserve">Lazou (2018) </w:t>
      </w:r>
      <w:r w:rsidRPr="26CFB868" w:rsidR="17D3B46C">
        <w:rPr>
          <w:rFonts w:ascii="Aptos" w:hAnsi="Aptos" w:eastAsia="Aptos" w:cs="Aptos"/>
          <w:b w:val="0"/>
          <w:bCs w:val="0"/>
          <w:i w:val="0"/>
          <w:iCs w:val="0"/>
          <w:caps w:val="0"/>
          <w:smallCaps w:val="0"/>
          <w:noProof w:val="0"/>
          <w:color w:val="000000" w:themeColor="text1" w:themeTint="FF" w:themeShade="FF"/>
          <w:sz w:val="24"/>
          <w:szCs w:val="24"/>
          <w:lang w:val="en-US"/>
        </w:rPr>
        <w:t xml:space="preserve">acknowledges this as they say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The NHS has faced a prolonged absence of a comprehensive long-term workforce plan, which has led to a reactive rather than a strategic approach to recruitment and retention. This deficiency in forward planning has resulted in persistent challenges in attracting and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retaining</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staff, with heightened workloads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being addressed by underqualified or down-banded personnel, illustrating a short-term response to workforce shortages rather than a sustainable strategy. </w:t>
      </w:r>
      <w:r w:rsidRPr="26CFB868" w:rsidR="4949D8E3">
        <w:rPr>
          <w:rFonts w:ascii="Aptos" w:hAnsi="Aptos" w:eastAsia="Aptos" w:cs="Aptos"/>
          <w:noProof w:val="0"/>
          <w:sz w:val="24"/>
          <w:szCs w:val="24"/>
          <w:lang w:val="en-US"/>
        </w:rPr>
        <w:t>Alderwick</w:t>
      </w:r>
      <w:r w:rsidRPr="26CFB868" w:rsidR="4949D8E3">
        <w:rPr>
          <w:rFonts w:ascii="Aptos" w:hAnsi="Aptos" w:eastAsia="Aptos" w:cs="Aptos"/>
          <w:noProof w:val="0"/>
          <w:sz w:val="24"/>
          <w:szCs w:val="24"/>
          <w:lang w:val="en-US"/>
        </w:rPr>
        <w:t xml:space="preserve"> and Charlesworth (2022)</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adds</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by saying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the health system has been </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characterised</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as urgently requiring a long-term workforce plan</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xml:space="preserve"> however</w:t>
      </w:r>
      <w:r w:rsidRPr="26CFB868" w:rsidR="4949D8E3">
        <w:rPr>
          <w:rFonts w:ascii="Aptos" w:hAnsi="Aptos" w:eastAsia="Aptos" w:cs="Aptos"/>
          <w:b w:val="0"/>
          <w:bCs w:val="0"/>
          <w:i w:val="0"/>
          <w:iCs w:val="0"/>
          <w:caps w:val="0"/>
          <w:smallCaps w:val="0"/>
          <w:noProof w:val="0"/>
          <w:color w:val="000000" w:themeColor="text1" w:themeTint="FF" w:themeShade="FF"/>
          <w:sz w:val="24"/>
          <w:szCs w:val="24"/>
          <w:lang w:val="en-US"/>
        </w:rPr>
        <w:t>, government initiatives to produce such a plan have been inadequate until recently.</w:t>
      </w:r>
    </w:p>
    <w:p xmlns:wp14="http://schemas.microsoft.com/office/word/2010/wordml" w:rsidP="26CFB868" wp14:paraId="2E0256DD" wp14:textId="024D7192">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The challenge posed by short-term political cycles, which undermine long-term workforce investment in the NHS, is evident in various critiques of current workforce planning practices. The lack of precise, published figures regarding future workforce requirements, as noted by former Health Secretary Jeremy Hunt, indicates a deficiency in strategic, long-term planning. This situation has been described as a “joke,” suggesting that short-term political considerations may be obstructing the establishment of sustainable staffing strategies for both the NHS and social care sectors (O’Dowd 2021).</w:t>
      </w:r>
    </w:p>
    <w:p xmlns:wp14="http://schemas.microsoft.com/office/word/2010/wordml" w:rsidP="26CFB868" wp14:paraId="41DE59E2" wp14:textId="612B7090">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6CFB868" wp14:paraId="1761EB3A" wp14:textId="08B03CF5">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Furthermore, Scott (2017) notes that the failure to create coherent and forward-looking workforce plans has been repeatedly acknowledged. Reports indicate that the challenges facing the NHS workforce are considerable, and current planning efforts are inadequate to address impending crises. This suggests that political cycles, which frequently emphasise immediate budgetary constraints and short-term results, may obstruct essential investments in workforce capacity and retention strategies.</w:t>
      </w:r>
    </w:p>
    <w:p xmlns:wp14="http://schemas.microsoft.com/office/word/2010/wordml" w:rsidP="26CFB868" wp14:paraId="1A6B78D5" wp14:textId="56620DC1">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6CFB868" wp14:paraId="201C1507" wp14:textId="25F9DD52">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The House of Commons Health and Social Care Committee’s report highlights the repercussions of insufficient workforce planning, linking staff shortages to burnout and increased turnover intentions. The report’s call for a “total overhaul” of workforce planning implies that existing approaches, potentially swayed by short-term political agendas, do not adequately support the long-term stability and wellbeing of NHS staff (Iacobucci 2021).</w:t>
      </w:r>
    </w:p>
    <w:p xmlns:wp14="http://schemas.microsoft.com/office/word/2010/wordml" w:rsidP="26CFB868" wp14:paraId="70DE63C0" wp14:textId="7CBA2210">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6CFB868" wp14:paraId="3EE2E747" wp14:textId="408BC342">
      <w:pPr>
        <w:pStyle w:val="Normal"/>
        <w:spacing w:before="0" w:beforeAutospacing="off" w:after="0" w:afterAutospacing="off"/>
      </w:pPr>
      <w:r w:rsidRPr="26CFB868" w:rsidR="5801D77E">
        <w:rPr>
          <w:rFonts w:ascii="Aptos" w:hAnsi="Aptos" w:eastAsia="Aptos" w:cs="Aptos"/>
          <w:b w:val="0"/>
          <w:bCs w:val="0"/>
          <w:i w:val="0"/>
          <w:iCs w:val="0"/>
          <w:caps w:val="0"/>
          <w:smallCaps w:val="0"/>
          <w:noProof w:val="0"/>
          <w:color w:val="000000" w:themeColor="text1" w:themeTint="FF" w:themeShade="FF"/>
          <w:sz w:val="24"/>
          <w:szCs w:val="24"/>
          <w:lang w:val="en-US"/>
        </w:rPr>
        <w:t>Kmietowicz (2007) further asserts that the government’s response, including funding for mental health support, addresses immediate pressures but does not necessarily constitute a strategic investment in workforce sustainability. Additionally, the recommendation for workforce planning to continue under the auspices of strategic health authorities (SHAs), despite previous failures, indicates a reluctance or difficulty in implementing long-term reforms, potentially influenced by political cycles and shifting priorities.</w:t>
      </w:r>
    </w:p>
    <w:p xmlns:wp14="http://schemas.microsoft.com/office/word/2010/wordml" w:rsidP="26CFB868" wp14:paraId="28A65FA7" wp14:textId="11977B40">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CFB868" wp14:paraId="28B0DF18" wp14:textId="6A3EBCB5">
      <w:pPr>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In summary, the evidence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indicates</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that NHS and social care staff shortages stem from long-standing, interconnected structural issues rather than isolated workforce gaps. The essay highlights how funding limitations, reduced training opportunities, Brexit-related recruitment challenges, burnout, and an ageing workforce collectively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destabilize</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the system. As noted, shortages have become "normalized within the NHS," leading to increased workloads, emotional distress, and declining care quality. The repercussions extend beyond staff wellbeing,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impacting</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patient access, safety, and outcomes, while placing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additional</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strain on community and primary care services.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Ultimately, the</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lack of a coherent long-term workforce plan has left the NHS vulnerable to shifting political priorities and reactive decision-making. Addressing these challenges </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necessitates</w:t>
      </w:r>
      <w:r w:rsidRPr="26CFB868" w:rsidR="0AEF3CF2">
        <w:rPr>
          <w:rFonts w:ascii="Aptos" w:hAnsi="Aptos" w:eastAsia="Aptos" w:cs="Aptos"/>
          <w:b w:val="0"/>
          <w:bCs w:val="0"/>
          <w:i w:val="0"/>
          <w:iCs w:val="0"/>
          <w:caps w:val="0"/>
          <w:smallCaps w:val="0"/>
          <w:noProof w:val="0"/>
          <w:color w:val="000000" w:themeColor="text1" w:themeTint="FF" w:themeShade="FF"/>
          <w:sz w:val="24"/>
          <w:szCs w:val="24"/>
          <w:lang w:val="en-US"/>
        </w:rPr>
        <w:t xml:space="preserve"> sustained investment, strategic planning, and a renewed focus on retention, wellbeing, and workforce development to ensure the future resilience of the NHS and social care sectors.</w:t>
      </w:r>
    </w:p>
    <w:p xmlns:wp14="http://schemas.microsoft.com/office/word/2010/wordml" w:rsidP="26CFB868" wp14:paraId="55F67CE3" wp14:textId="679D4EB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GB"/>
        </w:rPr>
        <w:t>References:</w:t>
      </w:r>
      <w:r w:rsidRPr="26CFB868" w:rsidR="0F2FB3E3">
        <w:rPr>
          <w:rFonts w:ascii="Aptos" w:hAnsi="Aptos" w:eastAsia="Aptos" w:cs="Aptos"/>
          <w:b w:val="0"/>
          <w:bCs w:val="0"/>
          <w:i w:val="0"/>
          <w:iCs w:val="0"/>
          <w:caps w:val="0"/>
          <w:smallCaps w:val="0"/>
          <w:noProof w:val="0"/>
          <w:color w:val="000000" w:themeColor="text1" w:themeTint="FF" w:themeShade="FF"/>
          <w:sz w:val="24"/>
          <w:szCs w:val="24"/>
          <w:lang w:val="en-US"/>
        </w:rPr>
        <w:t> </w:t>
      </w:r>
    </w:p>
    <w:p xmlns:wp14="http://schemas.microsoft.com/office/word/2010/wordml" w:rsidP="26CFB868" wp14:paraId="3A57D1B5" wp14:textId="4993ED27">
      <w:pPr>
        <w:spacing w:before="0" w:beforeAutospacing="off" w:after="160" w:afterAutospacing="off" w:line="276" w:lineRule="auto"/>
      </w:pPr>
      <w:r w:rsidRPr="26CFB868" w:rsidR="567DF9AE">
        <w:rPr>
          <w:rFonts w:ascii="Aptos" w:hAnsi="Aptos" w:eastAsia="Aptos" w:cs="Aptos"/>
          <w:noProof w:val="0"/>
          <w:sz w:val="24"/>
          <w:szCs w:val="24"/>
          <w:lang w:val="en-US"/>
        </w:rPr>
        <w:t xml:space="preserve">Alderwick, H. and Charlesworth, A. (2022) “A long term workforce plan for the English NHS,”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377, p. o1047. Available at: </w:t>
      </w:r>
      <w:hyperlink r:id="R09b9fa0dc65e4382">
        <w:r w:rsidRPr="26CFB868" w:rsidR="567DF9AE">
          <w:rPr>
            <w:rStyle w:val="Hyperlink"/>
            <w:rFonts w:ascii="Aptos" w:hAnsi="Aptos" w:eastAsia="Aptos" w:cs="Aptos"/>
            <w:strike w:val="0"/>
            <w:dstrike w:val="0"/>
            <w:noProof w:val="0"/>
            <w:color w:val="467886"/>
            <w:sz w:val="24"/>
            <w:szCs w:val="24"/>
            <w:u w:val="single"/>
            <w:lang w:val="en-US"/>
          </w:rPr>
          <w:t>https://doi.org/10.1136/bmj.o1047</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0C2EE2B9" wp14:textId="7ABB88BE">
      <w:pPr>
        <w:spacing w:before="0" w:beforeAutospacing="off" w:after="160" w:afterAutospacing="off" w:line="276" w:lineRule="auto"/>
      </w:pPr>
      <w:r w:rsidRPr="26CFB868" w:rsidR="567DF9AE">
        <w:rPr>
          <w:rFonts w:ascii="Aptos" w:hAnsi="Aptos" w:eastAsia="Aptos" w:cs="Aptos"/>
          <w:noProof w:val="0"/>
          <w:sz w:val="24"/>
          <w:szCs w:val="24"/>
          <w:lang w:val="en-US"/>
        </w:rPr>
        <w:t xml:space="preserve">Callaghan, F. </w:t>
      </w:r>
      <w:r w:rsidRPr="26CFB868" w:rsidR="567DF9AE">
        <w:rPr>
          <w:rFonts w:ascii="Aptos" w:hAnsi="Aptos" w:eastAsia="Aptos" w:cs="Aptos"/>
          <w:i w:val="1"/>
          <w:iCs w:val="1"/>
          <w:noProof w:val="0"/>
          <w:sz w:val="24"/>
          <w:szCs w:val="24"/>
          <w:lang w:val="en-US"/>
        </w:rPr>
        <w:t>et al.</w:t>
      </w:r>
      <w:r w:rsidRPr="26CFB868" w:rsidR="567DF9AE">
        <w:rPr>
          <w:rFonts w:ascii="Aptos" w:hAnsi="Aptos" w:eastAsia="Aptos" w:cs="Aptos"/>
          <w:noProof w:val="0"/>
          <w:sz w:val="24"/>
          <w:szCs w:val="24"/>
          <w:lang w:val="en-US"/>
        </w:rPr>
        <w:t xml:space="preserve"> (2025) “8076</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Mindful minute – introducing mindfulness to the NICU,” </w:t>
      </w:r>
      <w:r w:rsidRPr="26CFB868" w:rsidR="567DF9AE">
        <w:rPr>
          <w:rFonts w:ascii="Aptos" w:hAnsi="Aptos" w:eastAsia="Aptos" w:cs="Aptos"/>
          <w:i w:val="1"/>
          <w:iCs w:val="1"/>
          <w:noProof w:val="0"/>
          <w:sz w:val="24"/>
          <w:szCs w:val="24"/>
          <w:lang w:val="en-US"/>
        </w:rPr>
        <w:t>Archives of disease in childhood</w:t>
      </w:r>
      <w:r w:rsidRPr="26CFB868" w:rsidR="567DF9AE">
        <w:rPr>
          <w:rFonts w:ascii="Aptos" w:hAnsi="Aptos" w:eastAsia="Aptos" w:cs="Aptos"/>
          <w:noProof w:val="0"/>
          <w:sz w:val="24"/>
          <w:szCs w:val="24"/>
          <w:lang w:val="en-US"/>
        </w:rPr>
        <w:t xml:space="preserve">, 110(Suppl 1), pp. A163–A164. Available at: </w:t>
      </w:r>
      <w:hyperlink r:id="R7694864c13e449d9">
        <w:r w:rsidRPr="26CFB868" w:rsidR="567DF9AE">
          <w:rPr>
            <w:rStyle w:val="Hyperlink"/>
            <w:rFonts w:ascii="Aptos" w:hAnsi="Aptos" w:eastAsia="Aptos" w:cs="Aptos"/>
            <w:strike w:val="0"/>
            <w:dstrike w:val="0"/>
            <w:noProof w:val="0"/>
            <w:color w:val="467886"/>
            <w:sz w:val="24"/>
            <w:szCs w:val="24"/>
            <w:u w:val="single"/>
            <w:lang w:val="en-US"/>
          </w:rPr>
          <w:t>https://doi.org/10.1136/archdischild-2025-rcpch.220</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4597F9EA" wp14:textId="59C28EC5">
      <w:pPr>
        <w:spacing w:before="0" w:beforeAutospacing="off" w:after="160" w:afterAutospacing="off" w:line="276" w:lineRule="auto"/>
      </w:pPr>
      <w:r w:rsidRPr="26CFB868" w:rsidR="567DF9AE">
        <w:rPr>
          <w:rFonts w:ascii="Aptos" w:hAnsi="Aptos" w:eastAsia="Aptos" w:cs="Aptos"/>
          <w:noProof w:val="0"/>
          <w:sz w:val="24"/>
          <w:szCs w:val="24"/>
          <w:lang w:val="en-GB"/>
        </w:rPr>
        <w:t>Cowper, A. (2019) “The NHS workforce plan is an off-the-scale fantasy,”</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BMJ (Online)</w:t>
      </w:r>
      <w:r w:rsidRPr="26CFB868" w:rsidR="567DF9AE">
        <w:rPr>
          <w:rFonts w:ascii="Aptos" w:hAnsi="Aptos" w:eastAsia="Aptos" w:cs="Aptos"/>
          <w:noProof w:val="0"/>
          <w:sz w:val="24"/>
          <w:szCs w:val="24"/>
          <w:lang w:val="en-GB"/>
        </w:rPr>
        <w:t>, 365, p. l4036. Available at:</w:t>
      </w:r>
      <w:r w:rsidRPr="26CFB868" w:rsidR="567DF9AE">
        <w:rPr>
          <w:rFonts w:ascii="Arial" w:hAnsi="Arial" w:eastAsia="Arial" w:cs="Arial"/>
          <w:noProof w:val="0"/>
          <w:sz w:val="24"/>
          <w:szCs w:val="24"/>
          <w:lang w:val="en-GB"/>
        </w:rPr>
        <w:t> </w:t>
      </w:r>
      <w:hyperlink r:id="R8e37e3d3266d4a71">
        <w:r w:rsidRPr="26CFB868" w:rsidR="567DF9AE">
          <w:rPr>
            <w:rStyle w:val="Hyperlink"/>
            <w:rFonts w:ascii="Aptos" w:hAnsi="Aptos" w:eastAsia="Aptos" w:cs="Aptos"/>
            <w:strike w:val="0"/>
            <w:dstrike w:val="0"/>
            <w:noProof w:val="0"/>
            <w:color w:val="467886"/>
            <w:sz w:val="24"/>
            <w:szCs w:val="24"/>
            <w:u w:val="single"/>
            <w:lang w:val="en-GB"/>
          </w:rPr>
          <w:t>https://doi.org/10.1136/bmj.l4036</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41C36BC0" wp14:textId="1DF26B48">
      <w:pPr>
        <w:spacing w:before="0" w:beforeAutospacing="off" w:after="160" w:afterAutospacing="off" w:line="276" w:lineRule="auto"/>
      </w:pPr>
      <w:r w:rsidRPr="26CFB868" w:rsidR="567DF9AE">
        <w:rPr>
          <w:rFonts w:ascii="Aptos" w:hAnsi="Aptos" w:eastAsia="Aptos" w:cs="Aptos"/>
          <w:noProof w:val="0"/>
          <w:sz w:val="24"/>
          <w:szCs w:val="24"/>
          <w:lang w:val="en-GB"/>
        </w:rPr>
        <w:t>Deakin, M. (2022) “NHS workforce shortages and staff burnout are taking a toll,”</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BMJ (Online)</w:t>
      </w:r>
      <w:r w:rsidRPr="26CFB868" w:rsidR="567DF9AE">
        <w:rPr>
          <w:rFonts w:ascii="Aptos" w:hAnsi="Aptos" w:eastAsia="Aptos" w:cs="Aptos"/>
          <w:noProof w:val="0"/>
          <w:sz w:val="24"/>
          <w:szCs w:val="24"/>
          <w:lang w:val="en-GB"/>
        </w:rPr>
        <w:t>, 377, p. o945. Available at:</w:t>
      </w:r>
      <w:r w:rsidRPr="26CFB868" w:rsidR="567DF9AE">
        <w:rPr>
          <w:rFonts w:ascii="Arial" w:hAnsi="Arial" w:eastAsia="Arial" w:cs="Arial"/>
          <w:noProof w:val="0"/>
          <w:sz w:val="24"/>
          <w:szCs w:val="24"/>
          <w:lang w:val="en-GB"/>
        </w:rPr>
        <w:t> </w:t>
      </w:r>
      <w:hyperlink r:id="Rd370bc41f2ce4108">
        <w:r w:rsidRPr="26CFB868" w:rsidR="567DF9AE">
          <w:rPr>
            <w:rStyle w:val="Hyperlink"/>
            <w:rFonts w:ascii="Aptos" w:hAnsi="Aptos" w:eastAsia="Aptos" w:cs="Aptos"/>
            <w:strike w:val="0"/>
            <w:dstrike w:val="0"/>
            <w:noProof w:val="0"/>
            <w:color w:val="467886"/>
            <w:sz w:val="24"/>
            <w:szCs w:val="24"/>
            <w:u w:val="single"/>
            <w:lang w:val="en-GB"/>
          </w:rPr>
          <w:t>https://doi.org/10.1136/bmj.o945</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6CEC247E" wp14:textId="5327BD00">
      <w:pPr>
        <w:spacing w:before="0" w:beforeAutospacing="off" w:after="160" w:afterAutospacing="off" w:line="276" w:lineRule="auto"/>
      </w:pPr>
      <w:r w:rsidRPr="26CFB868" w:rsidR="567DF9AE">
        <w:rPr>
          <w:rFonts w:ascii="Aptos" w:hAnsi="Aptos" w:eastAsia="Aptos" w:cs="Aptos"/>
          <w:noProof w:val="0"/>
          <w:sz w:val="24"/>
          <w:szCs w:val="24"/>
          <w:lang w:val="en-US"/>
        </w:rPr>
        <w:t xml:space="preserve">Deakin, M. (2022) “NHS workforce shortages and staff burnout are taking a toll,” </w:t>
      </w:r>
      <w:r w:rsidRPr="26CFB868" w:rsidR="567DF9AE">
        <w:rPr>
          <w:rFonts w:ascii="Aptos" w:hAnsi="Aptos" w:eastAsia="Aptos" w:cs="Aptos"/>
          <w:i w:val="1"/>
          <w:iCs w:val="1"/>
          <w:noProof w:val="0"/>
          <w:sz w:val="24"/>
          <w:szCs w:val="24"/>
          <w:lang w:val="en-US"/>
        </w:rPr>
        <w:t xml:space="preserve">BMJ </w:t>
      </w:r>
      <w:r w:rsidRPr="26CFB868" w:rsidR="567DF9AE">
        <w:rPr>
          <w:rFonts w:ascii="Aptos" w:hAnsi="Aptos" w:eastAsia="Aptos" w:cs="Aptos"/>
          <w:noProof w:val="0"/>
          <w:sz w:val="24"/>
          <w:szCs w:val="24"/>
          <w:lang w:val="en-US"/>
        </w:rPr>
        <w:t xml:space="preserve"> </w:t>
      </w:r>
    </w:p>
    <w:p xmlns:wp14="http://schemas.microsoft.com/office/word/2010/wordml" w:rsidP="26CFB868" wp14:paraId="614143FC" wp14:textId="1A7DD1E1">
      <w:pPr>
        <w:spacing w:before="0" w:beforeAutospacing="off" w:after="160" w:afterAutospacing="off" w:line="276" w:lineRule="auto"/>
      </w:pPr>
      <w:r w:rsidRPr="26CFB868" w:rsidR="567DF9AE">
        <w:rPr>
          <w:rFonts w:ascii="Aptos" w:hAnsi="Aptos" w:eastAsia="Aptos" w:cs="Aptos"/>
          <w:noProof w:val="0"/>
          <w:sz w:val="24"/>
          <w:szCs w:val="24"/>
          <w:lang w:val="en-US"/>
        </w:rPr>
        <w:t xml:space="preserve">Iacobucci, G. (2021) “Staff burnout: MPs demand ‘total overhaul’ of NHS workforce planning,”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373, p. n1461. Available at: </w:t>
      </w:r>
      <w:hyperlink r:id="Rc15be5e35e984396">
        <w:r w:rsidRPr="26CFB868" w:rsidR="567DF9AE">
          <w:rPr>
            <w:rStyle w:val="Hyperlink"/>
            <w:rFonts w:ascii="Aptos" w:hAnsi="Aptos" w:eastAsia="Aptos" w:cs="Aptos"/>
            <w:strike w:val="0"/>
            <w:dstrike w:val="0"/>
            <w:noProof w:val="0"/>
            <w:color w:val="467886"/>
            <w:sz w:val="24"/>
            <w:szCs w:val="24"/>
            <w:u w:val="single"/>
            <w:lang w:val="en-US"/>
          </w:rPr>
          <w:t>https://doi.org/10.1136/bmj.n1461</w:t>
        </w:r>
      </w:hyperlink>
      <w:r w:rsidRPr="26CFB868" w:rsidR="567DF9AE">
        <w:rPr>
          <w:rFonts w:ascii="Aptos" w:hAnsi="Aptos" w:eastAsia="Aptos" w:cs="Aptos"/>
          <w:noProof w:val="0"/>
          <w:sz w:val="24"/>
          <w:szCs w:val="24"/>
          <w:lang w:val="en-US"/>
        </w:rPr>
        <w:t>.</w:t>
      </w:r>
      <w:r w:rsidRPr="26CFB868" w:rsidR="567DF9AE">
        <w:rPr>
          <w:rFonts w:ascii="Aptos" w:hAnsi="Aptos" w:eastAsia="Aptos" w:cs="Aptos"/>
          <w:b w:val="1"/>
          <w:bCs w:val="1"/>
          <w:noProof w:val="0"/>
          <w:sz w:val="24"/>
          <w:szCs w:val="24"/>
          <w:vertAlign w:val="superscript"/>
          <w:lang w:val="en-US"/>
        </w:rPr>
        <w:t xml:space="preserve"> </w:t>
      </w:r>
      <w:r w:rsidRPr="26CFB868" w:rsidR="567DF9AE">
        <w:rPr>
          <w:rFonts w:ascii="Aptos" w:hAnsi="Aptos" w:eastAsia="Aptos" w:cs="Aptos"/>
          <w:noProof w:val="0"/>
          <w:sz w:val="24"/>
          <w:szCs w:val="24"/>
          <w:lang w:val="en-US"/>
        </w:rPr>
        <w:t xml:space="preserve"> </w:t>
      </w:r>
    </w:p>
    <w:p xmlns:wp14="http://schemas.microsoft.com/office/word/2010/wordml" w:rsidP="26CFB868" wp14:paraId="5A175ADA" wp14:textId="0FEFEFB0">
      <w:pPr>
        <w:spacing w:before="0" w:beforeAutospacing="off" w:after="160" w:afterAutospacing="off" w:line="276" w:lineRule="auto"/>
      </w:pPr>
      <w:r w:rsidRPr="26CFB868" w:rsidR="567DF9AE">
        <w:rPr>
          <w:rFonts w:ascii="Aptos" w:hAnsi="Aptos" w:eastAsia="Aptos" w:cs="Aptos"/>
          <w:noProof w:val="0"/>
          <w:sz w:val="24"/>
          <w:szCs w:val="24"/>
          <w:lang w:val="en-US"/>
        </w:rPr>
        <w:t xml:space="preserve">Michaeli, D.T. </w:t>
      </w:r>
      <w:r w:rsidRPr="26CFB868" w:rsidR="567DF9AE">
        <w:rPr>
          <w:rFonts w:ascii="Aptos" w:hAnsi="Aptos" w:eastAsia="Aptos" w:cs="Aptos"/>
          <w:i w:val="1"/>
          <w:iCs w:val="1"/>
          <w:noProof w:val="0"/>
          <w:sz w:val="24"/>
          <w:szCs w:val="24"/>
          <w:lang w:val="en-US"/>
        </w:rPr>
        <w:t>et al.</w:t>
      </w:r>
      <w:r w:rsidRPr="26CFB868" w:rsidR="567DF9AE">
        <w:rPr>
          <w:rFonts w:ascii="Aptos" w:hAnsi="Aptos" w:eastAsia="Aptos" w:cs="Aptos"/>
          <w:noProof w:val="0"/>
          <w:sz w:val="24"/>
          <w:szCs w:val="24"/>
          <w:lang w:val="en-US"/>
        </w:rPr>
        <w:t xml:space="preserve"> (2024) “The Healthcare Workforce Shortage of Nurses and Physicians: Practice, Theory, Evidence, and Ways Forward,” </w:t>
      </w:r>
      <w:r w:rsidRPr="26CFB868" w:rsidR="567DF9AE">
        <w:rPr>
          <w:rFonts w:ascii="Aptos" w:hAnsi="Aptos" w:eastAsia="Aptos" w:cs="Aptos"/>
          <w:i w:val="1"/>
          <w:iCs w:val="1"/>
          <w:noProof w:val="0"/>
          <w:sz w:val="24"/>
          <w:szCs w:val="24"/>
          <w:lang w:val="en-US"/>
        </w:rPr>
        <w:t>Policy, politics &amp; nursing practice</w:t>
      </w:r>
      <w:r w:rsidRPr="26CFB868" w:rsidR="567DF9AE">
        <w:rPr>
          <w:rFonts w:ascii="Aptos" w:hAnsi="Aptos" w:eastAsia="Aptos" w:cs="Aptos"/>
          <w:noProof w:val="0"/>
          <w:sz w:val="24"/>
          <w:szCs w:val="24"/>
          <w:lang w:val="en-US"/>
        </w:rPr>
        <w:t xml:space="preserve">, 25(4), pp. 216–227. Available at: </w:t>
      </w:r>
      <w:hyperlink r:id="Re2e38ff2e01945da">
        <w:r w:rsidRPr="26CFB868" w:rsidR="567DF9AE">
          <w:rPr>
            <w:rStyle w:val="Hyperlink"/>
            <w:rFonts w:ascii="Aptos" w:hAnsi="Aptos" w:eastAsia="Aptos" w:cs="Aptos"/>
            <w:strike w:val="0"/>
            <w:dstrike w:val="0"/>
            <w:noProof w:val="0"/>
            <w:color w:val="467886"/>
            <w:sz w:val="24"/>
            <w:szCs w:val="24"/>
            <w:u w:val="single"/>
            <w:lang w:val="en-US"/>
          </w:rPr>
          <w:t>https://doi.org/10.1177/15271544241286083</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632A92A5" wp14:textId="789B3B02">
      <w:pPr>
        <w:spacing w:before="0" w:beforeAutospacing="off" w:after="160" w:afterAutospacing="off" w:line="276" w:lineRule="auto"/>
      </w:pPr>
      <w:r w:rsidRPr="26CFB868" w:rsidR="567DF9AE">
        <w:rPr>
          <w:rFonts w:ascii="Aptos" w:hAnsi="Aptos" w:eastAsia="Aptos" w:cs="Aptos"/>
          <w:noProof w:val="0"/>
          <w:sz w:val="24"/>
          <w:szCs w:val="24"/>
          <w:lang w:val="en-GB"/>
        </w:rPr>
        <w:t xml:space="preserve">Khan, Z. (2023) “The Emerging Challenges and Strengths of the National Health Services: A Physician Perspective,” </w:t>
      </w:r>
      <w:r w:rsidRPr="26CFB868" w:rsidR="567DF9AE">
        <w:rPr>
          <w:rFonts w:ascii="Aptos" w:hAnsi="Aptos" w:eastAsia="Aptos" w:cs="Aptos"/>
          <w:i w:val="1"/>
          <w:iCs w:val="1"/>
          <w:noProof w:val="0"/>
          <w:sz w:val="24"/>
          <w:szCs w:val="24"/>
          <w:lang w:val="en-GB"/>
        </w:rPr>
        <w:t>Curēus (Palo Alto, CA)</w:t>
      </w:r>
      <w:r w:rsidRPr="26CFB868" w:rsidR="567DF9AE">
        <w:rPr>
          <w:rFonts w:ascii="Aptos" w:hAnsi="Aptos" w:eastAsia="Aptos" w:cs="Aptos"/>
          <w:noProof w:val="0"/>
          <w:sz w:val="24"/>
          <w:szCs w:val="24"/>
          <w:lang w:val="en-GB"/>
        </w:rPr>
        <w:t xml:space="preserve">, 15(5), p. e38617. Available at: </w:t>
      </w:r>
      <w:hyperlink r:id="R459536816db04916">
        <w:r w:rsidRPr="26CFB868" w:rsidR="567DF9AE">
          <w:rPr>
            <w:rStyle w:val="Hyperlink"/>
            <w:rFonts w:ascii="Aptos" w:hAnsi="Aptos" w:eastAsia="Aptos" w:cs="Aptos"/>
            <w:strike w:val="0"/>
            <w:dstrike w:val="0"/>
            <w:noProof w:val="0"/>
            <w:color w:val="467886"/>
            <w:sz w:val="24"/>
            <w:szCs w:val="24"/>
            <w:u w:val="single"/>
            <w:lang w:val="en-GB"/>
          </w:rPr>
          <w:t>https://doi.org/10.7759/cureus.38617</w:t>
        </w:r>
      </w:hyperlink>
      <w:r w:rsidRPr="26CFB868" w:rsidR="567DF9AE">
        <w:rPr>
          <w:rFonts w:ascii="Aptos" w:hAnsi="Aptos" w:eastAsia="Aptos" w:cs="Aptos"/>
          <w:noProof w:val="0"/>
          <w:sz w:val="24"/>
          <w:szCs w:val="24"/>
          <w:lang w:val="en-GB"/>
        </w:rPr>
        <w:t>.</w:t>
      </w:r>
      <w:r w:rsidRPr="26CFB868" w:rsidR="567DF9AE">
        <w:rPr>
          <w:rFonts w:ascii="Aptos" w:hAnsi="Aptos" w:eastAsia="Aptos" w:cs="Aptos"/>
          <w:noProof w:val="0"/>
          <w:sz w:val="24"/>
          <w:szCs w:val="24"/>
          <w:lang w:val="en-US"/>
        </w:rPr>
        <w:t xml:space="preserve"> </w:t>
      </w:r>
    </w:p>
    <w:p xmlns:wp14="http://schemas.microsoft.com/office/word/2010/wordml" w:rsidP="26CFB868" wp14:paraId="0974DB18" wp14:textId="1C337705">
      <w:pPr>
        <w:spacing w:before="0" w:beforeAutospacing="off" w:after="160" w:afterAutospacing="off" w:line="276" w:lineRule="auto"/>
      </w:pPr>
      <w:r w:rsidRPr="26CFB868" w:rsidR="567DF9AE">
        <w:rPr>
          <w:rFonts w:ascii="Aptos" w:hAnsi="Aptos" w:eastAsia="Aptos" w:cs="Aptos"/>
          <w:noProof w:val="0"/>
          <w:sz w:val="24"/>
          <w:szCs w:val="24"/>
          <w:lang w:val="en-US"/>
        </w:rPr>
        <w:t xml:space="preserve">Kirby, R. (2023) “Dealing with the NHS staff recruitment and retention crisis: how are we doing?,” </w:t>
      </w:r>
      <w:r w:rsidRPr="26CFB868" w:rsidR="567DF9AE">
        <w:rPr>
          <w:rFonts w:ascii="Aptos" w:hAnsi="Aptos" w:eastAsia="Aptos" w:cs="Aptos"/>
          <w:i w:val="1"/>
          <w:iCs w:val="1"/>
          <w:noProof w:val="0"/>
          <w:sz w:val="24"/>
          <w:szCs w:val="24"/>
          <w:lang w:val="en-US"/>
        </w:rPr>
        <w:t>Trends in urology &amp; men’s health</w:t>
      </w:r>
      <w:r w:rsidRPr="26CFB868" w:rsidR="567DF9AE">
        <w:rPr>
          <w:rFonts w:ascii="Aptos" w:hAnsi="Aptos" w:eastAsia="Aptos" w:cs="Aptos"/>
          <w:noProof w:val="0"/>
          <w:sz w:val="24"/>
          <w:szCs w:val="24"/>
          <w:lang w:val="en-US"/>
        </w:rPr>
        <w:t xml:space="preserve">, 14(1), pp. 28–30. Available at: </w:t>
      </w:r>
      <w:hyperlink r:id="R877f9da6564e4a75">
        <w:r w:rsidRPr="26CFB868" w:rsidR="567DF9AE">
          <w:rPr>
            <w:rStyle w:val="Hyperlink"/>
            <w:rFonts w:ascii="Aptos" w:hAnsi="Aptos" w:eastAsia="Aptos" w:cs="Aptos"/>
            <w:strike w:val="0"/>
            <w:dstrike w:val="0"/>
            <w:noProof w:val="0"/>
            <w:color w:val="467886"/>
            <w:sz w:val="24"/>
            <w:szCs w:val="24"/>
            <w:u w:val="single"/>
            <w:lang w:val="en-US"/>
          </w:rPr>
          <w:t>https://doi.org/10.1002/tre.892</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4D53D203" wp14:textId="421094B3">
      <w:pPr>
        <w:spacing w:before="0" w:beforeAutospacing="off" w:after="160" w:afterAutospacing="off" w:line="276" w:lineRule="auto"/>
      </w:pPr>
      <w:r w:rsidRPr="26CFB868" w:rsidR="567DF9AE">
        <w:rPr>
          <w:rFonts w:ascii="Aptos" w:hAnsi="Aptos" w:eastAsia="Aptos" w:cs="Aptos"/>
          <w:noProof w:val="0"/>
          <w:sz w:val="24"/>
          <w:szCs w:val="24"/>
          <w:lang w:val="en-US"/>
        </w:rPr>
        <w:t xml:space="preserve">Kmietowicz, Z. (2007) “MPs say NHS workforce planning has been ‘a disastrous failure,’” </w:t>
      </w:r>
      <w:r w:rsidRPr="26CFB868" w:rsidR="567DF9AE">
        <w:rPr>
          <w:rFonts w:ascii="Aptos" w:hAnsi="Aptos" w:eastAsia="Aptos" w:cs="Aptos"/>
          <w:i w:val="1"/>
          <w:iCs w:val="1"/>
          <w:noProof w:val="0"/>
          <w:sz w:val="24"/>
          <w:szCs w:val="24"/>
          <w:lang w:val="en-US"/>
        </w:rPr>
        <w:t>BMJ</w:t>
      </w:r>
      <w:r w:rsidRPr="26CFB868" w:rsidR="567DF9AE">
        <w:rPr>
          <w:rFonts w:ascii="Aptos" w:hAnsi="Aptos" w:eastAsia="Aptos" w:cs="Aptos"/>
          <w:noProof w:val="0"/>
          <w:sz w:val="24"/>
          <w:szCs w:val="24"/>
          <w:lang w:val="en-US"/>
        </w:rPr>
        <w:t xml:space="preserve">, 334(7595), pp. 653–653. Available at: </w:t>
      </w:r>
      <w:hyperlink r:id="R38c8e740b8ed4bdc">
        <w:r w:rsidRPr="26CFB868" w:rsidR="567DF9AE">
          <w:rPr>
            <w:rStyle w:val="Hyperlink"/>
            <w:rFonts w:ascii="Aptos" w:hAnsi="Aptos" w:eastAsia="Aptos" w:cs="Aptos"/>
            <w:strike w:val="0"/>
            <w:dstrike w:val="0"/>
            <w:noProof w:val="0"/>
            <w:color w:val="467886"/>
            <w:sz w:val="24"/>
            <w:szCs w:val="24"/>
            <w:u w:val="single"/>
            <w:lang w:val="en-US"/>
          </w:rPr>
          <w:t>https://doi.org/10.1136/bmj.39167.372002.DB</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018A2D95" wp14:textId="38627A48">
      <w:pPr>
        <w:spacing w:before="0" w:beforeAutospacing="off" w:after="160" w:afterAutospacing="off" w:line="276" w:lineRule="auto"/>
      </w:pPr>
      <w:r w:rsidRPr="26CFB868" w:rsidR="567DF9AE">
        <w:rPr>
          <w:rFonts w:ascii="Aptos" w:hAnsi="Aptos" w:eastAsia="Aptos" w:cs="Aptos"/>
          <w:noProof w:val="0"/>
          <w:sz w:val="24"/>
          <w:szCs w:val="24"/>
          <w:lang w:val="en-US"/>
        </w:rPr>
        <w:t xml:space="preserve">Lazou, J. (2018) “GETTING SERIOUS ABOUT STAFFING,” </w:t>
      </w:r>
      <w:r w:rsidRPr="26CFB868" w:rsidR="567DF9AE">
        <w:rPr>
          <w:rFonts w:ascii="Aptos" w:hAnsi="Aptos" w:eastAsia="Aptos" w:cs="Aptos"/>
          <w:i w:val="1"/>
          <w:iCs w:val="1"/>
          <w:noProof w:val="0"/>
          <w:sz w:val="24"/>
          <w:szCs w:val="24"/>
          <w:lang w:val="en-US"/>
        </w:rPr>
        <w:t>Community practitioner</w:t>
      </w:r>
      <w:r w:rsidRPr="26CFB868" w:rsidR="567DF9AE">
        <w:rPr>
          <w:rFonts w:ascii="Arial" w:hAnsi="Arial" w:eastAsia="Arial" w:cs="Arial"/>
          <w:i w:val="1"/>
          <w:iCs w:val="1"/>
          <w:noProof w:val="0"/>
          <w:sz w:val="24"/>
          <w:szCs w:val="24"/>
          <w:lang w:val="en-US"/>
        </w:rPr>
        <w:t> </w:t>
      </w:r>
      <w:r w:rsidRPr="26CFB868" w:rsidR="567DF9AE">
        <w:rPr>
          <w:rFonts w:ascii="Aptos" w:hAnsi="Aptos" w:eastAsia="Aptos" w:cs="Aptos"/>
          <w:i w:val="1"/>
          <w:iCs w:val="1"/>
          <w:noProof w:val="0"/>
          <w:sz w:val="24"/>
          <w:szCs w:val="24"/>
          <w:lang w:val="en-US"/>
        </w:rPr>
        <w:t>: the journal of the Community Practitioners’ &amp; Health Visitors’ Association</w:t>
      </w:r>
      <w:r w:rsidRPr="26CFB868" w:rsidR="567DF9AE">
        <w:rPr>
          <w:rFonts w:ascii="Aptos" w:hAnsi="Aptos" w:eastAsia="Aptos" w:cs="Aptos"/>
          <w:noProof w:val="0"/>
          <w:sz w:val="24"/>
          <w:szCs w:val="24"/>
          <w:lang w:val="en-US"/>
        </w:rPr>
        <w:t xml:space="preserve">, 91(9), pp. 17–17. </w:t>
      </w:r>
    </w:p>
    <w:p xmlns:wp14="http://schemas.microsoft.com/office/word/2010/wordml" w:rsidP="26CFB868" wp14:paraId="3BB7D9DE" wp14:textId="15855EED">
      <w:pPr>
        <w:spacing w:before="0" w:beforeAutospacing="off" w:after="160" w:afterAutospacing="off" w:line="276" w:lineRule="auto"/>
      </w:pPr>
      <w:r w:rsidRPr="26CFB868" w:rsidR="567DF9AE">
        <w:rPr>
          <w:rFonts w:ascii="Aptos" w:hAnsi="Aptos" w:eastAsia="Aptos" w:cs="Aptos"/>
          <w:noProof w:val="0"/>
          <w:sz w:val="24"/>
          <w:szCs w:val="24"/>
          <w:lang w:val="en-US"/>
        </w:rPr>
        <w:t xml:space="preserve">O’Dowd, A. (2021) “NHS and social care workforce planning is a ‘joke,’ says former health secretary,”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372, p. n564. Available at: </w:t>
      </w:r>
      <w:hyperlink r:id="R775e588eba094d7c">
        <w:r w:rsidRPr="26CFB868" w:rsidR="567DF9AE">
          <w:rPr>
            <w:rStyle w:val="Hyperlink"/>
            <w:rFonts w:ascii="Aptos" w:hAnsi="Aptos" w:eastAsia="Aptos" w:cs="Aptos"/>
            <w:strike w:val="0"/>
            <w:dstrike w:val="0"/>
            <w:noProof w:val="0"/>
            <w:color w:val="467886"/>
            <w:sz w:val="24"/>
            <w:szCs w:val="24"/>
            <w:u w:val="single"/>
            <w:lang w:val="en-US"/>
          </w:rPr>
          <w:t>https://doi.org/10.1136/bmj.n564</w:t>
        </w:r>
      </w:hyperlink>
      <w:r w:rsidRPr="26CFB868" w:rsidR="567DF9AE">
        <w:rPr>
          <w:rFonts w:ascii="Aptos" w:hAnsi="Aptos" w:eastAsia="Aptos" w:cs="Aptos"/>
          <w:noProof w:val="0"/>
          <w:sz w:val="24"/>
          <w:szCs w:val="24"/>
          <w:lang w:val="en-US"/>
        </w:rPr>
        <w:t>.</w:t>
      </w:r>
      <w:r w:rsidRPr="26CFB868" w:rsidR="567DF9AE">
        <w:rPr>
          <w:rFonts w:ascii="Aptos" w:hAnsi="Aptos" w:eastAsia="Aptos" w:cs="Aptos"/>
          <w:noProof w:val="0"/>
          <w:sz w:val="24"/>
          <w:szCs w:val="24"/>
          <w:lang w:val="en"/>
        </w:rPr>
        <w:t xml:space="preserve"> </w:t>
      </w:r>
    </w:p>
    <w:p xmlns:wp14="http://schemas.microsoft.com/office/word/2010/wordml" w:rsidP="26CFB868" wp14:paraId="69FD098E" wp14:textId="49359B07">
      <w:pPr>
        <w:spacing w:before="0" w:beforeAutospacing="off" w:after="160" w:afterAutospacing="off" w:line="276" w:lineRule="auto"/>
      </w:pPr>
      <w:r w:rsidRPr="26CFB868" w:rsidR="567DF9AE">
        <w:rPr>
          <w:rFonts w:ascii="Aptos" w:hAnsi="Aptos" w:eastAsia="Aptos" w:cs="Aptos"/>
          <w:noProof w:val="0"/>
          <w:sz w:val="24"/>
          <w:szCs w:val="24"/>
          <w:lang w:val="en-GB"/>
        </w:rPr>
        <w:t>Oliver, D. (2019) “David Oliver: Falling immigration could destroy the NHS,”</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BMJ (Online)</w:t>
      </w:r>
      <w:r w:rsidRPr="26CFB868" w:rsidR="567DF9AE">
        <w:rPr>
          <w:rFonts w:ascii="Aptos" w:hAnsi="Aptos" w:eastAsia="Aptos" w:cs="Aptos"/>
          <w:noProof w:val="0"/>
          <w:sz w:val="24"/>
          <w:szCs w:val="24"/>
          <w:lang w:val="en-GB"/>
        </w:rPr>
        <w:t>, 364, p. k5308. Available at:</w:t>
      </w:r>
      <w:r w:rsidRPr="26CFB868" w:rsidR="567DF9AE">
        <w:rPr>
          <w:rFonts w:ascii="Arial" w:hAnsi="Arial" w:eastAsia="Arial" w:cs="Arial"/>
          <w:noProof w:val="0"/>
          <w:sz w:val="24"/>
          <w:szCs w:val="24"/>
          <w:lang w:val="en-GB"/>
        </w:rPr>
        <w:t> </w:t>
      </w:r>
      <w:hyperlink r:id="Rd0c7279e7b854f5d">
        <w:r w:rsidRPr="26CFB868" w:rsidR="567DF9AE">
          <w:rPr>
            <w:rStyle w:val="Hyperlink"/>
            <w:rFonts w:ascii="Aptos" w:hAnsi="Aptos" w:eastAsia="Aptos" w:cs="Aptos"/>
            <w:strike w:val="0"/>
            <w:dstrike w:val="0"/>
            <w:noProof w:val="0"/>
            <w:color w:val="467886"/>
            <w:sz w:val="24"/>
            <w:szCs w:val="24"/>
            <w:u w:val="single"/>
            <w:lang w:val="en-GB"/>
          </w:rPr>
          <w:t>https://doi.org/10.1136/bmj.k5308</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5EFF3C0C" wp14:textId="18589E6B">
      <w:pPr>
        <w:spacing w:before="0" w:beforeAutospacing="off" w:after="160" w:afterAutospacing="off" w:line="276" w:lineRule="auto"/>
      </w:pPr>
      <w:r w:rsidRPr="26CFB868" w:rsidR="567DF9AE">
        <w:rPr>
          <w:rFonts w:ascii="Aptos" w:hAnsi="Aptos" w:eastAsia="Aptos" w:cs="Aptos"/>
          <w:noProof w:val="0"/>
          <w:sz w:val="24"/>
          <w:szCs w:val="24"/>
          <w:lang w:val="en-GB"/>
        </w:rPr>
        <w:t>Parkinson, B.</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et al.</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(2024) “Regional Variation in the Community Nursing and Support Workforce in England: A Longitudinal Analysis 2010–2021,”</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Journal of nursing management</w:t>
      </w:r>
      <w:r w:rsidRPr="26CFB868" w:rsidR="567DF9AE">
        <w:rPr>
          <w:rFonts w:ascii="Aptos" w:hAnsi="Aptos" w:eastAsia="Aptos" w:cs="Aptos"/>
          <w:noProof w:val="0"/>
          <w:sz w:val="24"/>
          <w:szCs w:val="24"/>
          <w:lang w:val="en-GB"/>
        </w:rPr>
        <w:t>. Edited by</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Xinqiao</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Liu, 2024(1), p. 7513374. Available at:</w:t>
      </w:r>
      <w:r w:rsidRPr="26CFB868" w:rsidR="567DF9AE">
        <w:rPr>
          <w:rFonts w:ascii="Arial" w:hAnsi="Arial" w:eastAsia="Arial" w:cs="Arial"/>
          <w:noProof w:val="0"/>
          <w:sz w:val="24"/>
          <w:szCs w:val="24"/>
          <w:lang w:val="en-GB"/>
        </w:rPr>
        <w:t> </w:t>
      </w:r>
      <w:hyperlink r:id="Rea019972c78946bb">
        <w:r w:rsidRPr="26CFB868" w:rsidR="567DF9AE">
          <w:rPr>
            <w:rStyle w:val="Hyperlink"/>
            <w:rFonts w:ascii="Aptos" w:hAnsi="Aptos" w:eastAsia="Aptos" w:cs="Aptos"/>
            <w:strike w:val="0"/>
            <w:dstrike w:val="0"/>
            <w:noProof w:val="0"/>
            <w:color w:val="467886"/>
            <w:sz w:val="24"/>
            <w:szCs w:val="24"/>
            <w:u w:val="single"/>
            <w:lang w:val="en-GB"/>
          </w:rPr>
          <w:t>https://doi.org/10.1155/2024/7513374</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181362CA" wp14:textId="7D1CB3BB">
      <w:pPr>
        <w:spacing w:before="0" w:beforeAutospacing="off" w:after="160" w:afterAutospacing="off" w:line="276" w:lineRule="auto"/>
      </w:pPr>
      <w:r w:rsidRPr="26CFB868" w:rsidR="567DF9AE">
        <w:rPr>
          <w:rFonts w:ascii="Aptos" w:hAnsi="Aptos" w:eastAsia="Aptos" w:cs="Aptos"/>
          <w:noProof w:val="0"/>
          <w:sz w:val="24"/>
          <w:szCs w:val="24"/>
          <w:lang w:val="en-US"/>
        </w:rPr>
        <w:t xml:space="preserve">Rimmer, A. (2020) “NHS England workforce plan fails to tackle staff shortages, say health leaders,”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370, p. m3057. Available at: </w:t>
      </w:r>
      <w:hyperlink r:id="R1983969d335848a0">
        <w:r w:rsidRPr="26CFB868" w:rsidR="567DF9AE">
          <w:rPr>
            <w:rStyle w:val="Hyperlink"/>
            <w:rFonts w:ascii="Aptos" w:hAnsi="Aptos" w:eastAsia="Aptos" w:cs="Aptos"/>
            <w:strike w:val="0"/>
            <w:dstrike w:val="0"/>
            <w:noProof w:val="0"/>
            <w:color w:val="467886"/>
            <w:sz w:val="24"/>
            <w:szCs w:val="24"/>
            <w:u w:val="single"/>
            <w:lang w:val="en-US"/>
          </w:rPr>
          <w:t>https://doi.org/10.1136/bmj.m3057</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353503DF" wp14:textId="61F7A364">
      <w:pPr>
        <w:spacing w:before="0" w:beforeAutospacing="off" w:after="160" w:afterAutospacing="off" w:line="276" w:lineRule="auto"/>
      </w:pPr>
      <w:r w:rsidRPr="26CFB868" w:rsidR="567DF9AE">
        <w:rPr>
          <w:rFonts w:ascii="Aptos" w:hAnsi="Aptos" w:eastAsia="Aptos" w:cs="Aptos"/>
          <w:noProof w:val="0"/>
          <w:sz w:val="24"/>
          <w:szCs w:val="24"/>
          <w:lang w:val="en-GB"/>
        </w:rPr>
        <w:t xml:space="preserve">Ryan, C. </w:t>
      </w:r>
      <w:r w:rsidRPr="26CFB868" w:rsidR="567DF9AE">
        <w:rPr>
          <w:rFonts w:ascii="Aptos" w:hAnsi="Aptos" w:eastAsia="Aptos" w:cs="Aptos"/>
          <w:i w:val="1"/>
          <w:iCs w:val="1"/>
          <w:noProof w:val="0"/>
          <w:sz w:val="24"/>
          <w:szCs w:val="24"/>
          <w:lang w:val="en-GB"/>
        </w:rPr>
        <w:t>et al.</w:t>
      </w:r>
      <w:r w:rsidRPr="26CFB868" w:rsidR="567DF9AE">
        <w:rPr>
          <w:rFonts w:ascii="Aptos" w:hAnsi="Aptos" w:eastAsia="Aptos" w:cs="Aptos"/>
          <w:noProof w:val="0"/>
          <w:sz w:val="24"/>
          <w:szCs w:val="24"/>
          <w:lang w:val="en-GB"/>
        </w:rPr>
        <w:t xml:space="preserve"> (2019) “Ageing in the nursing workforce – a global challenge in an Irish context,” </w:t>
      </w:r>
      <w:r w:rsidRPr="26CFB868" w:rsidR="567DF9AE">
        <w:rPr>
          <w:rFonts w:ascii="Aptos" w:hAnsi="Aptos" w:eastAsia="Aptos" w:cs="Aptos"/>
          <w:i w:val="1"/>
          <w:iCs w:val="1"/>
          <w:noProof w:val="0"/>
          <w:sz w:val="24"/>
          <w:szCs w:val="24"/>
          <w:lang w:val="en-GB"/>
        </w:rPr>
        <w:t>International nursing review</w:t>
      </w:r>
      <w:r w:rsidRPr="26CFB868" w:rsidR="567DF9AE">
        <w:rPr>
          <w:rFonts w:ascii="Aptos" w:hAnsi="Aptos" w:eastAsia="Aptos" w:cs="Aptos"/>
          <w:noProof w:val="0"/>
          <w:sz w:val="24"/>
          <w:szCs w:val="24"/>
          <w:lang w:val="en-GB"/>
        </w:rPr>
        <w:t xml:space="preserve">, 66(2), pp. 157–164. Available at: </w:t>
      </w:r>
      <w:hyperlink r:id="R93b2bd77709d40c0">
        <w:r w:rsidRPr="26CFB868" w:rsidR="567DF9AE">
          <w:rPr>
            <w:rStyle w:val="Hyperlink"/>
            <w:rFonts w:ascii="Aptos" w:hAnsi="Aptos" w:eastAsia="Aptos" w:cs="Aptos"/>
            <w:strike w:val="0"/>
            <w:dstrike w:val="0"/>
            <w:noProof w:val="0"/>
            <w:color w:val="467886"/>
            <w:sz w:val="24"/>
            <w:szCs w:val="24"/>
            <w:u w:val="single"/>
            <w:lang w:val="en-GB"/>
          </w:rPr>
          <w:t>https://doi.org/10.1111/inr.12482</w:t>
        </w:r>
      </w:hyperlink>
      <w:r w:rsidRPr="26CFB868" w:rsidR="567DF9AE">
        <w:rPr>
          <w:rFonts w:ascii="Aptos" w:hAnsi="Aptos" w:eastAsia="Aptos" w:cs="Aptos"/>
          <w:noProof w:val="0"/>
          <w:sz w:val="24"/>
          <w:szCs w:val="24"/>
          <w:lang w:val="en-GB"/>
        </w:rPr>
        <w:t>.</w:t>
      </w:r>
      <w:r w:rsidRPr="26CFB868" w:rsidR="567DF9AE">
        <w:rPr>
          <w:rFonts w:ascii="Aptos" w:hAnsi="Aptos" w:eastAsia="Aptos" w:cs="Aptos"/>
          <w:noProof w:val="0"/>
          <w:sz w:val="24"/>
          <w:szCs w:val="24"/>
          <w:lang w:val="en-US"/>
        </w:rPr>
        <w:t xml:space="preserve"> </w:t>
      </w:r>
    </w:p>
    <w:p xmlns:wp14="http://schemas.microsoft.com/office/word/2010/wordml" w:rsidP="26CFB868" wp14:paraId="34E0E36C" wp14:textId="77EB72FF">
      <w:pPr>
        <w:spacing w:before="0" w:beforeAutospacing="off" w:after="160" w:afterAutospacing="off" w:line="276" w:lineRule="auto"/>
      </w:pPr>
      <w:r w:rsidRPr="26CFB868" w:rsidR="567DF9AE">
        <w:rPr>
          <w:rFonts w:ascii="Aptos" w:hAnsi="Aptos" w:eastAsia="Aptos" w:cs="Aptos"/>
          <w:noProof w:val="0"/>
          <w:sz w:val="24"/>
          <w:szCs w:val="24"/>
          <w:lang w:val="en-US"/>
        </w:rPr>
        <w:t xml:space="preserve">Scott, G. (2017) “Focus of NHS workforce planning must be keeping the staff we have,” </w:t>
      </w:r>
      <w:r w:rsidRPr="26CFB868" w:rsidR="567DF9AE">
        <w:rPr>
          <w:rFonts w:ascii="Aptos" w:hAnsi="Aptos" w:eastAsia="Aptos" w:cs="Aptos"/>
          <w:i w:val="1"/>
          <w:iCs w:val="1"/>
          <w:noProof w:val="0"/>
          <w:sz w:val="24"/>
          <w:szCs w:val="24"/>
          <w:lang w:val="en-US"/>
        </w:rPr>
        <w:t>Nursing standard</w:t>
      </w:r>
      <w:r w:rsidRPr="26CFB868" w:rsidR="567DF9AE">
        <w:rPr>
          <w:rFonts w:ascii="Aptos" w:hAnsi="Aptos" w:eastAsia="Aptos" w:cs="Aptos"/>
          <w:noProof w:val="0"/>
          <w:sz w:val="24"/>
          <w:szCs w:val="24"/>
          <w:lang w:val="en-US"/>
        </w:rPr>
        <w:t xml:space="preserve">. Edited by G. Scott, 32(10), pp. 3–3. Available at: </w:t>
      </w:r>
      <w:hyperlink r:id="R4bb4f5a557744db6">
        <w:r w:rsidRPr="26CFB868" w:rsidR="567DF9AE">
          <w:rPr>
            <w:rStyle w:val="Hyperlink"/>
            <w:rFonts w:ascii="Aptos" w:hAnsi="Aptos" w:eastAsia="Aptos" w:cs="Aptos"/>
            <w:strike w:val="0"/>
            <w:dstrike w:val="0"/>
            <w:noProof w:val="0"/>
            <w:color w:val="467886"/>
            <w:sz w:val="24"/>
            <w:szCs w:val="24"/>
            <w:u w:val="single"/>
            <w:lang w:val="en-US"/>
          </w:rPr>
          <w:t>https://doi.org/10.7748/ns.32.10.3.s1</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47E6705A" wp14:textId="7A98B250">
      <w:pPr>
        <w:spacing w:before="0" w:beforeAutospacing="off" w:after="160" w:afterAutospacing="off" w:line="276" w:lineRule="auto"/>
      </w:pPr>
      <w:r w:rsidRPr="26CFB868" w:rsidR="567DF9AE">
        <w:rPr>
          <w:rFonts w:ascii="Aptos" w:hAnsi="Aptos" w:eastAsia="Aptos" w:cs="Aptos"/>
          <w:noProof w:val="0"/>
          <w:sz w:val="24"/>
          <w:szCs w:val="24"/>
          <w:lang w:val="en-GB"/>
        </w:rPr>
        <w:t>Shemtob, L.</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et al.</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(2023) “What needs to be done to address staffing shortages in health and social</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care?,”</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British journal of general practice</w:t>
      </w:r>
      <w:r w:rsidRPr="26CFB868" w:rsidR="567DF9AE">
        <w:rPr>
          <w:rFonts w:ascii="Aptos" w:hAnsi="Aptos" w:eastAsia="Aptos" w:cs="Aptos"/>
          <w:noProof w:val="0"/>
          <w:sz w:val="24"/>
          <w:szCs w:val="24"/>
          <w:lang w:val="en-GB"/>
        </w:rPr>
        <w:t>, 73(728), pp. 102–103. Available at:</w:t>
      </w:r>
      <w:r w:rsidRPr="26CFB868" w:rsidR="567DF9AE">
        <w:rPr>
          <w:rFonts w:ascii="Arial" w:hAnsi="Arial" w:eastAsia="Arial" w:cs="Arial"/>
          <w:noProof w:val="0"/>
          <w:sz w:val="24"/>
          <w:szCs w:val="24"/>
          <w:lang w:val="en-GB"/>
        </w:rPr>
        <w:t> </w:t>
      </w:r>
      <w:hyperlink r:id="Ra296045cc1364287">
        <w:r w:rsidRPr="26CFB868" w:rsidR="567DF9AE">
          <w:rPr>
            <w:rStyle w:val="Hyperlink"/>
            <w:rFonts w:ascii="Aptos" w:hAnsi="Aptos" w:eastAsia="Aptos" w:cs="Aptos"/>
            <w:strike w:val="0"/>
            <w:dstrike w:val="0"/>
            <w:noProof w:val="0"/>
            <w:color w:val="467886"/>
            <w:sz w:val="24"/>
            <w:szCs w:val="24"/>
            <w:u w:val="single"/>
            <w:lang w:val="en-GB"/>
          </w:rPr>
          <w:t>https://doi.org/10.3399/bjgp23X732045</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7DB77D64" wp14:textId="4613118E">
      <w:pPr>
        <w:spacing w:before="0" w:beforeAutospacing="off" w:after="160" w:afterAutospacing="off" w:line="276" w:lineRule="auto"/>
      </w:pPr>
      <w:r w:rsidRPr="26CFB868" w:rsidR="567DF9AE">
        <w:rPr>
          <w:rFonts w:ascii="Aptos" w:hAnsi="Aptos" w:eastAsia="Aptos" w:cs="Aptos"/>
          <w:noProof w:val="0"/>
          <w:sz w:val="24"/>
          <w:szCs w:val="24"/>
          <w:lang w:val="en-US"/>
        </w:rPr>
        <w:t xml:space="preserve">Stone, R.I. and Bryant, N. (2012) “The Impact of Health Care Reform on the Workforce Caring for Older Adults,” </w:t>
      </w:r>
      <w:r w:rsidRPr="26CFB868" w:rsidR="567DF9AE">
        <w:rPr>
          <w:rFonts w:ascii="Aptos" w:hAnsi="Aptos" w:eastAsia="Aptos" w:cs="Aptos"/>
          <w:i w:val="1"/>
          <w:iCs w:val="1"/>
          <w:noProof w:val="0"/>
          <w:sz w:val="24"/>
          <w:szCs w:val="24"/>
          <w:lang w:val="en-US"/>
        </w:rPr>
        <w:t>Journal of aging &amp; social policy</w:t>
      </w:r>
      <w:r w:rsidRPr="26CFB868" w:rsidR="567DF9AE">
        <w:rPr>
          <w:rFonts w:ascii="Aptos" w:hAnsi="Aptos" w:eastAsia="Aptos" w:cs="Aptos"/>
          <w:noProof w:val="0"/>
          <w:sz w:val="24"/>
          <w:szCs w:val="24"/>
          <w:lang w:val="en-US"/>
        </w:rPr>
        <w:t xml:space="preserve">, 24(2), pp. 188–205. Available at: </w:t>
      </w:r>
      <w:hyperlink r:id="R9c7f2302c35a4528">
        <w:r w:rsidRPr="26CFB868" w:rsidR="567DF9AE">
          <w:rPr>
            <w:rStyle w:val="Hyperlink"/>
            <w:rFonts w:ascii="Aptos" w:hAnsi="Aptos" w:eastAsia="Aptos" w:cs="Aptos"/>
            <w:strike w:val="0"/>
            <w:dstrike w:val="0"/>
            <w:noProof w:val="0"/>
            <w:color w:val="467886"/>
            <w:sz w:val="24"/>
            <w:szCs w:val="24"/>
            <w:u w:val="single"/>
            <w:lang w:val="en-US"/>
          </w:rPr>
          <w:t>https://doi.org/10.1080/08959420.2012.659144</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7D8314AB" wp14:textId="17D4DF20">
      <w:pPr>
        <w:spacing w:before="0" w:beforeAutospacing="off" w:after="160" w:afterAutospacing="off" w:line="276" w:lineRule="auto"/>
      </w:pPr>
      <w:r w:rsidRPr="26CFB868" w:rsidR="567DF9AE">
        <w:rPr>
          <w:rFonts w:ascii="Aptos" w:hAnsi="Aptos" w:eastAsia="Aptos" w:cs="Aptos"/>
          <w:noProof w:val="0"/>
          <w:sz w:val="24"/>
          <w:szCs w:val="24"/>
          <w:lang w:val="en-US"/>
        </w:rPr>
        <w:t xml:space="preserve">Stubbings, L. and Scott, J.M. (2004) “NHS workforce issues: implications for future practice,” </w:t>
      </w:r>
      <w:r w:rsidRPr="26CFB868" w:rsidR="567DF9AE">
        <w:rPr>
          <w:rFonts w:ascii="Aptos" w:hAnsi="Aptos" w:eastAsia="Aptos" w:cs="Aptos"/>
          <w:i w:val="1"/>
          <w:iCs w:val="1"/>
          <w:noProof w:val="0"/>
          <w:sz w:val="24"/>
          <w:szCs w:val="24"/>
          <w:lang w:val="en-US"/>
        </w:rPr>
        <w:t>Journal of health organization and management</w:t>
      </w:r>
      <w:r w:rsidRPr="26CFB868" w:rsidR="567DF9AE">
        <w:rPr>
          <w:rFonts w:ascii="Aptos" w:hAnsi="Aptos" w:eastAsia="Aptos" w:cs="Aptos"/>
          <w:noProof w:val="0"/>
          <w:sz w:val="24"/>
          <w:szCs w:val="24"/>
          <w:lang w:val="en-US"/>
        </w:rPr>
        <w:t xml:space="preserve">, 18(3), pp. 179–194. Available at: </w:t>
      </w:r>
      <w:hyperlink r:id="Rf47da157adcc4814">
        <w:r w:rsidRPr="26CFB868" w:rsidR="567DF9AE">
          <w:rPr>
            <w:rStyle w:val="Hyperlink"/>
            <w:rFonts w:ascii="Aptos" w:hAnsi="Aptos" w:eastAsia="Aptos" w:cs="Aptos"/>
            <w:strike w:val="0"/>
            <w:dstrike w:val="0"/>
            <w:noProof w:val="0"/>
            <w:color w:val="467886"/>
            <w:sz w:val="24"/>
            <w:szCs w:val="24"/>
            <w:u w:val="single"/>
            <w:lang w:val="en-US"/>
          </w:rPr>
          <w:t>https://doi.org/10.1108/14777260410548428</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5D2F7CFC" wp14:textId="624F3C38">
      <w:pPr>
        <w:spacing w:before="0" w:beforeAutospacing="off" w:after="160" w:afterAutospacing="off" w:line="276" w:lineRule="auto"/>
      </w:pPr>
      <w:r w:rsidRPr="26CFB868" w:rsidR="567DF9AE">
        <w:rPr>
          <w:rFonts w:ascii="Aptos" w:hAnsi="Aptos" w:eastAsia="Aptos" w:cs="Aptos"/>
          <w:noProof w:val="0"/>
          <w:sz w:val="24"/>
          <w:szCs w:val="24"/>
          <w:lang w:val="en-US"/>
        </w:rPr>
        <w:t xml:space="preserve">Taunt, R. (2014) “The NHS faces the biggest funding challenge in its history,” </w:t>
      </w:r>
      <w:r w:rsidRPr="26CFB868" w:rsidR="567DF9AE">
        <w:rPr>
          <w:rFonts w:ascii="Aptos" w:hAnsi="Aptos" w:eastAsia="Aptos" w:cs="Aptos"/>
          <w:i w:val="1"/>
          <w:iCs w:val="1"/>
          <w:noProof w:val="0"/>
          <w:sz w:val="24"/>
          <w:szCs w:val="24"/>
          <w:lang w:val="en-US"/>
        </w:rPr>
        <w:t>HSJ.co.uk</w:t>
      </w:r>
      <w:r w:rsidRPr="26CFB868" w:rsidR="567DF9AE">
        <w:rPr>
          <w:rFonts w:ascii="Aptos" w:hAnsi="Aptos" w:eastAsia="Aptos" w:cs="Aptos"/>
          <w:noProof w:val="0"/>
          <w:sz w:val="24"/>
          <w:szCs w:val="24"/>
          <w:lang w:val="en-US"/>
        </w:rPr>
        <w:t xml:space="preserve"> [Preprint]. </w:t>
      </w:r>
    </w:p>
    <w:p xmlns:wp14="http://schemas.microsoft.com/office/word/2010/wordml" w:rsidP="26CFB868" wp14:paraId="5E34D687" wp14:textId="1552ECCF">
      <w:pPr>
        <w:spacing w:before="0" w:beforeAutospacing="off" w:after="160" w:afterAutospacing="off" w:line="276" w:lineRule="auto"/>
      </w:pPr>
      <w:r w:rsidRPr="26CFB868" w:rsidR="567DF9AE">
        <w:rPr>
          <w:rFonts w:ascii="Aptos" w:hAnsi="Aptos" w:eastAsia="Aptos" w:cs="Aptos"/>
          <w:noProof w:val="0"/>
          <w:sz w:val="24"/>
          <w:szCs w:val="24"/>
          <w:lang w:val="en-GB"/>
        </w:rPr>
        <w:t xml:space="preserve">Taylor, C. </w:t>
      </w:r>
      <w:r w:rsidRPr="26CFB868" w:rsidR="567DF9AE">
        <w:rPr>
          <w:rFonts w:ascii="Aptos" w:hAnsi="Aptos" w:eastAsia="Aptos" w:cs="Aptos"/>
          <w:i w:val="1"/>
          <w:iCs w:val="1"/>
          <w:noProof w:val="0"/>
          <w:sz w:val="24"/>
          <w:szCs w:val="24"/>
          <w:lang w:val="en-GB"/>
        </w:rPr>
        <w:t>et al.</w:t>
      </w:r>
      <w:r w:rsidRPr="26CFB868" w:rsidR="567DF9AE">
        <w:rPr>
          <w:rFonts w:ascii="Aptos" w:hAnsi="Aptos" w:eastAsia="Aptos" w:cs="Aptos"/>
          <w:noProof w:val="0"/>
          <w:sz w:val="24"/>
          <w:szCs w:val="24"/>
          <w:lang w:val="en-GB"/>
        </w:rPr>
        <w:t xml:space="preserve"> (2022) “‘The WOW factors’: comparing workforce organization and well-being for doctors, nurses, midwives and paramedics in England,” </w:t>
      </w:r>
      <w:r w:rsidRPr="26CFB868" w:rsidR="567DF9AE">
        <w:rPr>
          <w:rFonts w:ascii="Aptos" w:hAnsi="Aptos" w:eastAsia="Aptos" w:cs="Aptos"/>
          <w:i w:val="1"/>
          <w:iCs w:val="1"/>
          <w:noProof w:val="0"/>
          <w:sz w:val="24"/>
          <w:szCs w:val="24"/>
          <w:lang w:val="en-GB"/>
        </w:rPr>
        <w:t>British medical bulletin</w:t>
      </w:r>
      <w:r w:rsidRPr="26CFB868" w:rsidR="567DF9AE">
        <w:rPr>
          <w:rFonts w:ascii="Aptos" w:hAnsi="Aptos" w:eastAsia="Aptos" w:cs="Aptos"/>
          <w:noProof w:val="0"/>
          <w:sz w:val="24"/>
          <w:szCs w:val="24"/>
          <w:lang w:val="en-GB"/>
        </w:rPr>
        <w:t xml:space="preserve">, 141(1), pp. 60–79. Available at: </w:t>
      </w:r>
      <w:hyperlink r:id="R3e6a98e6eb52498b">
        <w:r w:rsidRPr="26CFB868" w:rsidR="567DF9AE">
          <w:rPr>
            <w:rStyle w:val="Hyperlink"/>
            <w:rFonts w:ascii="Aptos" w:hAnsi="Aptos" w:eastAsia="Aptos" w:cs="Aptos"/>
            <w:strike w:val="0"/>
            <w:dstrike w:val="0"/>
            <w:noProof w:val="0"/>
            <w:color w:val="467886"/>
            <w:sz w:val="24"/>
            <w:szCs w:val="24"/>
            <w:u w:val="single"/>
            <w:lang w:val="en-GB"/>
          </w:rPr>
          <w:t>https://doi.org/10.1093/bmb/ldac003</w:t>
        </w:r>
      </w:hyperlink>
      <w:r w:rsidRPr="26CFB868" w:rsidR="567DF9AE">
        <w:rPr>
          <w:rFonts w:ascii="Aptos" w:hAnsi="Aptos" w:eastAsia="Aptos" w:cs="Aptos"/>
          <w:noProof w:val="0"/>
          <w:sz w:val="24"/>
          <w:szCs w:val="24"/>
          <w:lang w:val="en-GB"/>
        </w:rPr>
        <w:t>.</w:t>
      </w:r>
      <w:r w:rsidRPr="26CFB868" w:rsidR="567DF9AE">
        <w:rPr>
          <w:rFonts w:ascii="Aptos" w:hAnsi="Aptos" w:eastAsia="Aptos" w:cs="Aptos"/>
          <w:noProof w:val="0"/>
          <w:sz w:val="24"/>
          <w:szCs w:val="24"/>
          <w:lang w:val="en-US"/>
        </w:rPr>
        <w:t xml:space="preserve"> </w:t>
      </w:r>
    </w:p>
    <w:p xmlns:wp14="http://schemas.microsoft.com/office/word/2010/wordml" w:rsidP="26CFB868" wp14:paraId="6D142A17" wp14:textId="024B83A1">
      <w:pPr>
        <w:spacing w:before="0" w:beforeAutospacing="off" w:after="160" w:afterAutospacing="off" w:line="276" w:lineRule="auto"/>
      </w:pPr>
      <w:r w:rsidRPr="26CFB868" w:rsidR="567DF9AE">
        <w:rPr>
          <w:rFonts w:ascii="Aptos" w:hAnsi="Aptos" w:eastAsia="Aptos" w:cs="Aptos"/>
          <w:noProof w:val="0"/>
          <w:sz w:val="24"/>
          <w:szCs w:val="24"/>
          <w:lang w:val="en-US"/>
        </w:rPr>
        <w:t xml:space="preserve">Torjesen, I. (2021) “‘Exhausted and depleted’ staff pose risk to quality of NHS and social care, warns CQC,”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375, p. n2591. Available at: </w:t>
      </w:r>
      <w:hyperlink r:id="Rb0822eb184be472f">
        <w:r w:rsidRPr="26CFB868" w:rsidR="567DF9AE">
          <w:rPr>
            <w:rStyle w:val="Hyperlink"/>
            <w:rFonts w:ascii="Aptos" w:hAnsi="Aptos" w:eastAsia="Aptos" w:cs="Aptos"/>
            <w:strike w:val="0"/>
            <w:dstrike w:val="0"/>
            <w:noProof w:val="0"/>
            <w:color w:val="467886"/>
            <w:sz w:val="24"/>
            <w:szCs w:val="24"/>
            <w:u w:val="single"/>
            <w:lang w:val="en-US"/>
          </w:rPr>
          <w:t>https://doi.org/10.1136/bmj.n2591</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39C4A448" wp14:textId="3805E739">
      <w:pPr>
        <w:spacing w:before="0" w:beforeAutospacing="off" w:after="160" w:afterAutospacing="off" w:line="276" w:lineRule="auto"/>
      </w:pPr>
      <w:r w:rsidRPr="26CFB868" w:rsidR="567DF9AE">
        <w:rPr>
          <w:rFonts w:ascii="Aptos" w:hAnsi="Aptos" w:eastAsia="Aptos" w:cs="Aptos"/>
          <w:noProof w:val="0"/>
          <w:sz w:val="24"/>
          <w:szCs w:val="24"/>
          <w:lang w:val="en-US"/>
        </w:rPr>
        <w:t xml:space="preserve">van Schalkwyk, M.C.I. </w:t>
      </w:r>
      <w:r w:rsidRPr="26CFB868" w:rsidR="567DF9AE">
        <w:rPr>
          <w:rFonts w:ascii="Aptos" w:hAnsi="Aptos" w:eastAsia="Aptos" w:cs="Aptos"/>
          <w:i w:val="1"/>
          <w:iCs w:val="1"/>
          <w:noProof w:val="0"/>
          <w:sz w:val="24"/>
          <w:szCs w:val="24"/>
          <w:lang w:val="en-US"/>
        </w:rPr>
        <w:t>et al.</w:t>
      </w:r>
      <w:r w:rsidRPr="26CFB868" w:rsidR="567DF9AE">
        <w:rPr>
          <w:rFonts w:ascii="Aptos" w:hAnsi="Aptos" w:eastAsia="Aptos" w:cs="Aptos"/>
          <w:noProof w:val="0"/>
          <w:sz w:val="24"/>
          <w:szCs w:val="24"/>
          <w:lang w:val="en-US"/>
        </w:rPr>
        <w:t xml:space="preserve"> (2020) “How will Brexit affect the healthcare workforce?,” </w:t>
      </w:r>
      <w:r w:rsidRPr="26CFB868" w:rsidR="567DF9AE">
        <w:rPr>
          <w:rFonts w:ascii="Aptos" w:hAnsi="Aptos" w:eastAsia="Aptos" w:cs="Aptos"/>
          <w:i w:val="1"/>
          <w:iCs w:val="1"/>
          <w:noProof w:val="0"/>
          <w:sz w:val="24"/>
          <w:szCs w:val="24"/>
          <w:lang w:val="en-US"/>
        </w:rPr>
        <w:t>BMJ (Online)</w:t>
      </w:r>
      <w:r w:rsidRPr="26CFB868" w:rsidR="567DF9AE">
        <w:rPr>
          <w:rFonts w:ascii="Aptos" w:hAnsi="Aptos" w:eastAsia="Aptos" w:cs="Aptos"/>
          <w:noProof w:val="0"/>
          <w:sz w:val="24"/>
          <w:szCs w:val="24"/>
          <w:lang w:val="en-US"/>
        </w:rPr>
        <w:t xml:space="preserve">, 371, p. m4439. Available at: </w:t>
      </w:r>
      <w:hyperlink r:id="R1c9f122ae0274862">
        <w:r w:rsidRPr="26CFB868" w:rsidR="567DF9AE">
          <w:rPr>
            <w:rStyle w:val="Hyperlink"/>
            <w:rFonts w:ascii="Aptos" w:hAnsi="Aptos" w:eastAsia="Aptos" w:cs="Aptos"/>
            <w:strike w:val="0"/>
            <w:dstrike w:val="0"/>
            <w:noProof w:val="0"/>
            <w:color w:val="467886"/>
            <w:sz w:val="24"/>
            <w:szCs w:val="24"/>
            <w:u w:val="single"/>
            <w:lang w:val="en-US"/>
          </w:rPr>
          <w:t>https://doi.org/10.1136/bmj.m4439</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6817B544" wp14:textId="09545637">
      <w:pPr>
        <w:spacing w:before="0" w:beforeAutospacing="off" w:after="160" w:afterAutospacing="off" w:line="276" w:lineRule="auto"/>
      </w:pPr>
      <w:r w:rsidRPr="26CFB868" w:rsidR="567DF9AE">
        <w:rPr>
          <w:rFonts w:ascii="Aptos" w:hAnsi="Aptos" w:eastAsia="Aptos" w:cs="Aptos"/>
          <w:noProof w:val="0"/>
          <w:sz w:val="24"/>
          <w:szCs w:val="24"/>
          <w:lang w:val="en-GB"/>
        </w:rPr>
        <w:t>Weyman, A.K., Roy,</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D.</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and Nolan, P. (2020) ‘One-way</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pendulum?:</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Staff retention in the NHS: determining the relative salience of recognised drivers of early exit,’</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International journal of workplace health management</w:t>
      </w:r>
      <w:r w:rsidRPr="26CFB868" w:rsidR="567DF9AE">
        <w:rPr>
          <w:rFonts w:ascii="Aptos" w:hAnsi="Aptos" w:eastAsia="Aptos" w:cs="Aptos"/>
          <w:noProof w:val="0"/>
          <w:sz w:val="24"/>
          <w:szCs w:val="24"/>
          <w:lang w:val="en-GB"/>
        </w:rPr>
        <w:t>, 13(1), pp. 45–60. Available at:</w:t>
      </w:r>
      <w:r w:rsidRPr="26CFB868" w:rsidR="567DF9AE">
        <w:rPr>
          <w:rFonts w:ascii="Arial" w:hAnsi="Arial" w:eastAsia="Arial" w:cs="Arial"/>
          <w:noProof w:val="0"/>
          <w:sz w:val="24"/>
          <w:szCs w:val="24"/>
          <w:lang w:val="en-GB"/>
        </w:rPr>
        <w:t> </w:t>
      </w:r>
      <w:hyperlink r:id="R5a995f6528444f09">
        <w:r w:rsidRPr="26CFB868" w:rsidR="567DF9AE">
          <w:rPr>
            <w:rStyle w:val="Hyperlink"/>
            <w:rFonts w:ascii="Aptos" w:hAnsi="Aptos" w:eastAsia="Aptos" w:cs="Aptos"/>
            <w:strike w:val="0"/>
            <w:dstrike w:val="0"/>
            <w:noProof w:val="0"/>
            <w:color w:val="467886"/>
            <w:sz w:val="24"/>
            <w:szCs w:val="24"/>
            <w:u w:val="single"/>
            <w:lang w:val="en-GB"/>
          </w:rPr>
          <w:t>https://doi.org/10.1108/IJWHM-06-2019-0084</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r w:rsidRPr="26CFB868" w:rsidR="567DF9AE">
        <w:rPr>
          <w:rFonts w:ascii="Aptos" w:hAnsi="Aptos" w:eastAsia="Aptos" w:cs="Aptos"/>
          <w:noProof w:val="0"/>
          <w:sz w:val="24"/>
          <w:szCs w:val="24"/>
          <w:lang w:val="en-US"/>
        </w:rPr>
        <w:t xml:space="preserve"> </w:t>
      </w:r>
    </w:p>
    <w:p xmlns:wp14="http://schemas.microsoft.com/office/word/2010/wordml" w:rsidP="26CFB868" wp14:paraId="4A082CC6" wp14:textId="3EEED6C2">
      <w:pPr>
        <w:spacing w:before="0" w:beforeAutospacing="off" w:after="160" w:afterAutospacing="off" w:line="276" w:lineRule="auto"/>
      </w:pPr>
      <w:r w:rsidRPr="26CFB868" w:rsidR="567DF9AE">
        <w:rPr>
          <w:rFonts w:ascii="Aptos" w:hAnsi="Aptos" w:eastAsia="Aptos" w:cs="Aptos"/>
          <w:noProof w:val="0"/>
          <w:sz w:val="24"/>
          <w:szCs w:val="24"/>
          <w:lang w:val="en-US"/>
        </w:rPr>
        <w:t xml:space="preserve">Weyman, A.K., Roy, D. and Nolan, P. (2020) “One-way pendulum?: Staff retention in the NHS: determining the relative salience of recognised drivers of early exit,” </w:t>
      </w:r>
      <w:r w:rsidRPr="26CFB868" w:rsidR="567DF9AE">
        <w:rPr>
          <w:rFonts w:ascii="Aptos" w:hAnsi="Aptos" w:eastAsia="Aptos" w:cs="Aptos"/>
          <w:i w:val="1"/>
          <w:iCs w:val="1"/>
          <w:noProof w:val="0"/>
          <w:sz w:val="24"/>
          <w:szCs w:val="24"/>
          <w:lang w:val="en-US"/>
        </w:rPr>
        <w:t>International journal of workplace health management</w:t>
      </w:r>
      <w:r w:rsidRPr="26CFB868" w:rsidR="567DF9AE">
        <w:rPr>
          <w:rFonts w:ascii="Aptos" w:hAnsi="Aptos" w:eastAsia="Aptos" w:cs="Aptos"/>
          <w:noProof w:val="0"/>
          <w:sz w:val="24"/>
          <w:szCs w:val="24"/>
          <w:lang w:val="en-US"/>
        </w:rPr>
        <w:t xml:space="preserve">, 13(1), pp. 45–60. Available at: </w:t>
      </w:r>
      <w:hyperlink r:id="R25e31b1fa323412b">
        <w:r w:rsidRPr="26CFB868" w:rsidR="567DF9AE">
          <w:rPr>
            <w:rStyle w:val="Hyperlink"/>
            <w:rFonts w:ascii="Aptos" w:hAnsi="Aptos" w:eastAsia="Aptos" w:cs="Aptos"/>
            <w:strike w:val="0"/>
            <w:dstrike w:val="0"/>
            <w:noProof w:val="0"/>
            <w:color w:val="467886"/>
            <w:sz w:val="24"/>
            <w:szCs w:val="24"/>
            <w:u w:val="single"/>
            <w:lang w:val="en-US"/>
          </w:rPr>
          <w:t>https://doi.org/10.1108/IJWHM-06-2019-0084</w:t>
        </w:r>
      </w:hyperlink>
      <w:r w:rsidRPr="26CFB868" w:rsidR="567DF9AE">
        <w:rPr>
          <w:rFonts w:ascii="Aptos" w:hAnsi="Aptos" w:eastAsia="Aptos" w:cs="Aptos"/>
          <w:noProof w:val="0"/>
          <w:sz w:val="24"/>
          <w:szCs w:val="24"/>
          <w:lang w:val="en-US"/>
        </w:rPr>
        <w:t xml:space="preserve">. </w:t>
      </w:r>
    </w:p>
    <w:p xmlns:wp14="http://schemas.microsoft.com/office/word/2010/wordml" w:rsidP="26CFB868" wp14:paraId="4F2C6221" wp14:textId="21EF6367">
      <w:pPr>
        <w:spacing w:before="0" w:beforeAutospacing="off" w:after="160" w:afterAutospacing="off" w:line="276" w:lineRule="auto"/>
        <w:rPr>
          <w:rFonts w:ascii="Aptos" w:hAnsi="Aptos" w:eastAsia="Aptos" w:cs="Aptos"/>
          <w:noProof w:val="0"/>
          <w:sz w:val="24"/>
          <w:szCs w:val="24"/>
          <w:lang w:val="en-US"/>
        </w:rPr>
      </w:pPr>
      <w:r w:rsidRPr="26CFB868" w:rsidR="567DF9AE">
        <w:rPr>
          <w:rFonts w:ascii="Aptos" w:hAnsi="Aptos" w:eastAsia="Aptos" w:cs="Aptos"/>
          <w:noProof w:val="0"/>
          <w:sz w:val="24"/>
          <w:szCs w:val="24"/>
          <w:lang w:val="en-GB"/>
        </w:rPr>
        <w:t>Yang, B.K., Carter,</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M.</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and Nelson, W. (2021) “Trends in COVID</w:t>
      </w:r>
      <w:r w:rsidRPr="26CFB868" w:rsidR="567DF9AE">
        <w:rPr>
          <w:rFonts w:ascii="Cambria Math" w:hAnsi="Cambria Math" w:eastAsia="Cambria Math" w:cs="Cambria Math"/>
          <w:noProof w:val="0"/>
          <w:sz w:val="24"/>
          <w:szCs w:val="24"/>
          <w:lang w:val="en-GB"/>
        </w:rPr>
        <w:t>‐</w:t>
      </w:r>
      <w:r w:rsidRPr="26CFB868" w:rsidR="567DF9AE">
        <w:rPr>
          <w:rFonts w:ascii="Aptos" w:hAnsi="Aptos" w:eastAsia="Aptos" w:cs="Aptos"/>
          <w:noProof w:val="0"/>
          <w:sz w:val="24"/>
          <w:szCs w:val="24"/>
          <w:lang w:val="en-GB"/>
        </w:rPr>
        <w:t>19 Cases, Related Deaths, and Staffing Shortage in Nursing Homes</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By</w:t>
      </w:r>
      <w:r w:rsidRPr="26CFB868" w:rsidR="567DF9AE">
        <w:rPr>
          <w:rFonts w:ascii="Arial" w:hAnsi="Arial" w:eastAsia="Arial" w:cs="Arial"/>
          <w:noProof w:val="0"/>
          <w:sz w:val="24"/>
          <w:szCs w:val="24"/>
          <w:lang w:val="en-GB"/>
        </w:rPr>
        <w:t> </w:t>
      </w:r>
      <w:r w:rsidRPr="26CFB868" w:rsidR="567DF9AE">
        <w:rPr>
          <w:rFonts w:ascii="Aptos" w:hAnsi="Aptos" w:eastAsia="Aptos" w:cs="Aptos"/>
          <w:noProof w:val="0"/>
          <w:sz w:val="24"/>
          <w:szCs w:val="24"/>
          <w:lang w:val="en-GB"/>
        </w:rPr>
        <w:t>Rural and Urban Status,”</w:t>
      </w:r>
      <w:r w:rsidRPr="26CFB868" w:rsidR="567DF9AE">
        <w:rPr>
          <w:rFonts w:ascii="Arial" w:hAnsi="Arial" w:eastAsia="Arial" w:cs="Arial"/>
          <w:noProof w:val="0"/>
          <w:sz w:val="24"/>
          <w:szCs w:val="24"/>
          <w:lang w:val="en-GB"/>
        </w:rPr>
        <w:t> </w:t>
      </w:r>
      <w:r w:rsidRPr="26CFB868" w:rsidR="567DF9AE">
        <w:rPr>
          <w:rFonts w:ascii="Aptos" w:hAnsi="Aptos" w:eastAsia="Aptos" w:cs="Aptos"/>
          <w:i w:val="1"/>
          <w:iCs w:val="1"/>
          <w:noProof w:val="0"/>
          <w:sz w:val="24"/>
          <w:szCs w:val="24"/>
          <w:lang w:val="en-GB"/>
        </w:rPr>
        <w:t>Health services research</w:t>
      </w:r>
      <w:r w:rsidRPr="26CFB868" w:rsidR="567DF9AE">
        <w:rPr>
          <w:rFonts w:ascii="Aptos" w:hAnsi="Aptos" w:eastAsia="Aptos" w:cs="Aptos"/>
          <w:noProof w:val="0"/>
          <w:sz w:val="24"/>
          <w:szCs w:val="24"/>
          <w:lang w:val="en-GB"/>
        </w:rPr>
        <w:t>, 56(S2), pp. 6–6. Available at:</w:t>
      </w:r>
      <w:r w:rsidRPr="26CFB868" w:rsidR="567DF9AE">
        <w:rPr>
          <w:rFonts w:ascii="Arial" w:hAnsi="Arial" w:eastAsia="Arial" w:cs="Arial"/>
          <w:noProof w:val="0"/>
          <w:sz w:val="24"/>
          <w:szCs w:val="24"/>
          <w:lang w:val="en-GB"/>
        </w:rPr>
        <w:t> </w:t>
      </w:r>
      <w:hyperlink r:id="R0846b9af6c1147cd">
        <w:r w:rsidRPr="26CFB868" w:rsidR="567DF9AE">
          <w:rPr>
            <w:rStyle w:val="Hyperlink"/>
            <w:rFonts w:ascii="Aptos" w:hAnsi="Aptos" w:eastAsia="Aptos" w:cs="Aptos"/>
            <w:strike w:val="0"/>
            <w:dstrike w:val="0"/>
            <w:noProof w:val="0"/>
            <w:color w:val="467886"/>
            <w:sz w:val="24"/>
            <w:szCs w:val="24"/>
            <w:u w:val="single"/>
            <w:lang w:val="en-GB"/>
          </w:rPr>
          <w:t>https://doi.org/10.1111/1475-6773.13719</w:t>
        </w:r>
      </w:hyperlink>
      <w:r w:rsidRPr="26CFB868" w:rsidR="567DF9AE">
        <w:rPr>
          <w:rFonts w:ascii="Aptos" w:hAnsi="Aptos" w:eastAsia="Aptos" w:cs="Aptos"/>
          <w:noProof w:val="0"/>
          <w:sz w:val="24"/>
          <w:szCs w:val="24"/>
          <w:lang w:val="en-GB"/>
        </w:rPr>
        <w:t>.</w:t>
      </w:r>
      <w:r w:rsidRPr="26CFB868" w:rsidR="567DF9AE">
        <w:rPr>
          <w:rFonts w:ascii="Arial" w:hAnsi="Arial" w:eastAsia="Arial" w:cs="Arial"/>
          <w:noProof w:val="0"/>
          <w:sz w:val="24"/>
          <w:szCs w:val="24"/>
          <w:lang w:val="en-US"/>
        </w:rPr>
        <w:t> </w:t>
      </w:r>
    </w:p>
    <w:p xmlns:wp14="http://schemas.microsoft.com/office/word/2010/wordml" wp14:paraId="2C078E63" wp14:textId="569C3E9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1230B2"/>
    <w:rsid w:val="01175B33"/>
    <w:rsid w:val="041AFE22"/>
    <w:rsid w:val="047D9451"/>
    <w:rsid w:val="0AEF3CF2"/>
    <w:rsid w:val="0E031544"/>
    <w:rsid w:val="0F2FB3E3"/>
    <w:rsid w:val="12F062E0"/>
    <w:rsid w:val="131AC93E"/>
    <w:rsid w:val="163C5246"/>
    <w:rsid w:val="1752EA8D"/>
    <w:rsid w:val="17A5E2CB"/>
    <w:rsid w:val="17D3B46C"/>
    <w:rsid w:val="1B1FD46D"/>
    <w:rsid w:val="1C1A0CA1"/>
    <w:rsid w:val="1EC93394"/>
    <w:rsid w:val="201CAB4A"/>
    <w:rsid w:val="22ACD756"/>
    <w:rsid w:val="232B5AA0"/>
    <w:rsid w:val="25999638"/>
    <w:rsid w:val="26CFB868"/>
    <w:rsid w:val="2E5DC81D"/>
    <w:rsid w:val="301CA75B"/>
    <w:rsid w:val="31DF4CB2"/>
    <w:rsid w:val="39B9C105"/>
    <w:rsid w:val="3A8E4612"/>
    <w:rsid w:val="44141BDA"/>
    <w:rsid w:val="476D556A"/>
    <w:rsid w:val="4949D8E3"/>
    <w:rsid w:val="4D9CAD01"/>
    <w:rsid w:val="4E1230B2"/>
    <w:rsid w:val="527A5CD0"/>
    <w:rsid w:val="52D6FE44"/>
    <w:rsid w:val="567DF9AE"/>
    <w:rsid w:val="56A15A18"/>
    <w:rsid w:val="5801D77E"/>
    <w:rsid w:val="5B287A3E"/>
    <w:rsid w:val="5C2D5CCF"/>
    <w:rsid w:val="5F29D245"/>
    <w:rsid w:val="60D01EF7"/>
    <w:rsid w:val="683ECC34"/>
    <w:rsid w:val="691ACAD7"/>
    <w:rsid w:val="6A1EEF59"/>
    <w:rsid w:val="6A4CA72C"/>
    <w:rsid w:val="75334462"/>
    <w:rsid w:val="792EC7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230B2"/>
  <w15:chartTrackingRefBased/>
  <w15:docId w15:val="{617E195C-5F8C-4B43-B9A1-4C3F5C6CE2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6CFB868"/>
    <w:pPr>
      <w:spacing/>
      <w:ind w:left="720"/>
      <w:contextualSpacing/>
    </w:pPr>
  </w:style>
  <w:style w:type="character" w:styleId="Hyperlink">
    <w:uiPriority w:val="99"/>
    <w:name w:val="Hyperlink"/>
    <w:basedOn w:val="DefaultParagraphFont"/>
    <w:unhideWhenUsed/>
    <w:rsid w:val="26CFB86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36/bmj.o1047" TargetMode="External" Id="R09b9fa0dc65e4382" /><Relationship Type="http://schemas.openxmlformats.org/officeDocument/2006/relationships/hyperlink" Target="https://doi.org/10.1136/archdischild-2025-rcpch.220" TargetMode="External" Id="R7694864c13e449d9" /><Relationship Type="http://schemas.openxmlformats.org/officeDocument/2006/relationships/hyperlink" Target="https://doi.org/10.1136/bmj.l4036" TargetMode="External" Id="R8e37e3d3266d4a71" /><Relationship Type="http://schemas.openxmlformats.org/officeDocument/2006/relationships/hyperlink" Target="https://doi.org/10.1136/bmj.o945" TargetMode="External" Id="Rd370bc41f2ce4108" /><Relationship Type="http://schemas.openxmlformats.org/officeDocument/2006/relationships/hyperlink" Target="https://doi.org/10.1136/bmj.n1461" TargetMode="External" Id="Rc15be5e35e984396" /><Relationship Type="http://schemas.openxmlformats.org/officeDocument/2006/relationships/hyperlink" Target="https://doi.org/10.1177/15271544241286083" TargetMode="External" Id="Re2e38ff2e01945da" /><Relationship Type="http://schemas.openxmlformats.org/officeDocument/2006/relationships/hyperlink" Target="https://doi.org/10.7759/cureus.38617" TargetMode="External" Id="R459536816db04916" /><Relationship Type="http://schemas.openxmlformats.org/officeDocument/2006/relationships/hyperlink" Target="https://doi.org/10.1002/tre.892" TargetMode="External" Id="R877f9da6564e4a75" /><Relationship Type="http://schemas.openxmlformats.org/officeDocument/2006/relationships/hyperlink" Target="https://doi.org/10.1136/bmj.39167.372002.DB" TargetMode="External" Id="R38c8e740b8ed4bdc" /><Relationship Type="http://schemas.openxmlformats.org/officeDocument/2006/relationships/hyperlink" Target="https://doi.org/10.1136/bmj.n564" TargetMode="External" Id="R775e588eba094d7c" /><Relationship Type="http://schemas.openxmlformats.org/officeDocument/2006/relationships/hyperlink" Target="https://doi.org/10.1136/bmj.k5308" TargetMode="External" Id="Rd0c7279e7b854f5d" /><Relationship Type="http://schemas.openxmlformats.org/officeDocument/2006/relationships/hyperlink" Target="https://doi.org/10.1155/2024/7513374" TargetMode="External" Id="Rea019972c78946bb" /><Relationship Type="http://schemas.openxmlformats.org/officeDocument/2006/relationships/hyperlink" Target="https://doi.org/10.1136/bmj.m3057" TargetMode="External" Id="R1983969d335848a0" /><Relationship Type="http://schemas.openxmlformats.org/officeDocument/2006/relationships/hyperlink" Target="https://doi.org/10.1111/inr.12482" TargetMode="External" Id="R93b2bd77709d40c0" /><Relationship Type="http://schemas.openxmlformats.org/officeDocument/2006/relationships/hyperlink" Target="https://doi.org/10.7748/ns.32.10.3.s1" TargetMode="External" Id="R4bb4f5a557744db6" /><Relationship Type="http://schemas.openxmlformats.org/officeDocument/2006/relationships/hyperlink" Target="https://doi.org/10.3399/bjgp23X732045" TargetMode="External" Id="Ra296045cc1364287" /><Relationship Type="http://schemas.openxmlformats.org/officeDocument/2006/relationships/hyperlink" Target="https://doi.org/10.1080/08959420.2012.659144" TargetMode="External" Id="R9c7f2302c35a4528" /><Relationship Type="http://schemas.openxmlformats.org/officeDocument/2006/relationships/hyperlink" Target="https://doi.org/10.1108/14777260410548428" TargetMode="External" Id="Rf47da157adcc4814" /><Relationship Type="http://schemas.openxmlformats.org/officeDocument/2006/relationships/hyperlink" Target="https://doi.org/10.1093/bmb/ldac003" TargetMode="External" Id="R3e6a98e6eb52498b" /><Relationship Type="http://schemas.openxmlformats.org/officeDocument/2006/relationships/hyperlink" Target="https://doi.org/10.1136/bmj.n2591" TargetMode="External" Id="Rb0822eb184be472f" /><Relationship Type="http://schemas.openxmlformats.org/officeDocument/2006/relationships/hyperlink" Target="https://doi.org/10.1136/bmj.m4439" TargetMode="External" Id="R1c9f122ae0274862" /><Relationship Type="http://schemas.openxmlformats.org/officeDocument/2006/relationships/hyperlink" Target="https://doi.org/10.1108/IJWHM-06-2019-0084" TargetMode="External" Id="R5a995f6528444f09" /><Relationship Type="http://schemas.openxmlformats.org/officeDocument/2006/relationships/hyperlink" Target="https://doi.org/10.1108/IJWHM-06-2019-0084" TargetMode="External" Id="R25e31b1fa323412b" /><Relationship Type="http://schemas.openxmlformats.org/officeDocument/2006/relationships/hyperlink" Target="https://doi.org/10.1111/1475-6773.13719" TargetMode="External" Id="R0846b9af6c1147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2026-03-20T17:06:26.7449735Z</dcterms:created>
  <dcterms:modified xsi:type="dcterms:W3CDTF">2026-03-20T17:39:11.8252869Z</dcterms:modified>
  <dc:creator>Caitlyn Davies (2200942)</dc:creator>
  <lastModifiedBy>Caitlyn Davies (2200942)</lastModifiedBy>
</coreProperties>
</file>