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8EE57" w14:textId="2535790F" w:rsidR="00E0555C" w:rsidRDefault="00E0555C" w:rsidP="001E0A69">
      <w:pPr>
        <w:spacing w:before="100" w:beforeAutospacing="1" w:after="100" w:afterAutospacing="1" w:line="276" w:lineRule="auto"/>
        <w:outlineLvl w:val="0"/>
        <w:rPr>
          <w:rFonts w:ascii="Calibri" w:eastAsia="Times New Roman" w:hAnsi="Calibri" w:cs="Calibri"/>
          <w:b/>
          <w:bCs/>
          <w:color w:val="000000"/>
          <w:kern w:val="36"/>
          <w:lang w:eastAsia="en-GB"/>
          <w14:ligatures w14:val="none"/>
        </w:rPr>
      </w:pPr>
      <w:r>
        <w:rPr>
          <w:rFonts w:ascii="Calibri" w:eastAsia="Times New Roman" w:hAnsi="Calibri" w:cs="Calibri"/>
          <w:b/>
          <w:bCs/>
          <w:color w:val="000000"/>
          <w:kern w:val="36"/>
          <w:lang w:eastAsia="en-GB"/>
          <w14:ligatures w14:val="none"/>
        </w:rPr>
        <w:t>Ai Declaration:</w:t>
      </w:r>
    </w:p>
    <w:p w14:paraId="727C9BB4" w14:textId="661AC487" w:rsidR="009C5512" w:rsidRPr="00F82BEA" w:rsidRDefault="009C5512" w:rsidP="001E0A69">
      <w:pPr>
        <w:spacing w:before="100" w:beforeAutospacing="1" w:after="100" w:afterAutospacing="1" w:line="276" w:lineRule="auto"/>
        <w:outlineLvl w:val="0"/>
        <w:rPr>
          <w:rFonts w:ascii="Calibri" w:eastAsia="Times New Roman" w:hAnsi="Calibri" w:cs="Calibri"/>
          <w:color w:val="000000"/>
          <w:kern w:val="36"/>
          <w:lang w:eastAsia="en-GB"/>
          <w14:ligatures w14:val="none"/>
        </w:rPr>
      </w:pPr>
      <w:r w:rsidRPr="00F82BEA">
        <w:rPr>
          <w:rFonts w:ascii="Calibri" w:eastAsia="Times New Roman" w:hAnsi="Calibri" w:cs="Calibri"/>
          <w:color w:val="000000"/>
          <w:kern w:val="36"/>
          <w:lang w:eastAsia="en-GB"/>
          <w14:ligatures w14:val="none"/>
        </w:rPr>
        <w:t>I used ChatGPT to help me with the</w:t>
      </w:r>
      <w:r w:rsidR="002F0FA3" w:rsidRPr="00F82BEA">
        <w:rPr>
          <w:rFonts w:ascii="Calibri" w:eastAsia="Times New Roman" w:hAnsi="Calibri" w:cs="Calibri"/>
          <w:color w:val="000000"/>
          <w:kern w:val="36"/>
          <w:lang w:eastAsia="en-GB"/>
          <w14:ligatures w14:val="none"/>
        </w:rPr>
        <w:t xml:space="preserve"> structure of the speaker notes</w:t>
      </w:r>
      <w:r w:rsidR="008979A5" w:rsidRPr="00F82BEA">
        <w:rPr>
          <w:rFonts w:ascii="Calibri" w:eastAsia="Times New Roman" w:hAnsi="Calibri" w:cs="Calibri"/>
          <w:color w:val="000000"/>
          <w:kern w:val="36"/>
          <w:lang w:eastAsia="en-GB"/>
          <w14:ligatures w14:val="none"/>
        </w:rPr>
        <w:t>: “</w:t>
      </w:r>
      <w:r w:rsidR="001C59BF" w:rsidRPr="00F82BEA">
        <w:rPr>
          <w:rFonts w:ascii="Calibri" w:eastAsia="Times New Roman" w:hAnsi="Calibri" w:cs="Calibri"/>
          <w:color w:val="000000"/>
          <w:kern w:val="36"/>
          <w:lang w:eastAsia="en-GB"/>
          <w14:ligatures w14:val="none"/>
        </w:rPr>
        <w:t>C</w:t>
      </w:r>
      <w:r w:rsidR="008979A5" w:rsidRPr="00F82BEA">
        <w:rPr>
          <w:rFonts w:ascii="Calibri" w:eastAsia="Times New Roman" w:hAnsi="Calibri" w:cs="Calibri"/>
          <w:color w:val="000000"/>
          <w:kern w:val="36"/>
          <w:lang w:eastAsia="en-GB"/>
          <w14:ligatures w14:val="none"/>
        </w:rPr>
        <w:t>an you advi</w:t>
      </w:r>
      <w:r w:rsidR="001C59BF" w:rsidRPr="00F82BEA">
        <w:rPr>
          <w:rFonts w:ascii="Calibri" w:eastAsia="Times New Roman" w:hAnsi="Calibri" w:cs="Calibri"/>
          <w:color w:val="000000"/>
          <w:kern w:val="36"/>
          <w:lang w:eastAsia="en-GB"/>
          <w14:ligatures w14:val="none"/>
        </w:rPr>
        <w:t>s</w:t>
      </w:r>
      <w:r w:rsidR="008979A5" w:rsidRPr="00F82BEA">
        <w:rPr>
          <w:rFonts w:ascii="Calibri" w:eastAsia="Times New Roman" w:hAnsi="Calibri" w:cs="Calibri"/>
          <w:color w:val="000000"/>
          <w:kern w:val="36"/>
          <w:lang w:eastAsia="en-GB"/>
          <w14:ligatures w14:val="none"/>
        </w:rPr>
        <w:t>e me on how to str</w:t>
      </w:r>
      <w:r w:rsidR="001C59BF" w:rsidRPr="00F82BEA">
        <w:rPr>
          <w:rFonts w:ascii="Calibri" w:eastAsia="Times New Roman" w:hAnsi="Calibri" w:cs="Calibri"/>
          <w:color w:val="000000"/>
          <w:kern w:val="36"/>
          <w:lang w:eastAsia="en-GB"/>
          <w14:ligatures w14:val="none"/>
        </w:rPr>
        <w:t>ucture my speaker notes for oral submission.</w:t>
      </w:r>
    </w:p>
    <w:p w14:paraId="0B3E7C9E" w14:textId="004BC10F" w:rsidR="001C59BF" w:rsidRPr="00F82BEA" w:rsidRDefault="001C59BF" w:rsidP="001E0A69">
      <w:pPr>
        <w:spacing w:before="100" w:beforeAutospacing="1" w:after="100" w:afterAutospacing="1" w:line="276" w:lineRule="auto"/>
        <w:outlineLvl w:val="0"/>
        <w:rPr>
          <w:rFonts w:ascii="Calibri" w:eastAsia="Times New Roman" w:hAnsi="Calibri" w:cs="Calibri"/>
          <w:color w:val="000000"/>
          <w:kern w:val="36"/>
          <w:lang w:eastAsia="en-GB"/>
          <w14:ligatures w14:val="none"/>
        </w:rPr>
      </w:pPr>
      <w:r w:rsidRPr="00F82BEA">
        <w:rPr>
          <w:rFonts w:ascii="Calibri" w:eastAsia="Times New Roman" w:hAnsi="Calibri" w:cs="Calibri"/>
          <w:color w:val="000000"/>
          <w:kern w:val="36"/>
          <w:lang w:eastAsia="en-GB"/>
          <w14:ligatures w14:val="none"/>
        </w:rPr>
        <w:t>I have used Grammarly</w:t>
      </w:r>
      <w:r w:rsidR="00F27654" w:rsidRPr="00F82BEA">
        <w:rPr>
          <w:rFonts w:ascii="Calibri" w:eastAsia="Times New Roman" w:hAnsi="Calibri" w:cs="Calibri"/>
          <w:color w:val="000000"/>
          <w:kern w:val="36"/>
          <w:lang w:eastAsia="en-GB"/>
          <w14:ligatures w14:val="none"/>
        </w:rPr>
        <w:t>’s</w:t>
      </w:r>
      <w:r w:rsidR="00EB4863" w:rsidRPr="00F82BEA">
        <w:rPr>
          <w:rFonts w:ascii="Calibri" w:eastAsia="Times New Roman" w:hAnsi="Calibri" w:cs="Calibri"/>
          <w:color w:val="000000"/>
          <w:kern w:val="36"/>
          <w:lang w:eastAsia="en-GB"/>
          <w14:ligatures w14:val="none"/>
        </w:rPr>
        <w:t xml:space="preserve"> automatic editor for pr</w:t>
      </w:r>
      <w:r w:rsidR="00F27654" w:rsidRPr="00F82BEA">
        <w:rPr>
          <w:rFonts w:ascii="Calibri" w:eastAsia="Times New Roman" w:hAnsi="Calibri" w:cs="Calibri"/>
          <w:color w:val="000000"/>
          <w:kern w:val="36"/>
          <w:lang w:eastAsia="en-GB"/>
          <w14:ligatures w14:val="none"/>
        </w:rPr>
        <w:t>oofreading with spelling and grammar.</w:t>
      </w:r>
    </w:p>
    <w:p w14:paraId="6A7F4CAB" w14:textId="0BB27D2D" w:rsidR="00E0555C" w:rsidRPr="00F71923" w:rsidRDefault="00E0555C" w:rsidP="001E0A69">
      <w:pPr>
        <w:spacing w:before="100" w:beforeAutospacing="1" w:after="100" w:afterAutospacing="1" w:line="276" w:lineRule="auto"/>
        <w:outlineLvl w:val="0"/>
        <w:rPr>
          <w:rFonts w:ascii="Calibri" w:eastAsia="Times New Roman" w:hAnsi="Calibri" w:cs="Calibri"/>
          <w:b/>
          <w:bCs/>
          <w:color w:val="000000"/>
          <w:kern w:val="36"/>
          <w:lang w:eastAsia="en-GB"/>
          <w14:ligatures w14:val="none"/>
        </w:rPr>
      </w:pPr>
      <w:r w:rsidRPr="009C0954">
        <w:rPr>
          <w:rFonts w:ascii="Calibri" w:eastAsia="Times New Roman" w:hAnsi="Calibri" w:cs="Calibri"/>
          <w:b/>
          <w:bCs/>
          <w:color w:val="000000"/>
          <w:kern w:val="36"/>
          <w:lang w:eastAsia="en-GB"/>
          <w14:ligatures w14:val="none"/>
        </w:rPr>
        <w:t xml:space="preserve">Bail Application Research Report &amp; Speaker Notes </w:t>
      </w:r>
    </w:p>
    <w:p w14:paraId="30AD1A15" w14:textId="77777777" w:rsidR="00E0555C" w:rsidRDefault="00E0555C" w:rsidP="001E0A69">
      <w:pPr>
        <w:spacing w:before="100" w:beforeAutospacing="1" w:after="100" w:afterAutospacing="1" w:line="276" w:lineRule="auto"/>
        <w:rPr>
          <w:rFonts w:ascii="Calibri" w:eastAsia="Times New Roman" w:hAnsi="Calibri" w:cs="Calibri"/>
          <w:b/>
          <w:bCs/>
          <w:color w:val="000000"/>
          <w:kern w:val="0"/>
          <w:lang w:eastAsia="en-GB"/>
          <w14:ligatures w14:val="none"/>
        </w:rPr>
      </w:pPr>
      <w:r>
        <w:rPr>
          <w:rFonts w:ascii="Calibri" w:eastAsia="Times New Roman" w:hAnsi="Calibri" w:cs="Calibri"/>
          <w:b/>
          <w:bCs/>
          <w:color w:val="000000"/>
          <w:kern w:val="0"/>
          <w:lang w:eastAsia="en-GB"/>
          <w14:ligatures w14:val="none"/>
        </w:rPr>
        <w:t>Case: R v Jeremy Hope</w:t>
      </w:r>
      <w:r w:rsidRPr="00F71923">
        <w:rPr>
          <w:rFonts w:ascii="Calibri" w:eastAsia="Times New Roman" w:hAnsi="Calibri" w:cs="Calibri"/>
          <w:color w:val="000000"/>
          <w:kern w:val="0"/>
          <w:lang w:eastAsia="en-GB"/>
          <w14:ligatures w14:val="none"/>
        </w:rPr>
        <w:br/>
      </w:r>
      <w:r>
        <w:rPr>
          <w:rFonts w:ascii="Calibri" w:eastAsia="Times New Roman" w:hAnsi="Calibri" w:cs="Calibri"/>
          <w:b/>
          <w:bCs/>
          <w:color w:val="000000"/>
          <w:kern w:val="0"/>
          <w:lang w:eastAsia="en-GB"/>
          <w14:ligatures w14:val="none"/>
        </w:rPr>
        <w:t xml:space="preserve">Topic: Advocacy for Bail – Magistrates’ Court (District Judge) </w:t>
      </w:r>
    </w:p>
    <w:p w14:paraId="7BCE68EC" w14:textId="77777777" w:rsidR="00E0555C" w:rsidRPr="00913B65" w:rsidRDefault="00E0555C" w:rsidP="001E0A69">
      <w:pPr>
        <w:spacing w:before="100" w:beforeAutospacing="1" w:after="100" w:afterAutospacing="1" w:line="276" w:lineRule="auto"/>
        <w:rPr>
          <w:rFonts w:ascii="Calibri" w:eastAsia="Times New Roman" w:hAnsi="Calibri" w:cs="Calibri"/>
          <w:color w:val="000000"/>
          <w:kern w:val="0"/>
          <w:lang w:eastAsia="en-GB"/>
          <w14:ligatures w14:val="none"/>
        </w:rPr>
      </w:pPr>
      <w:r w:rsidRPr="00913B65">
        <w:rPr>
          <w:rFonts w:ascii="Calibri" w:eastAsia="Times New Roman" w:hAnsi="Calibri" w:cs="Calibri"/>
          <w:color w:val="000000"/>
          <w:kern w:val="0"/>
          <w:lang w:eastAsia="en-GB"/>
          <w14:ligatures w14:val="none"/>
        </w:rPr>
        <w:t>This research and speaker notes document is intended to support an oral bail application on behalf of Jeremy Hope, the defendant accused of actual bodily harm under s. 47 of the Offences Against the Person Act 1861. The purpose of the document is to provide:</w:t>
      </w:r>
    </w:p>
    <w:p w14:paraId="389C2902" w14:textId="77777777" w:rsidR="00E0555C" w:rsidRDefault="00E0555C" w:rsidP="001E0A69">
      <w:pPr>
        <w:pStyle w:val="ListParagraph"/>
        <w:numPr>
          <w:ilvl w:val="0"/>
          <w:numId w:val="1"/>
        </w:numPr>
        <w:spacing w:before="100" w:beforeAutospacing="1" w:after="100" w:afterAutospacing="1" w:line="276"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 clear overview of the legal framework that controls bail</w:t>
      </w:r>
    </w:p>
    <w:p w14:paraId="59DE148E" w14:textId="77777777" w:rsidR="00E0555C" w:rsidRDefault="00E0555C" w:rsidP="001E0A69">
      <w:pPr>
        <w:pStyle w:val="ListParagraph"/>
        <w:numPr>
          <w:ilvl w:val="0"/>
          <w:numId w:val="1"/>
        </w:numPr>
        <w:spacing w:before="100" w:beforeAutospacing="1" w:after="100" w:afterAutospacing="1" w:line="276"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Analysing relevant case law</w:t>
      </w:r>
    </w:p>
    <w:p w14:paraId="37C77BD4" w14:textId="77777777" w:rsidR="00E0555C" w:rsidRDefault="00E0555C" w:rsidP="001E0A69">
      <w:pPr>
        <w:pStyle w:val="ListParagraph"/>
        <w:numPr>
          <w:ilvl w:val="0"/>
          <w:numId w:val="1"/>
        </w:numPr>
        <w:spacing w:before="100" w:beforeAutospacing="1" w:after="100" w:afterAutospacing="1" w:line="276"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Applying those ideas to Mr Hope’s case circumstances</w:t>
      </w:r>
    </w:p>
    <w:p w14:paraId="7AE65199" w14:textId="77777777" w:rsidR="00E0555C" w:rsidRDefault="00E0555C" w:rsidP="001E0A69">
      <w:pPr>
        <w:pStyle w:val="ListParagraph"/>
        <w:numPr>
          <w:ilvl w:val="0"/>
          <w:numId w:val="1"/>
        </w:numPr>
        <w:spacing w:before="100" w:beforeAutospacing="1" w:after="100" w:afterAutospacing="1" w:line="276"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A thoughtful suggestion about bail terms</w:t>
      </w:r>
    </w:p>
    <w:p w14:paraId="70D555C3" w14:textId="77777777" w:rsidR="00E0555C" w:rsidRDefault="00E0555C" w:rsidP="001E0A69">
      <w:pPr>
        <w:pStyle w:val="ListParagraph"/>
        <w:numPr>
          <w:ilvl w:val="0"/>
          <w:numId w:val="1"/>
        </w:numPr>
        <w:spacing w:before="100" w:beforeAutospacing="1" w:after="100" w:afterAutospacing="1" w:line="276"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Structured speaker notes to guide a 20-minute oral submission </w:t>
      </w:r>
    </w:p>
    <w:p w14:paraId="541345C1" w14:textId="1605769E" w:rsidR="00FC4FCE" w:rsidRDefault="00E0555C" w:rsidP="001E0A69">
      <w:pPr>
        <w:spacing w:line="276"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Strategy highlights the presumption in support of bail, proportionality, and risk-based analysis, which follows the format expected in Magistrates’ Court advocacy.</w:t>
      </w:r>
    </w:p>
    <w:p w14:paraId="38D956E3" w14:textId="77777777" w:rsidR="00E0555C" w:rsidRDefault="00E0555C" w:rsidP="00E0555C">
      <w:pPr>
        <w:rPr>
          <w:rFonts w:ascii="Calibri" w:eastAsia="Times New Roman" w:hAnsi="Calibri" w:cs="Calibri"/>
          <w:color w:val="000000"/>
          <w:kern w:val="0"/>
          <w:lang w:eastAsia="en-GB"/>
          <w14:ligatures w14:val="none"/>
        </w:rPr>
      </w:pPr>
    </w:p>
    <w:p w14:paraId="2E3BF048" w14:textId="1E35259F" w:rsidR="00E0555C" w:rsidRDefault="00E0555C" w:rsidP="001E0A69">
      <w:pPr>
        <w:spacing w:line="276" w:lineRule="auto"/>
        <w:rPr>
          <w:rFonts w:ascii="Calibri" w:hAnsi="Calibri" w:cs="Calibri"/>
          <w:b/>
          <w:bCs/>
          <w:sz w:val="28"/>
          <w:szCs w:val="28"/>
        </w:rPr>
      </w:pPr>
      <w:r w:rsidRPr="00E0555C">
        <w:rPr>
          <w:rFonts w:ascii="Calibri" w:hAnsi="Calibri" w:cs="Calibri"/>
          <w:b/>
          <w:bCs/>
          <w:sz w:val="28"/>
          <w:szCs w:val="28"/>
        </w:rPr>
        <w:t xml:space="preserve">Legal Framework Governing Bail </w:t>
      </w:r>
    </w:p>
    <w:p w14:paraId="54A10F8A" w14:textId="0BE242C9" w:rsidR="00E0555C" w:rsidRPr="00AB38F9" w:rsidRDefault="00E0555C" w:rsidP="001E0A69">
      <w:pPr>
        <w:pStyle w:val="ListParagraph"/>
        <w:numPr>
          <w:ilvl w:val="0"/>
          <w:numId w:val="2"/>
        </w:numPr>
        <w:spacing w:line="276" w:lineRule="auto"/>
        <w:rPr>
          <w:rFonts w:ascii="Calibri" w:hAnsi="Calibri" w:cs="Calibri"/>
          <w:b/>
          <w:bCs/>
        </w:rPr>
      </w:pPr>
      <w:r w:rsidRPr="00AB38F9">
        <w:rPr>
          <w:rFonts w:ascii="Calibri" w:hAnsi="Calibri" w:cs="Calibri"/>
          <w:b/>
          <w:bCs/>
        </w:rPr>
        <w:t xml:space="preserve">The presumption in Favour of Bail </w:t>
      </w:r>
    </w:p>
    <w:p w14:paraId="30B88D75" w14:textId="7B0DAF8F" w:rsidR="000B6EFD" w:rsidRDefault="00B851F2" w:rsidP="001E0A69">
      <w:pPr>
        <w:spacing w:before="100" w:beforeAutospacing="1" w:after="100" w:afterAutospacing="1" w:line="276" w:lineRule="auto"/>
        <w:rPr>
          <w:rFonts w:ascii="Calibri" w:eastAsia="Times New Roman" w:hAnsi="Calibri" w:cs="Calibri"/>
          <w:color w:val="000000"/>
          <w:lang w:eastAsia="en-GB"/>
        </w:rPr>
      </w:pPr>
      <w:r w:rsidRPr="000A4307">
        <w:rPr>
          <w:rFonts w:ascii="Calibri" w:eastAsia="Times New Roman" w:hAnsi="Calibri" w:cs="Calibri"/>
          <w:color w:val="000000"/>
          <w:lang w:eastAsia="en-GB"/>
        </w:rPr>
        <w:t>Section 4 of the Bail Act</w:t>
      </w:r>
      <w:r w:rsidR="00B13530" w:rsidRPr="000A4307">
        <w:rPr>
          <w:rFonts w:ascii="Calibri" w:eastAsia="Times New Roman" w:hAnsi="Calibri" w:cs="Calibri"/>
          <w:color w:val="000000"/>
          <w:lang w:eastAsia="en-GB"/>
        </w:rPr>
        <w:t xml:space="preserve"> 1976</w:t>
      </w:r>
      <w:r w:rsidR="00BA52D9" w:rsidRPr="000A4307">
        <w:rPr>
          <w:rFonts w:ascii="Calibri" w:eastAsia="Times New Roman" w:hAnsi="Calibri" w:cs="Calibri"/>
          <w:color w:val="000000"/>
          <w:lang w:eastAsia="en-GB"/>
        </w:rPr>
        <w:t xml:space="preserve"> serves as the foundation </w:t>
      </w:r>
      <w:r w:rsidR="00AA0447" w:rsidRPr="000A4307">
        <w:rPr>
          <w:rFonts w:ascii="Calibri" w:eastAsia="Times New Roman" w:hAnsi="Calibri" w:cs="Calibri"/>
          <w:color w:val="000000"/>
          <w:lang w:eastAsia="en-GB"/>
        </w:rPr>
        <w:t>which establishes the broad right to bail for offenders who appear in court</w:t>
      </w:r>
      <w:r w:rsidR="00B26917" w:rsidRPr="000A4307">
        <w:rPr>
          <w:rFonts w:ascii="Calibri" w:eastAsia="Times New Roman" w:hAnsi="Calibri" w:cs="Calibri"/>
          <w:color w:val="000000"/>
          <w:lang w:eastAsia="en-GB"/>
        </w:rPr>
        <w:t xml:space="preserve">, unless specific statutory exceptions apply. Courts must start </w:t>
      </w:r>
      <w:r w:rsidR="000A4307">
        <w:rPr>
          <w:rFonts w:ascii="Calibri" w:eastAsia="Times New Roman" w:hAnsi="Calibri" w:cs="Calibri"/>
          <w:color w:val="000000"/>
          <w:lang w:eastAsia="en-GB"/>
        </w:rPr>
        <w:t xml:space="preserve">with </w:t>
      </w:r>
      <w:r w:rsidR="00B26917" w:rsidRPr="000A4307">
        <w:rPr>
          <w:rFonts w:ascii="Calibri" w:eastAsia="Times New Roman" w:hAnsi="Calibri" w:cs="Calibri"/>
          <w:color w:val="000000"/>
          <w:lang w:eastAsia="en-GB"/>
        </w:rPr>
        <w:t xml:space="preserve">the idea that imprisonment is an </w:t>
      </w:r>
      <w:r w:rsidR="000A4307" w:rsidRPr="000A4307">
        <w:rPr>
          <w:rFonts w:ascii="Calibri" w:eastAsia="Times New Roman" w:hAnsi="Calibri" w:cs="Calibri"/>
          <w:color w:val="000000"/>
          <w:lang w:eastAsia="en-GB"/>
        </w:rPr>
        <w:t>exception, and liberty is the default stance. (legislation.gov.uk, 2020).</w:t>
      </w:r>
    </w:p>
    <w:p w14:paraId="3D43B9E6" w14:textId="5D15A474" w:rsidR="00980DA8" w:rsidRDefault="00980DA8" w:rsidP="001E0A69">
      <w:pPr>
        <w:spacing w:before="100" w:beforeAutospacing="1" w:after="100" w:afterAutospacing="1" w:line="276" w:lineRule="auto"/>
        <w:rPr>
          <w:rFonts w:ascii="Calibri" w:eastAsia="Times New Roman" w:hAnsi="Calibri" w:cs="Calibri"/>
          <w:color w:val="000000"/>
          <w:lang w:eastAsia="en-GB"/>
        </w:rPr>
      </w:pPr>
      <w:r>
        <w:rPr>
          <w:rFonts w:ascii="Calibri" w:eastAsia="Times New Roman" w:hAnsi="Calibri" w:cs="Calibri"/>
          <w:color w:val="000000"/>
          <w:lang w:eastAsia="en-GB"/>
        </w:rPr>
        <w:t>The High Court stated in R (Gibbs) v Crawley</w:t>
      </w:r>
      <w:r w:rsidR="00505755">
        <w:rPr>
          <w:rFonts w:ascii="Calibri" w:eastAsia="Times New Roman" w:hAnsi="Calibri" w:cs="Calibri"/>
          <w:color w:val="000000"/>
          <w:lang w:eastAsia="en-GB"/>
        </w:rPr>
        <w:t xml:space="preserve"> Magistrates’ Court [2008]</w:t>
      </w:r>
      <w:r w:rsidR="00B72DB6">
        <w:rPr>
          <w:rFonts w:ascii="Calibri" w:eastAsia="Times New Roman" w:hAnsi="Calibri" w:cs="Calibri"/>
          <w:color w:val="000000"/>
          <w:lang w:eastAsia="en-GB"/>
        </w:rPr>
        <w:t xml:space="preserve"> that the refusal of bail constitutes a significant</w:t>
      </w:r>
      <w:r w:rsidR="008C0BDC">
        <w:rPr>
          <w:rFonts w:ascii="Calibri" w:eastAsia="Times New Roman" w:hAnsi="Calibri" w:cs="Calibri"/>
          <w:color w:val="000000"/>
          <w:lang w:eastAsia="en-GB"/>
        </w:rPr>
        <w:t xml:space="preserve"> interference with liberty and is only allowed</w:t>
      </w:r>
      <w:r w:rsidR="00EE55EB">
        <w:rPr>
          <w:rFonts w:ascii="Calibri" w:eastAsia="Times New Roman" w:hAnsi="Calibri" w:cs="Calibri"/>
          <w:color w:val="000000"/>
          <w:lang w:eastAsia="en-GB"/>
        </w:rPr>
        <w:t xml:space="preserve"> in cases where statutory requirement</w:t>
      </w:r>
      <w:r w:rsidR="00F37ED4">
        <w:rPr>
          <w:rFonts w:ascii="Calibri" w:eastAsia="Times New Roman" w:hAnsi="Calibri" w:cs="Calibri"/>
          <w:color w:val="000000"/>
          <w:lang w:eastAsia="en-GB"/>
        </w:rPr>
        <w:t>s</w:t>
      </w:r>
      <w:r w:rsidR="00EE55EB">
        <w:rPr>
          <w:rFonts w:ascii="Calibri" w:eastAsia="Times New Roman" w:hAnsi="Calibri" w:cs="Calibri"/>
          <w:color w:val="000000"/>
          <w:lang w:eastAsia="en-GB"/>
        </w:rPr>
        <w:t xml:space="preserve"> are satisfied. Even in violent circum</w:t>
      </w:r>
      <w:r w:rsidR="00F37ED4">
        <w:rPr>
          <w:rFonts w:ascii="Calibri" w:eastAsia="Times New Roman" w:hAnsi="Calibri" w:cs="Calibri"/>
          <w:color w:val="000000"/>
          <w:lang w:eastAsia="en-GB"/>
        </w:rPr>
        <w:t>stances, the presumption is applicable unless the prosecution can show a danger. (Crawley et al., 2014).</w:t>
      </w:r>
    </w:p>
    <w:p w14:paraId="2816AD68" w14:textId="55046160" w:rsidR="00450273" w:rsidRDefault="00700D89" w:rsidP="001E0A69">
      <w:pPr>
        <w:spacing w:before="100" w:beforeAutospacing="1" w:after="100" w:afterAutospacing="1" w:line="276" w:lineRule="auto"/>
        <w:rPr>
          <w:rFonts w:ascii="Calibri" w:eastAsia="Times New Roman" w:hAnsi="Calibri" w:cs="Calibri"/>
          <w:color w:val="000000"/>
          <w:lang w:eastAsia="en-GB"/>
        </w:rPr>
      </w:pPr>
      <w:r>
        <w:rPr>
          <w:rFonts w:ascii="Calibri" w:eastAsia="Times New Roman" w:hAnsi="Calibri" w:cs="Calibri"/>
          <w:color w:val="000000"/>
          <w:lang w:eastAsia="en-GB"/>
        </w:rPr>
        <w:t>The CPS underlines that objections must be supported by evidence and ack</w:t>
      </w:r>
      <w:r w:rsidR="006F48A9">
        <w:rPr>
          <w:rFonts w:ascii="Calibri" w:eastAsia="Times New Roman" w:hAnsi="Calibri" w:cs="Calibri"/>
          <w:color w:val="000000"/>
          <w:lang w:eastAsia="en-GB"/>
        </w:rPr>
        <w:t>nowledges the presumption as the “default”</w:t>
      </w:r>
      <w:r w:rsidR="00F145C8">
        <w:rPr>
          <w:rFonts w:ascii="Calibri" w:eastAsia="Times New Roman" w:hAnsi="Calibri" w:cs="Calibri"/>
          <w:color w:val="000000"/>
          <w:lang w:eastAsia="en-GB"/>
        </w:rPr>
        <w:t xml:space="preserve"> position. (cps.gov.uk, 2023).</w:t>
      </w:r>
    </w:p>
    <w:p w14:paraId="075BD19B" w14:textId="3D997E26" w:rsidR="00393082" w:rsidRDefault="000D23CB" w:rsidP="001E0A69">
      <w:pPr>
        <w:pStyle w:val="ListParagraph"/>
        <w:numPr>
          <w:ilvl w:val="0"/>
          <w:numId w:val="2"/>
        </w:numPr>
        <w:spacing w:before="100" w:beforeAutospacing="1" w:after="100" w:afterAutospacing="1" w:line="276" w:lineRule="auto"/>
        <w:rPr>
          <w:rFonts w:ascii="Calibri" w:eastAsia="Times New Roman" w:hAnsi="Calibri" w:cs="Calibri"/>
          <w:b/>
          <w:bCs/>
          <w:color w:val="000000"/>
          <w:lang w:eastAsia="en-GB"/>
        </w:rPr>
      </w:pPr>
      <w:r w:rsidRPr="00807293">
        <w:rPr>
          <w:rFonts w:ascii="Calibri" w:eastAsia="Times New Roman" w:hAnsi="Calibri" w:cs="Calibri"/>
          <w:b/>
          <w:bCs/>
          <w:color w:val="000000"/>
          <w:lang w:eastAsia="en-GB"/>
        </w:rPr>
        <w:t xml:space="preserve">When Bail </w:t>
      </w:r>
      <w:r w:rsidR="00BB4188" w:rsidRPr="00807293">
        <w:rPr>
          <w:rFonts w:ascii="Calibri" w:eastAsia="Times New Roman" w:hAnsi="Calibri" w:cs="Calibri"/>
          <w:b/>
          <w:bCs/>
          <w:color w:val="000000"/>
          <w:lang w:eastAsia="en-GB"/>
        </w:rPr>
        <w:t>May Be Refused</w:t>
      </w:r>
      <w:r w:rsidR="00807293" w:rsidRPr="00807293">
        <w:rPr>
          <w:rFonts w:ascii="Calibri" w:eastAsia="Times New Roman" w:hAnsi="Calibri" w:cs="Calibri"/>
          <w:b/>
          <w:bCs/>
          <w:color w:val="000000"/>
          <w:lang w:eastAsia="en-GB"/>
        </w:rPr>
        <w:t xml:space="preserve"> – s.1 Bail Act 1976</w:t>
      </w:r>
    </w:p>
    <w:p w14:paraId="6016E794" w14:textId="298C5376" w:rsidR="002E622F" w:rsidRPr="000471B3" w:rsidRDefault="002E622F" w:rsidP="001E0A69">
      <w:pPr>
        <w:spacing w:before="100" w:beforeAutospacing="1" w:after="100" w:afterAutospacing="1" w:line="276" w:lineRule="auto"/>
        <w:rPr>
          <w:rFonts w:ascii="Calibri" w:eastAsia="Times New Roman" w:hAnsi="Calibri" w:cs="Calibri"/>
          <w:color w:val="000000"/>
          <w:lang w:eastAsia="en-GB"/>
        </w:rPr>
      </w:pPr>
      <w:r w:rsidRPr="000471B3">
        <w:rPr>
          <w:rFonts w:ascii="Calibri" w:eastAsia="Times New Roman" w:hAnsi="Calibri" w:cs="Calibri"/>
          <w:color w:val="000000"/>
          <w:lang w:eastAsia="en-GB"/>
        </w:rPr>
        <w:lastRenderedPageBreak/>
        <w:t xml:space="preserve">The </w:t>
      </w:r>
      <w:r w:rsidR="00535727" w:rsidRPr="000471B3">
        <w:rPr>
          <w:rFonts w:ascii="Calibri" w:eastAsia="Times New Roman" w:hAnsi="Calibri" w:cs="Calibri"/>
          <w:color w:val="000000"/>
          <w:lang w:eastAsia="en-GB"/>
        </w:rPr>
        <w:t>prosecution may use the following Schedule 1 reasons if the defendant denies the offences, as in this case:</w:t>
      </w:r>
    </w:p>
    <w:p w14:paraId="1F994A52" w14:textId="5BDBBE8A" w:rsidR="00535727" w:rsidRPr="000471B3" w:rsidRDefault="00442C76" w:rsidP="001E0A69">
      <w:pPr>
        <w:pStyle w:val="ListParagraph"/>
        <w:numPr>
          <w:ilvl w:val="0"/>
          <w:numId w:val="4"/>
        </w:numPr>
        <w:spacing w:before="100" w:beforeAutospacing="1" w:after="100" w:afterAutospacing="1" w:line="276" w:lineRule="auto"/>
        <w:rPr>
          <w:rFonts w:ascii="Calibri" w:eastAsia="Times New Roman" w:hAnsi="Calibri" w:cs="Calibri"/>
          <w:color w:val="000000"/>
          <w:lang w:eastAsia="en-GB"/>
        </w:rPr>
      </w:pPr>
      <w:r w:rsidRPr="000471B3">
        <w:rPr>
          <w:rFonts w:ascii="Calibri" w:eastAsia="Times New Roman" w:hAnsi="Calibri" w:cs="Calibri"/>
          <w:color w:val="000000"/>
          <w:lang w:eastAsia="en-GB"/>
        </w:rPr>
        <w:t>S</w:t>
      </w:r>
      <w:r w:rsidR="00767190" w:rsidRPr="000471B3">
        <w:rPr>
          <w:rFonts w:ascii="Calibri" w:eastAsia="Times New Roman" w:hAnsi="Calibri" w:cs="Calibri"/>
          <w:color w:val="000000"/>
          <w:lang w:eastAsia="en-GB"/>
        </w:rPr>
        <w:t>ch</w:t>
      </w:r>
      <w:r w:rsidRPr="000471B3">
        <w:rPr>
          <w:rFonts w:ascii="Calibri" w:eastAsia="Times New Roman" w:hAnsi="Calibri" w:cs="Calibri"/>
          <w:color w:val="000000"/>
          <w:lang w:eastAsia="en-GB"/>
        </w:rPr>
        <w:t xml:space="preserve"> 1, para 2 – risk of failing to surrender to custody (</w:t>
      </w:r>
      <w:r w:rsidR="004802C5" w:rsidRPr="000471B3">
        <w:rPr>
          <w:rFonts w:ascii="Calibri" w:eastAsia="Times New Roman" w:hAnsi="Calibri" w:cs="Calibri"/>
          <w:color w:val="000000"/>
          <w:lang w:eastAsia="en-GB"/>
        </w:rPr>
        <w:t>FTS)</w:t>
      </w:r>
    </w:p>
    <w:p w14:paraId="16A95872" w14:textId="2FBD51A6" w:rsidR="001C34FF" w:rsidRPr="000471B3" w:rsidRDefault="00CF0C9A" w:rsidP="001E0A69">
      <w:pPr>
        <w:pStyle w:val="ListParagraph"/>
        <w:numPr>
          <w:ilvl w:val="0"/>
          <w:numId w:val="4"/>
        </w:numPr>
        <w:spacing w:before="100" w:beforeAutospacing="1" w:after="100" w:afterAutospacing="1" w:line="276" w:lineRule="auto"/>
        <w:rPr>
          <w:rFonts w:ascii="Calibri" w:eastAsia="Times New Roman" w:hAnsi="Calibri" w:cs="Calibri"/>
          <w:color w:val="000000"/>
          <w:lang w:eastAsia="en-GB"/>
        </w:rPr>
      </w:pPr>
      <w:r w:rsidRPr="000471B3">
        <w:rPr>
          <w:rFonts w:ascii="Calibri" w:eastAsia="Times New Roman" w:hAnsi="Calibri" w:cs="Calibri"/>
          <w:color w:val="000000"/>
          <w:lang w:eastAsia="en-GB"/>
        </w:rPr>
        <w:t>Sch 1, para 2A – risk of committing</w:t>
      </w:r>
      <w:r w:rsidR="0054742F" w:rsidRPr="000471B3">
        <w:rPr>
          <w:rFonts w:ascii="Calibri" w:eastAsia="Times New Roman" w:hAnsi="Calibri" w:cs="Calibri"/>
          <w:color w:val="000000"/>
          <w:lang w:eastAsia="en-GB"/>
        </w:rPr>
        <w:t xml:space="preserve"> further offences while on bail (CFO)</w:t>
      </w:r>
    </w:p>
    <w:p w14:paraId="5C3599CE" w14:textId="283B1845" w:rsidR="00F145C8" w:rsidRPr="00F82BEA" w:rsidRDefault="000471B3" w:rsidP="001E0A69">
      <w:pPr>
        <w:pStyle w:val="ListParagraph"/>
        <w:numPr>
          <w:ilvl w:val="0"/>
          <w:numId w:val="4"/>
        </w:numPr>
        <w:spacing w:before="100" w:beforeAutospacing="1" w:after="100" w:afterAutospacing="1" w:line="276" w:lineRule="auto"/>
        <w:rPr>
          <w:rFonts w:ascii="Calibri" w:eastAsia="Times New Roman" w:hAnsi="Calibri" w:cs="Calibri"/>
          <w:color w:val="000000"/>
          <w:lang w:eastAsia="en-GB"/>
        </w:rPr>
      </w:pPr>
      <w:r w:rsidRPr="000471B3">
        <w:rPr>
          <w:rFonts w:ascii="Calibri" w:eastAsia="Times New Roman" w:hAnsi="Calibri" w:cs="Calibri"/>
          <w:color w:val="000000"/>
          <w:lang w:eastAsia="en-GB"/>
        </w:rPr>
        <w:t>Sch1, para 5 – risk of interfering with witnesses or obstructing justice (IWW)</w:t>
      </w:r>
      <w:r w:rsidR="00385009">
        <w:rPr>
          <w:rFonts w:ascii="Calibri" w:eastAsia="Times New Roman" w:hAnsi="Calibri" w:cs="Calibri"/>
          <w:color w:val="000000"/>
          <w:lang w:eastAsia="en-GB"/>
        </w:rPr>
        <w:t xml:space="preserve"> </w:t>
      </w:r>
    </w:p>
    <w:p w14:paraId="56B0C355" w14:textId="24188867" w:rsidR="00216907" w:rsidRDefault="00216907" w:rsidP="001E0A69">
      <w:pPr>
        <w:spacing w:before="100" w:beforeAutospacing="1" w:after="100" w:afterAutospacing="1" w:line="276" w:lineRule="auto"/>
        <w:rPr>
          <w:rFonts w:ascii="Calibri" w:eastAsia="Times New Roman" w:hAnsi="Calibri" w:cs="Calibri"/>
          <w:color w:val="000000"/>
          <w:lang w:eastAsia="en-GB"/>
        </w:rPr>
      </w:pPr>
      <w:r>
        <w:rPr>
          <w:rFonts w:ascii="Calibri" w:eastAsia="Times New Roman" w:hAnsi="Calibri" w:cs="Calibri"/>
          <w:color w:val="000000"/>
          <w:lang w:eastAsia="en-GB"/>
        </w:rPr>
        <w:t>The court will ask:</w:t>
      </w:r>
    </w:p>
    <w:p w14:paraId="5674FDFF" w14:textId="49EE0DCD" w:rsidR="00216907" w:rsidRDefault="009A5C7D" w:rsidP="001E0A69">
      <w:pPr>
        <w:pStyle w:val="ListParagraph"/>
        <w:numPr>
          <w:ilvl w:val="0"/>
          <w:numId w:val="8"/>
        </w:numPr>
        <w:spacing w:before="100" w:beforeAutospacing="1" w:after="100" w:afterAutospacing="1" w:line="276" w:lineRule="auto"/>
        <w:rPr>
          <w:rFonts w:ascii="Calibri" w:eastAsia="Times New Roman" w:hAnsi="Calibri" w:cs="Calibri"/>
          <w:color w:val="000000"/>
          <w:lang w:eastAsia="en-GB"/>
        </w:rPr>
      </w:pPr>
      <w:r>
        <w:rPr>
          <w:rFonts w:ascii="Calibri" w:eastAsia="Times New Roman" w:hAnsi="Calibri" w:cs="Calibri"/>
          <w:color w:val="000000"/>
          <w:lang w:eastAsia="en-GB"/>
        </w:rPr>
        <w:t>“ Are there good reasons</w:t>
      </w:r>
      <w:r w:rsidR="00BB2AA3">
        <w:rPr>
          <w:rFonts w:ascii="Calibri" w:eastAsia="Times New Roman" w:hAnsi="Calibri" w:cs="Calibri"/>
          <w:color w:val="000000"/>
          <w:lang w:eastAsia="en-GB"/>
        </w:rPr>
        <w:t xml:space="preserve"> to think there is a risk?”</w:t>
      </w:r>
    </w:p>
    <w:p w14:paraId="6E372375" w14:textId="0FD06D8F" w:rsidR="00BB2AA3" w:rsidRDefault="00BB2AA3" w:rsidP="001E0A69">
      <w:pPr>
        <w:pStyle w:val="ListParagraph"/>
        <w:numPr>
          <w:ilvl w:val="0"/>
          <w:numId w:val="8"/>
        </w:numPr>
        <w:spacing w:before="100" w:beforeAutospacing="1" w:after="100" w:afterAutospacing="1" w:line="276" w:lineRule="auto"/>
        <w:rPr>
          <w:rFonts w:ascii="Calibri" w:eastAsia="Times New Roman" w:hAnsi="Calibri" w:cs="Calibri"/>
          <w:color w:val="000000"/>
          <w:lang w:eastAsia="en-GB"/>
        </w:rPr>
      </w:pPr>
      <w:r>
        <w:rPr>
          <w:rFonts w:ascii="Calibri" w:eastAsia="Times New Roman" w:hAnsi="Calibri" w:cs="Calibri"/>
          <w:color w:val="000000"/>
          <w:lang w:eastAsia="en-GB"/>
        </w:rPr>
        <w:t>“ Can the term of bail</w:t>
      </w:r>
      <w:r w:rsidR="000C0304">
        <w:rPr>
          <w:rFonts w:ascii="Calibri" w:eastAsia="Times New Roman" w:hAnsi="Calibri" w:cs="Calibri"/>
          <w:color w:val="000000"/>
          <w:lang w:eastAsia="en-GB"/>
        </w:rPr>
        <w:t xml:space="preserve"> sufficiently reduce the risk?”</w:t>
      </w:r>
    </w:p>
    <w:p w14:paraId="6A0319F2" w14:textId="5C9F5557" w:rsidR="000C0304" w:rsidRDefault="000C0304" w:rsidP="001E0A69">
      <w:pPr>
        <w:pStyle w:val="ListParagraph"/>
        <w:numPr>
          <w:ilvl w:val="0"/>
          <w:numId w:val="8"/>
        </w:numPr>
        <w:spacing w:before="100" w:beforeAutospacing="1" w:after="100" w:afterAutospacing="1" w:line="276" w:lineRule="auto"/>
        <w:rPr>
          <w:rFonts w:ascii="Calibri" w:eastAsia="Times New Roman" w:hAnsi="Calibri" w:cs="Calibri"/>
          <w:color w:val="000000"/>
          <w:lang w:eastAsia="en-GB"/>
        </w:rPr>
      </w:pPr>
      <w:r>
        <w:rPr>
          <w:rFonts w:ascii="Calibri" w:eastAsia="Times New Roman" w:hAnsi="Calibri" w:cs="Calibri"/>
          <w:color w:val="000000"/>
          <w:lang w:eastAsia="en-GB"/>
        </w:rPr>
        <w:t>“Is imprisonment appropriate and necessary?”</w:t>
      </w:r>
    </w:p>
    <w:p w14:paraId="27A12B35" w14:textId="5DBB40A3" w:rsidR="00075137" w:rsidRDefault="00D533C5" w:rsidP="001E0A69">
      <w:pPr>
        <w:pStyle w:val="ListParagraph"/>
        <w:spacing w:before="100" w:beforeAutospacing="1" w:after="100" w:afterAutospacing="1" w:line="276" w:lineRule="auto"/>
        <w:rPr>
          <w:rFonts w:ascii="Calibri" w:hAnsi="Calibri" w:cs="Calibri"/>
        </w:rPr>
      </w:pPr>
      <w:r>
        <w:rPr>
          <w:rFonts w:ascii="Calibri" w:eastAsia="Times New Roman" w:hAnsi="Calibri" w:cs="Calibri"/>
          <w:color w:val="000000"/>
          <w:lang w:eastAsia="en-GB"/>
        </w:rPr>
        <w:t>The</w:t>
      </w:r>
      <w:r w:rsidR="00026A44">
        <w:rPr>
          <w:rFonts w:ascii="Calibri" w:eastAsia="Times New Roman" w:hAnsi="Calibri" w:cs="Calibri"/>
          <w:color w:val="000000"/>
          <w:lang w:eastAsia="en-GB"/>
        </w:rPr>
        <w:t xml:space="preserve"> body of case law shapes these questions. </w:t>
      </w:r>
      <w:r w:rsidR="00F50D90" w:rsidRPr="000C0304">
        <w:rPr>
          <w:rFonts w:ascii="Calibri" w:eastAsia="Times New Roman" w:hAnsi="Calibri" w:cs="Calibri"/>
          <w:color w:val="000000"/>
          <w:lang w:eastAsia="en-GB"/>
        </w:rPr>
        <w:t>(</w:t>
      </w:r>
      <w:r w:rsidR="000F667D" w:rsidRPr="000C0304">
        <w:rPr>
          <w:rFonts w:ascii="Calibri" w:hAnsi="Calibri" w:cs="Calibri"/>
        </w:rPr>
        <w:t>legislation.gov.uk</w:t>
      </w:r>
      <w:r w:rsidR="00F50D90" w:rsidRPr="000C0304">
        <w:rPr>
          <w:rFonts w:ascii="Calibri" w:hAnsi="Calibri" w:cs="Calibri"/>
        </w:rPr>
        <w:t xml:space="preserve">, </w:t>
      </w:r>
      <w:r w:rsidR="000F667D" w:rsidRPr="000C0304">
        <w:rPr>
          <w:rFonts w:ascii="Calibri" w:hAnsi="Calibri" w:cs="Calibri"/>
        </w:rPr>
        <w:t>2010).</w:t>
      </w:r>
      <w:r>
        <w:rPr>
          <w:rFonts w:ascii="Calibri" w:hAnsi="Calibri" w:cs="Calibri"/>
        </w:rPr>
        <w:t xml:space="preserve"> </w:t>
      </w:r>
    </w:p>
    <w:p w14:paraId="28183B4A" w14:textId="77777777" w:rsidR="003007E9" w:rsidRDefault="003007E9" w:rsidP="003007E9">
      <w:pPr>
        <w:pStyle w:val="ListParagraph"/>
        <w:spacing w:before="100" w:beforeAutospacing="1" w:after="100" w:afterAutospacing="1"/>
        <w:rPr>
          <w:rFonts w:ascii="Calibri" w:hAnsi="Calibri" w:cs="Calibri"/>
        </w:rPr>
      </w:pPr>
    </w:p>
    <w:p w14:paraId="58A9C203" w14:textId="181A4962" w:rsidR="00E74098" w:rsidRDefault="006F7632" w:rsidP="001E0A69">
      <w:pPr>
        <w:pStyle w:val="ListParagraph"/>
        <w:numPr>
          <w:ilvl w:val="0"/>
          <w:numId w:val="2"/>
        </w:numPr>
        <w:spacing w:before="100" w:beforeAutospacing="1" w:after="100" w:afterAutospacing="1" w:line="276" w:lineRule="auto"/>
        <w:rPr>
          <w:rFonts w:ascii="Calibri" w:hAnsi="Calibri" w:cs="Calibri"/>
          <w:b/>
          <w:bCs/>
        </w:rPr>
      </w:pPr>
      <w:r w:rsidRPr="003007E9">
        <w:rPr>
          <w:rFonts w:ascii="Calibri" w:hAnsi="Calibri" w:cs="Calibri"/>
          <w:b/>
          <w:bCs/>
        </w:rPr>
        <w:t xml:space="preserve">Factors the Court must consider </w:t>
      </w:r>
    </w:p>
    <w:p w14:paraId="47588D27" w14:textId="5F1448CA" w:rsidR="00D14D2C" w:rsidRDefault="00D14D2C" w:rsidP="001E0A69">
      <w:pPr>
        <w:spacing w:before="100" w:beforeAutospacing="1" w:after="100" w:afterAutospacing="1" w:line="276" w:lineRule="auto"/>
        <w:rPr>
          <w:rFonts w:ascii="Calibri" w:hAnsi="Calibri" w:cs="Calibri"/>
        </w:rPr>
      </w:pPr>
      <w:r w:rsidRPr="00D14D2C">
        <w:rPr>
          <w:rFonts w:ascii="Calibri" w:hAnsi="Calibri" w:cs="Calibri"/>
        </w:rPr>
        <w:t xml:space="preserve">Schedule 1 requires the District Judge to </w:t>
      </w:r>
      <w:r w:rsidR="00AB3C01" w:rsidRPr="00D14D2C">
        <w:rPr>
          <w:rFonts w:ascii="Calibri" w:hAnsi="Calibri" w:cs="Calibri"/>
        </w:rPr>
        <w:t>consider</w:t>
      </w:r>
      <w:r w:rsidRPr="00D14D2C">
        <w:rPr>
          <w:rFonts w:ascii="Calibri" w:hAnsi="Calibri" w:cs="Calibri"/>
        </w:rPr>
        <w:t>:</w:t>
      </w:r>
    </w:p>
    <w:p w14:paraId="38C46380" w14:textId="0D6B5C7F" w:rsidR="00AB3C01" w:rsidRDefault="008B6005" w:rsidP="001E0A69">
      <w:pPr>
        <w:pStyle w:val="ListParagraph"/>
        <w:numPr>
          <w:ilvl w:val="0"/>
          <w:numId w:val="14"/>
        </w:numPr>
        <w:spacing w:before="100" w:beforeAutospacing="1" w:after="100" w:afterAutospacing="1" w:line="276" w:lineRule="auto"/>
        <w:rPr>
          <w:rFonts w:ascii="Calibri" w:hAnsi="Calibri" w:cs="Calibri"/>
        </w:rPr>
      </w:pPr>
      <w:r>
        <w:rPr>
          <w:rFonts w:ascii="Calibri" w:hAnsi="Calibri" w:cs="Calibri"/>
        </w:rPr>
        <w:t>The nature and severity of the offence.</w:t>
      </w:r>
    </w:p>
    <w:p w14:paraId="1A4E7319" w14:textId="669D2BF5" w:rsidR="008B6005" w:rsidRDefault="008B6005" w:rsidP="001E0A69">
      <w:pPr>
        <w:pStyle w:val="ListParagraph"/>
        <w:numPr>
          <w:ilvl w:val="0"/>
          <w:numId w:val="14"/>
        </w:numPr>
        <w:spacing w:before="100" w:beforeAutospacing="1" w:after="100" w:afterAutospacing="1" w:line="276" w:lineRule="auto"/>
        <w:rPr>
          <w:rFonts w:ascii="Calibri" w:hAnsi="Calibri" w:cs="Calibri"/>
        </w:rPr>
      </w:pPr>
      <w:r>
        <w:rPr>
          <w:rFonts w:ascii="Calibri" w:hAnsi="Calibri" w:cs="Calibri"/>
        </w:rPr>
        <w:t>The quality of the evidence.</w:t>
      </w:r>
    </w:p>
    <w:p w14:paraId="08A2ACE6" w14:textId="464E9B87" w:rsidR="008B6005" w:rsidRDefault="001A6699" w:rsidP="001E0A69">
      <w:pPr>
        <w:pStyle w:val="ListParagraph"/>
        <w:numPr>
          <w:ilvl w:val="0"/>
          <w:numId w:val="14"/>
        </w:numPr>
        <w:spacing w:before="100" w:beforeAutospacing="1" w:after="100" w:afterAutospacing="1" w:line="276" w:lineRule="auto"/>
        <w:rPr>
          <w:rFonts w:ascii="Calibri" w:hAnsi="Calibri" w:cs="Calibri"/>
        </w:rPr>
      </w:pPr>
      <w:r>
        <w:rPr>
          <w:rFonts w:ascii="Calibri" w:hAnsi="Calibri" w:cs="Calibri"/>
        </w:rPr>
        <w:t>Past behav</w:t>
      </w:r>
      <w:r w:rsidR="00521E5F">
        <w:rPr>
          <w:rFonts w:ascii="Calibri" w:hAnsi="Calibri" w:cs="Calibri"/>
        </w:rPr>
        <w:t>io</w:t>
      </w:r>
      <w:r w:rsidR="00147156">
        <w:rPr>
          <w:rFonts w:ascii="Calibri" w:hAnsi="Calibri" w:cs="Calibri"/>
        </w:rPr>
        <w:t>u</w:t>
      </w:r>
      <w:r w:rsidR="00521E5F">
        <w:rPr>
          <w:rFonts w:ascii="Calibri" w:hAnsi="Calibri" w:cs="Calibri"/>
        </w:rPr>
        <w:t xml:space="preserve">rs, particularly any history </w:t>
      </w:r>
      <w:r w:rsidR="00147156">
        <w:rPr>
          <w:rFonts w:ascii="Calibri" w:hAnsi="Calibri" w:cs="Calibri"/>
        </w:rPr>
        <w:t>of violence or intimidation.</w:t>
      </w:r>
    </w:p>
    <w:p w14:paraId="3EC4F89F" w14:textId="1F81E3A2" w:rsidR="00147156" w:rsidRDefault="00147156" w:rsidP="001E0A69">
      <w:pPr>
        <w:pStyle w:val="ListParagraph"/>
        <w:numPr>
          <w:ilvl w:val="0"/>
          <w:numId w:val="14"/>
        </w:numPr>
        <w:spacing w:before="100" w:beforeAutospacing="1" w:after="100" w:afterAutospacing="1" w:line="276" w:lineRule="auto"/>
        <w:rPr>
          <w:rFonts w:ascii="Calibri" w:hAnsi="Calibri" w:cs="Calibri"/>
        </w:rPr>
      </w:pPr>
      <w:r>
        <w:rPr>
          <w:rFonts w:ascii="Calibri" w:hAnsi="Calibri" w:cs="Calibri"/>
        </w:rPr>
        <w:t>Character, background, community ties, and record of bail compliance.</w:t>
      </w:r>
    </w:p>
    <w:p w14:paraId="64BAA8E1" w14:textId="20B180E8" w:rsidR="00147156" w:rsidRDefault="00147156" w:rsidP="001E0A69">
      <w:pPr>
        <w:pStyle w:val="ListParagraph"/>
        <w:spacing w:before="100" w:beforeAutospacing="1" w:after="100" w:afterAutospacing="1" w:line="276" w:lineRule="auto"/>
        <w:rPr>
          <w:rFonts w:ascii="Calibri" w:hAnsi="Calibri" w:cs="Calibri"/>
        </w:rPr>
      </w:pPr>
      <w:r>
        <w:rPr>
          <w:rFonts w:ascii="Calibri" w:hAnsi="Calibri" w:cs="Calibri"/>
        </w:rPr>
        <w:t>(legislation.gov.uk</w:t>
      </w:r>
      <w:r w:rsidR="009B69C0">
        <w:rPr>
          <w:rFonts w:ascii="Calibri" w:hAnsi="Calibri" w:cs="Calibri"/>
        </w:rPr>
        <w:t>, 2010).</w:t>
      </w:r>
    </w:p>
    <w:p w14:paraId="2537B9D5" w14:textId="396916AC" w:rsidR="009A056C" w:rsidRDefault="00E26D64" w:rsidP="001E0A69">
      <w:pPr>
        <w:spacing w:before="100" w:beforeAutospacing="1" w:after="100" w:afterAutospacing="1" w:line="276" w:lineRule="auto"/>
        <w:rPr>
          <w:rFonts w:ascii="Calibri" w:hAnsi="Calibri" w:cs="Calibri"/>
        </w:rPr>
      </w:pPr>
      <w:r>
        <w:rPr>
          <w:rFonts w:ascii="Calibri" w:hAnsi="Calibri" w:cs="Calibri"/>
        </w:rPr>
        <w:t xml:space="preserve">In R v Nottingham Justice ex p Davies (1981), the House of Lords ruled that risk assessments must be based on factual evidence rather than </w:t>
      </w:r>
      <w:r w:rsidR="00CE1662">
        <w:rPr>
          <w:rFonts w:ascii="Calibri" w:hAnsi="Calibri" w:cs="Calibri"/>
        </w:rPr>
        <w:t xml:space="preserve">conjecture. Bail cannot be denied by </w:t>
      </w:r>
      <w:r w:rsidR="005476E0">
        <w:rPr>
          <w:rFonts w:ascii="Calibri" w:hAnsi="Calibri" w:cs="Calibri"/>
        </w:rPr>
        <w:t xml:space="preserve">a </w:t>
      </w:r>
      <w:r w:rsidR="00CE1662">
        <w:rPr>
          <w:rFonts w:ascii="Calibri" w:hAnsi="Calibri" w:cs="Calibri"/>
        </w:rPr>
        <w:t xml:space="preserve">judge based just on speculation. </w:t>
      </w:r>
      <w:r w:rsidR="005476E0">
        <w:rPr>
          <w:rFonts w:ascii="Calibri" w:hAnsi="Calibri" w:cs="Calibri"/>
        </w:rPr>
        <w:t>(pso.gov, 2025)</w:t>
      </w:r>
      <w:r w:rsidR="00AF758A">
        <w:rPr>
          <w:rFonts w:ascii="Calibri" w:hAnsi="Calibri" w:cs="Calibri"/>
        </w:rPr>
        <w:t>.</w:t>
      </w:r>
    </w:p>
    <w:p w14:paraId="650ABBB0" w14:textId="5F3618FA" w:rsidR="00465CBF" w:rsidRDefault="00465CBF" w:rsidP="001E0A69">
      <w:pPr>
        <w:spacing w:before="100" w:beforeAutospacing="1" w:after="100" w:afterAutospacing="1" w:line="276" w:lineRule="auto"/>
        <w:rPr>
          <w:rFonts w:ascii="Calibri" w:hAnsi="Calibri" w:cs="Calibri"/>
        </w:rPr>
      </w:pPr>
      <w:r>
        <w:rPr>
          <w:rFonts w:ascii="Calibri" w:hAnsi="Calibri" w:cs="Calibri"/>
        </w:rPr>
        <w:t xml:space="preserve">The </w:t>
      </w:r>
      <w:r w:rsidR="00090BE2">
        <w:rPr>
          <w:rFonts w:ascii="Calibri" w:hAnsi="Calibri" w:cs="Calibri"/>
        </w:rPr>
        <w:t>court ruled in Re Moles (1981)</w:t>
      </w:r>
      <w:r w:rsidR="00550EB9">
        <w:rPr>
          <w:rFonts w:ascii="Calibri" w:hAnsi="Calibri" w:cs="Calibri"/>
        </w:rPr>
        <w:t xml:space="preserve"> that prior conviction</w:t>
      </w:r>
      <w:r w:rsidR="00AF758A">
        <w:rPr>
          <w:rFonts w:ascii="Calibri" w:hAnsi="Calibri" w:cs="Calibri"/>
        </w:rPr>
        <w:t>s</w:t>
      </w:r>
      <w:r w:rsidR="00550EB9">
        <w:rPr>
          <w:rFonts w:ascii="Calibri" w:hAnsi="Calibri" w:cs="Calibri"/>
        </w:rPr>
        <w:t xml:space="preserve"> are less significant, especially in cases where there is clear evidence of rehabili</w:t>
      </w:r>
      <w:r w:rsidR="00AF758A">
        <w:rPr>
          <w:rFonts w:ascii="Calibri" w:hAnsi="Calibri" w:cs="Calibri"/>
        </w:rPr>
        <w:t>tation. (legislation.gov.uk, 2025).</w:t>
      </w:r>
    </w:p>
    <w:p w14:paraId="7CA4A2BB" w14:textId="3463B393" w:rsidR="002D6821" w:rsidRDefault="002D6821" w:rsidP="001E0A69">
      <w:pPr>
        <w:spacing w:before="100" w:beforeAutospacing="1" w:after="100" w:afterAutospacing="1" w:line="276" w:lineRule="auto"/>
        <w:rPr>
          <w:rFonts w:ascii="Calibri" w:hAnsi="Calibri" w:cs="Calibri"/>
        </w:rPr>
      </w:pPr>
      <w:r>
        <w:rPr>
          <w:rFonts w:ascii="Calibri" w:hAnsi="Calibri" w:cs="Calibri"/>
        </w:rPr>
        <w:t xml:space="preserve">Additionally, conditional bail must be </w:t>
      </w:r>
      <w:r w:rsidR="00DB501C">
        <w:rPr>
          <w:rFonts w:ascii="Calibri" w:hAnsi="Calibri" w:cs="Calibri"/>
        </w:rPr>
        <w:t>considered</w:t>
      </w:r>
      <w:r>
        <w:rPr>
          <w:rFonts w:ascii="Calibri" w:hAnsi="Calibri" w:cs="Calibri"/>
        </w:rPr>
        <w:t xml:space="preserve"> before being placed under custody</w:t>
      </w:r>
      <w:r w:rsidR="00DB501C">
        <w:rPr>
          <w:rFonts w:ascii="Calibri" w:hAnsi="Calibri" w:cs="Calibri"/>
        </w:rPr>
        <w:t>.</w:t>
      </w:r>
      <w:r w:rsidR="000D55DD">
        <w:rPr>
          <w:rFonts w:ascii="Calibri" w:hAnsi="Calibri" w:cs="Calibri"/>
        </w:rPr>
        <w:t xml:space="preserve"> </w:t>
      </w:r>
      <w:r w:rsidR="00DB501C">
        <w:rPr>
          <w:rFonts w:ascii="Calibri" w:hAnsi="Calibri" w:cs="Calibri"/>
        </w:rPr>
        <w:t>T</w:t>
      </w:r>
      <w:r w:rsidR="000D55DD">
        <w:rPr>
          <w:rFonts w:ascii="Calibri" w:hAnsi="Calibri" w:cs="Calibri"/>
        </w:rPr>
        <w:t>he High Court ruled in R v Metropol</w:t>
      </w:r>
      <w:r w:rsidR="003B0D4D">
        <w:rPr>
          <w:rFonts w:ascii="Calibri" w:hAnsi="Calibri" w:cs="Calibri"/>
        </w:rPr>
        <w:t xml:space="preserve">itan Police Commissioner ex p Robinson (1986) that it is a legal mistake to neglect to take </w:t>
      </w:r>
      <w:r w:rsidR="00C82560">
        <w:rPr>
          <w:rFonts w:ascii="Calibri" w:hAnsi="Calibri" w:cs="Calibri"/>
        </w:rPr>
        <w:t xml:space="preserve">the </w:t>
      </w:r>
      <w:r w:rsidR="00DB501C">
        <w:rPr>
          <w:rFonts w:ascii="Calibri" w:hAnsi="Calibri" w:cs="Calibri"/>
        </w:rPr>
        <w:t>bail</w:t>
      </w:r>
      <w:r w:rsidR="003B0D4D">
        <w:rPr>
          <w:rFonts w:ascii="Calibri" w:hAnsi="Calibri" w:cs="Calibri"/>
        </w:rPr>
        <w:t xml:space="preserve"> alternative into account.</w:t>
      </w:r>
      <w:r w:rsidR="00DB501C">
        <w:rPr>
          <w:rFonts w:ascii="Calibri" w:hAnsi="Calibri" w:cs="Calibri"/>
        </w:rPr>
        <w:t xml:space="preserve"> (parliament.uk, 2025).</w:t>
      </w:r>
    </w:p>
    <w:p w14:paraId="3A17352D" w14:textId="176101F7" w:rsidR="00D32076" w:rsidRDefault="00D32076" w:rsidP="001E0A69">
      <w:pPr>
        <w:spacing w:before="100" w:beforeAutospacing="1" w:after="100" w:afterAutospacing="1" w:line="276" w:lineRule="auto"/>
        <w:rPr>
          <w:rFonts w:ascii="Calibri" w:hAnsi="Calibri" w:cs="Calibri"/>
          <w:b/>
          <w:bCs/>
          <w:sz w:val="28"/>
          <w:szCs w:val="28"/>
        </w:rPr>
      </w:pPr>
      <w:r w:rsidRPr="00D32076">
        <w:rPr>
          <w:rFonts w:ascii="Calibri" w:hAnsi="Calibri" w:cs="Calibri"/>
          <w:b/>
          <w:bCs/>
          <w:sz w:val="28"/>
          <w:szCs w:val="28"/>
        </w:rPr>
        <w:t>Application of Law to the Facts of Jeremy Hope</w:t>
      </w:r>
    </w:p>
    <w:p w14:paraId="199EB41A" w14:textId="4684B675" w:rsidR="00D32076" w:rsidRDefault="00D32076" w:rsidP="001E0A69">
      <w:pPr>
        <w:spacing w:before="100" w:beforeAutospacing="1" w:after="100" w:afterAutospacing="1" w:line="276" w:lineRule="auto"/>
        <w:rPr>
          <w:rFonts w:ascii="Calibri" w:hAnsi="Calibri" w:cs="Calibri"/>
        </w:rPr>
      </w:pPr>
      <w:r w:rsidRPr="006445CA">
        <w:rPr>
          <w:rFonts w:ascii="Calibri" w:hAnsi="Calibri" w:cs="Calibri"/>
        </w:rPr>
        <w:t xml:space="preserve">This part applies case principles and the </w:t>
      </w:r>
      <w:r w:rsidR="006445CA" w:rsidRPr="006445CA">
        <w:rPr>
          <w:rFonts w:ascii="Calibri" w:hAnsi="Calibri" w:cs="Calibri"/>
        </w:rPr>
        <w:t>legislative framework to the defendant’s situation.</w:t>
      </w:r>
    </w:p>
    <w:p w14:paraId="1D7207E5" w14:textId="0F653763" w:rsidR="00877E3D" w:rsidRPr="00877E3D" w:rsidRDefault="00210FCD" w:rsidP="001E0A69">
      <w:pPr>
        <w:pStyle w:val="ListParagraph"/>
        <w:numPr>
          <w:ilvl w:val="0"/>
          <w:numId w:val="2"/>
        </w:numPr>
        <w:spacing w:before="100" w:beforeAutospacing="1" w:after="100" w:afterAutospacing="1" w:line="276" w:lineRule="auto"/>
        <w:rPr>
          <w:rFonts w:ascii="Calibri" w:hAnsi="Calibri" w:cs="Calibri"/>
          <w:b/>
          <w:bCs/>
        </w:rPr>
      </w:pPr>
      <w:r w:rsidRPr="00210FCD">
        <w:rPr>
          <w:rFonts w:ascii="Calibri" w:hAnsi="Calibri" w:cs="Calibri"/>
          <w:b/>
          <w:bCs/>
        </w:rPr>
        <w:t xml:space="preserve">Alleged offence – Context </w:t>
      </w:r>
    </w:p>
    <w:p w14:paraId="69F21B9D" w14:textId="310AFD6A" w:rsidR="00877E3D" w:rsidRDefault="00877E3D" w:rsidP="001E0A69">
      <w:pPr>
        <w:spacing w:before="100" w:beforeAutospacing="1" w:after="100" w:afterAutospacing="1" w:line="276" w:lineRule="auto"/>
        <w:rPr>
          <w:rFonts w:ascii="Calibri" w:hAnsi="Calibri" w:cs="Calibri"/>
        </w:rPr>
      </w:pPr>
      <w:r w:rsidRPr="007B3E62">
        <w:rPr>
          <w:rFonts w:ascii="Calibri" w:hAnsi="Calibri" w:cs="Calibri"/>
        </w:rPr>
        <w:lastRenderedPageBreak/>
        <w:t xml:space="preserve">Mr Hope is accused </w:t>
      </w:r>
      <w:r w:rsidR="007B3E62" w:rsidRPr="007B3E62">
        <w:rPr>
          <w:rFonts w:ascii="Calibri" w:hAnsi="Calibri" w:cs="Calibri"/>
        </w:rPr>
        <w:t>of</w:t>
      </w:r>
      <w:r w:rsidRPr="007B3E62">
        <w:rPr>
          <w:rFonts w:ascii="Calibri" w:hAnsi="Calibri" w:cs="Calibri"/>
        </w:rPr>
        <w:t xml:space="preserve"> assault causing Actual Bodily Harm, which is under </w:t>
      </w:r>
      <w:r w:rsidR="007B3E62" w:rsidRPr="007B3E62">
        <w:rPr>
          <w:rFonts w:ascii="Calibri" w:hAnsi="Calibri" w:cs="Calibri"/>
        </w:rPr>
        <w:t xml:space="preserve">the </w:t>
      </w:r>
      <w:r w:rsidR="005B7B1E" w:rsidRPr="007B3E62">
        <w:rPr>
          <w:rFonts w:ascii="Calibri" w:hAnsi="Calibri" w:cs="Calibri"/>
        </w:rPr>
        <w:t>Offences Against</w:t>
      </w:r>
      <w:r w:rsidR="00006AE3" w:rsidRPr="007B3E62">
        <w:rPr>
          <w:rFonts w:ascii="Calibri" w:hAnsi="Calibri" w:cs="Calibri"/>
        </w:rPr>
        <w:t xml:space="preserve"> the Person </w:t>
      </w:r>
      <w:r w:rsidR="007B3E62" w:rsidRPr="007B3E62">
        <w:rPr>
          <w:rFonts w:ascii="Calibri" w:hAnsi="Calibri" w:cs="Calibri"/>
        </w:rPr>
        <w:t>Act 1861 s.47.</w:t>
      </w:r>
    </w:p>
    <w:p w14:paraId="2FC3D5E3" w14:textId="77B6AF70" w:rsidR="00CE3125" w:rsidRDefault="00CE3125" w:rsidP="001E0A69">
      <w:pPr>
        <w:spacing w:before="100" w:beforeAutospacing="1" w:after="100" w:afterAutospacing="1" w:line="276" w:lineRule="auto"/>
        <w:rPr>
          <w:rFonts w:ascii="Calibri" w:hAnsi="Calibri" w:cs="Calibri"/>
        </w:rPr>
      </w:pPr>
      <w:r>
        <w:rPr>
          <w:rFonts w:ascii="Calibri" w:hAnsi="Calibri" w:cs="Calibri"/>
        </w:rPr>
        <w:t>Relevant facts:</w:t>
      </w:r>
    </w:p>
    <w:p w14:paraId="055FCE13" w14:textId="37FD01FA" w:rsidR="00B43D9B" w:rsidRDefault="00BA0E43" w:rsidP="001E0A69">
      <w:pPr>
        <w:pStyle w:val="ListParagraph"/>
        <w:numPr>
          <w:ilvl w:val="0"/>
          <w:numId w:val="16"/>
        </w:numPr>
        <w:spacing w:before="100" w:beforeAutospacing="1" w:after="100" w:afterAutospacing="1" w:line="276" w:lineRule="auto"/>
        <w:rPr>
          <w:rFonts w:ascii="Calibri" w:hAnsi="Calibri" w:cs="Calibri"/>
        </w:rPr>
      </w:pPr>
      <w:r>
        <w:rPr>
          <w:rFonts w:ascii="Calibri" w:hAnsi="Calibri" w:cs="Calibri"/>
        </w:rPr>
        <w:t xml:space="preserve">The incident </w:t>
      </w:r>
      <w:r w:rsidR="00F961A6">
        <w:rPr>
          <w:rFonts w:ascii="Calibri" w:hAnsi="Calibri" w:cs="Calibri"/>
        </w:rPr>
        <w:t>happened at Newton Park during a protest</w:t>
      </w:r>
      <w:r w:rsidR="00214AB7">
        <w:rPr>
          <w:rFonts w:ascii="Calibri" w:hAnsi="Calibri" w:cs="Calibri"/>
        </w:rPr>
        <w:t>.</w:t>
      </w:r>
    </w:p>
    <w:p w14:paraId="16A8AD50" w14:textId="76793488" w:rsidR="00214AB7" w:rsidRDefault="00214AB7" w:rsidP="001E0A69">
      <w:pPr>
        <w:pStyle w:val="ListParagraph"/>
        <w:numPr>
          <w:ilvl w:val="0"/>
          <w:numId w:val="16"/>
        </w:numPr>
        <w:spacing w:before="100" w:beforeAutospacing="1" w:after="100" w:afterAutospacing="1" w:line="276" w:lineRule="auto"/>
        <w:rPr>
          <w:rFonts w:ascii="Calibri" w:hAnsi="Calibri" w:cs="Calibri"/>
        </w:rPr>
      </w:pPr>
      <w:r>
        <w:rPr>
          <w:rFonts w:ascii="Calibri" w:hAnsi="Calibri" w:cs="Calibri"/>
        </w:rPr>
        <w:t xml:space="preserve">The complainant </w:t>
      </w:r>
      <w:r w:rsidR="00AB2B58">
        <w:rPr>
          <w:rFonts w:ascii="Calibri" w:hAnsi="Calibri" w:cs="Calibri"/>
        </w:rPr>
        <w:t xml:space="preserve">claims they were hit and left </w:t>
      </w:r>
      <w:r w:rsidR="00406A87">
        <w:rPr>
          <w:rFonts w:ascii="Calibri" w:hAnsi="Calibri" w:cs="Calibri"/>
        </w:rPr>
        <w:t>unconscious.</w:t>
      </w:r>
    </w:p>
    <w:p w14:paraId="68C19C7A" w14:textId="09FA8CF8" w:rsidR="00406A87" w:rsidRDefault="00406A87" w:rsidP="001E0A69">
      <w:pPr>
        <w:pStyle w:val="ListParagraph"/>
        <w:numPr>
          <w:ilvl w:val="0"/>
          <w:numId w:val="16"/>
        </w:numPr>
        <w:spacing w:before="100" w:beforeAutospacing="1" w:after="100" w:afterAutospacing="1" w:line="276" w:lineRule="auto"/>
        <w:rPr>
          <w:rFonts w:ascii="Calibri" w:hAnsi="Calibri" w:cs="Calibri"/>
        </w:rPr>
      </w:pPr>
      <w:r>
        <w:rPr>
          <w:rFonts w:ascii="Calibri" w:hAnsi="Calibri" w:cs="Calibri"/>
        </w:rPr>
        <w:t>Although the defendant acknowledged be</w:t>
      </w:r>
      <w:r w:rsidR="00675EDB">
        <w:rPr>
          <w:rFonts w:ascii="Calibri" w:hAnsi="Calibri" w:cs="Calibri"/>
        </w:rPr>
        <w:t>ing there, he denied ass</w:t>
      </w:r>
      <w:r w:rsidR="00C15A88">
        <w:rPr>
          <w:rFonts w:ascii="Calibri" w:hAnsi="Calibri" w:cs="Calibri"/>
        </w:rPr>
        <w:t>a</w:t>
      </w:r>
      <w:r w:rsidR="00675EDB">
        <w:rPr>
          <w:rFonts w:ascii="Calibri" w:hAnsi="Calibri" w:cs="Calibri"/>
        </w:rPr>
        <w:t>ult and provided a different justification</w:t>
      </w:r>
      <w:r w:rsidR="00883630">
        <w:rPr>
          <w:rFonts w:ascii="Calibri" w:hAnsi="Calibri" w:cs="Calibri"/>
        </w:rPr>
        <w:t>.</w:t>
      </w:r>
    </w:p>
    <w:p w14:paraId="271C6FD8" w14:textId="53D3BF5B" w:rsidR="00883630" w:rsidRDefault="00883630" w:rsidP="001E0A69">
      <w:pPr>
        <w:pStyle w:val="ListParagraph"/>
        <w:numPr>
          <w:ilvl w:val="0"/>
          <w:numId w:val="16"/>
        </w:numPr>
        <w:spacing w:before="100" w:beforeAutospacing="1" w:after="100" w:afterAutospacing="1" w:line="276" w:lineRule="auto"/>
        <w:rPr>
          <w:rFonts w:ascii="Calibri" w:hAnsi="Calibri" w:cs="Calibri"/>
        </w:rPr>
      </w:pPr>
      <w:r>
        <w:rPr>
          <w:rFonts w:ascii="Calibri" w:hAnsi="Calibri" w:cs="Calibri"/>
        </w:rPr>
        <w:t>There was little evidence to back up, no independent witness, no CCTV in the park</w:t>
      </w:r>
      <w:r w:rsidR="006B0779">
        <w:rPr>
          <w:rFonts w:ascii="Calibri" w:hAnsi="Calibri" w:cs="Calibri"/>
        </w:rPr>
        <w:t xml:space="preserve"> and a chaotic</w:t>
      </w:r>
      <w:r w:rsidR="00C15A88">
        <w:rPr>
          <w:rFonts w:ascii="Calibri" w:hAnsi="Calibri" w:cs="Calibri"/>
        </w:rPr>
        <w:t xml:space="preserve"> scene.</w:t>
      </w:r>
    </w:p>
    <w:p w14:paraId="0DF1CE20" w14:textId="441A2243" w:rsidR="00653FB2" w:rsidRDefault="00C15A88" w:rsidP="001E0A69">
      <w:pPr>
        <w:pStyle w:val="ListParagraph"/>
        <w:numPr>
          <w:ilvl w:val="0"/>
          <w:numId w:val="16"/>
        </w:numPr>
        <w:spacing w:before="100" w:beforeAutospacing="1" w:after="100" w:afterAutospacing="1" w:line="276" w:lineRule="auto"/>
        <w:rPr>
          <w:rFonts w:ascii="Calibri" w:hAnsi="Calibri" w:cs="Calibri"/>
        </w:rPr>
      </w:pPr>
      <w:r>
        <w:rPr>
          <w:rFonts w:ascii="Calibri" w:hAnsi="Calibri" w:cs="Calibri"/>
        </w:rPr>
        <w:t xml:space="preserve">One piece of identification </w:t>
      </w:r>
      <w:r w:rsidR="00126FC9">
        <w:rPr>
          <w:rFonts w:ascii="Calibri" w:hAnsi="Calibri" w:cs="Calibri"/>
        </w:rPr>
        <w:t>foun</w:t>
      </w:r>
      <w:r>
        <w:rPr>
          <w:rFonts w:ascii="Calibri" w:hAnsi="Calibri" w:cs="Calibri"/>
        </w:rPr>
        <w:t>d at the scene was the defendant’s work ID.</w:t>
      </w:r>
    </w:p>
    <w:p w14:paraId="0D3A2585" w14:textId="25285A25" w:rsidR="00653FB2" w:rsidRDefault="00653FB2" w:rsidP="001E0A69">
      <w:pPr>
        <w:spacing w:before="100" w:beforeAutospacing="1" w:after="100" w:afterAutospacing="1" w:line="276" w:lineRule="auto"/>
        <w:rPr>
          <w:rFonts w:ascii="Calibri" w:hAnsi="Calibri" w:cs="Calibri"/>
        </w:rPr>
      </w:pPr>
      <w:r>
        <w:rPr>
          <w:rFonts w:ascii="Calibri" w:hAnsi="Calibri" w:cs="Calibri"/>
        </w:rPr>
        <w:t>The offen</w:t>
      </w:r>
      <w:r w:rsidR="00C058B7">
        <w:rPr>
          <w:rFonts w:ascii="Calibri" w:hAnsi="Calibri" w:cs="Calibri"/>
        </w:rPr>
        <w:t>c</w:t>
      </w:r>
      <w:r>
        <w:rPr>
          <w:rFonts w:ascii="Calibri" w:hAnsi="Calibri" w:cs="Calibri"/>
        </w:rPr>
        <w:t>e’s nature and severity</w:t>
      </w:r>
      <w:r w:rsidR="00C058B7">
        <w:rPr>
          <w:rFonts w:ascii="Calibri" w:hAnsi="Calibri" w:cs="Calibri"/>
        </w:rPr>
        <w:t xml:space="preserve"> are moderate; ABH is not at the top of</w:t>
      </w:r>
      <w:r w:rsidR="00E7280A">
        <w:rPr>
          <w:rFonts w:ascii="Calibri" w:hAnsi="Calibri" w:cs="Calibri"/>
        </w:rPr>
        <w:t xml:space="preserve"> the vio</w:t>
      </w:r>
      <w:r w:rsidR="00223073">
        <w:rPr>
          <w:rFonts w:ascii="Calibri" w:hAnsi="Calibri" w:cs="Calibri"/>
        </w:rPr>
        <w:t>lent crime range, but it is triable in any case and carries a possi</w:t>
      </w:r>
      <w:r w:rsidR="00C46743">
        <w:rPr>
          <w:rFonts w:ascii="Calibri" w:hAnsi="Calibri" w:cs="Calibri"/>
        </w:rPr>
        <w:t>ble jail sentence. (Duckworth</w:t>
      </w:r>
      <w:r w:rsidR="004709FE">
        <w:rPr>
          <w:rFonts w:ascii="Calibri" w:hAnsi="Calibri" w:cs="Calibri"/>
        </w:rPr>
        <w:t>,2022).</w:t>
      </w:r>
    </w:p>
    <w:p w14:paraId="55083EAD" w14:textId="399329DE" w:rsidR="00185928" w:rsidRDefault="0000495C" w:rsidP="001E0A69">
      <w:pPr>
        <w:pStyle w:val="ListParagraph"/>
        <w:numPr>
          <w:ilvl w:val="0"/>
          <w:numId w:val="2"/>
        </w:numPr>
        <w:spacing w:before="100" w:beforeAutospacing="1" w:after="100" w:afterAutospacing="1" w:line="276" w:lineRule="auto"/>
        <w:rPr>
          <w:rFonts w:ascii="Calibri" w:hAnsi="Calibri" w:cs="Calibri"/>
          <w:b/>
          <w:bCs/>
        </w:rPr>
      </w:pPr>
      <w:r w:rsidRPr="0005241A">
        <w:rPr>
          <w:rFonts w:ascii="Calibri" w:hAnsi="Calibri" w:cs="Calibri"/>
          <w:b/>
          <w:bCs/>
        </w:rPr>
        <w:t xml:space="preserve">Analysis of </w:t>
      </w:r>
      <w:r w:rsidR="0005241A" w:rsidRPr="0005241A">
        <w:rPr>
          <w:rFonts w:ascii="Calibri" w:hAnsi="Calibri" w:cs="Calibri"/>
          <w:b/>
          <w:bCs/>
        </w:rPr>
        <w:t xml:space="preserve">the </w:t>
      </w:r>
      <w:r w:rsidRPr="0005241A">
        <w:rPr>
          <w:rFonts w:ascii="Calibri" w:hAnsi="Calibri" w:cs="Calibri"/>
          <w:b/>
          <w:bCs/>
        </w:rPr>
        <w:t>prosecution</w:t>
      </w:r>
      <w:r w:rsidR="0005241A">
        <w:rPr>
          <w:rFonts w:ascii="Calibri" w:hAnsi="Calibri" w:cs="Calibri"/>
          <w:b/>
          <w:bCs/>
        </w:rPr>
        <w:t>’s</w:t>
      </w:r>
      <w:r w:rsidRPr="0005241A">
        <w:rPr>
          <w:rFonts w:ascii="Calibri" w:hAnsi="Calibri" w:cs="Calibri"/>
          <w:b/>
          <w:bCs/>
        </w:rPr>
        <w:t xml:space="preserve"> objection</w:t>
      </w:r>
      <w:r w:rsidR="0005241A">
        <w:rPr>
          <w:rFonts w:ascii="Calibri" w:hAnsi="Calibri" w:cs="Calibri"/>
          <w:b/>
          <w:bCs/>
        </w:rPr>
        <w:t>s</w:t>
      </w:r>
    </w:p>
    <w:p w14:paraId="7AE88AE4" w14:textId="68449446" w:rsidR="0072413E" w:rsidRDefault="00975EE9" w:rsidP="001E0A69">
      <w:pPr>
        <w:pStyle w:val="ListParagraph"/>
        <w:numPr>
          <w:ilvl w:val="1"/>
          <w:numId w:val="2"/>
        </w:numPr>
        <w:spacing w:before="100" w:beforeAutospacing="1" w:after="100" w:afterAutospacing="1" w:line="276" w:lineRule="auto"/>
        <w:rPr>
          <w:rFonts w:ascii="Calibri" w:hAnsi="Calibri" w:cs="Calibri"/>
          <w:b/>
          <w:bCs/>
        </w:rPr>
      </w:pPr>
      <w:r>
        <w:rPr>
          <w:rFonts w:ascii="Calibri" w:hAnsi="Calibri" w:cs="Calibri"/>
          <w:b/>
          <w:bCs/>
        </w:rPr>
        <w:t xml:space="preserve">Risk </w:t>
      </w:r>
      <w:r w:rsidR="00F13B79">
        <w:rPr>
          <w:rFonts w:ascii="Calibri" w:hAnsi="Calibri" w:cs="Calibri"/>
          <w:b/>
          <w:bCs/>
        </w:rPr>
        <w:t>of Failing to Surrender (FTS)</w:t>
      </w:r>
    </w:p>
    <w:p w14:paraId="65A23262" w14:textId="77777777" w:rsidR="00A1355C" w:rsidRPr="005A4D9B" w:rsidRDefault="00A1355C" w:rsidP="001E0A69">
      <w:pPr>
        <w:spacing w:before="100" w:beforeAutospacing="1" w:after="100" w:afterAutospacing="1" w:line="276" w:lineRule="auto"/>
        <w:rPr>
          <w:rFonts w:ascii="Calibri" w:hAnsi="Calibri" w:cs="Calibri"/>
        </w:rPr>
      </w:pPr>
      <w:r>
        <w:rPr>
          <w:rFonts w:ascii="Calibri" w:hAnsi="Calibri" w:cs="Calibri"/>
        </w:rPr>
        <w:t xml:space="preserve">, </w:t>
      </w:r>
      <w:r w:rsidRPr="005A4D9B">
        <w:rPr>
          <w:rFonts w:ascii="Calibri" w:hAnsi="Calibri" w:cs="Calibri"/>
        </w:rPr>
        <w:t>The prosecution might depend on:</w:t>
      </w:r>
    </w:p>
    <w:p w14:paraId="1A73D5C3" w14:textId="77777777" w:rsidR="00A1355C" w:rsidRDefault="00A1355C" w:rsidP="001E0A69">
      <w:pPr>
        <w:pStyle w:val="ListParagraph"/>
        <w:numPr>
          <w:ilvl w:val="0"/>
          <w:numId w:val="22"/>
        </w:numPr>
        <w:spacing w:before="100" w:beforeAutospacing="1" w:after="100" w:afterAutospacing="1" w:line="276" w:lineRule="auto"/>
        <w:rPr>
          <w:rFonts w:ascii="Calibri" w:hAnsi="Calibri" w:cs="Calibri"/>
        </w:rPr>
      </w:pPr>
      <w:r>
        <w:rPr>
          <w:rFonts w:ascii="Calibri" w:hAnsi="Calibri" w:cs="Calibri"/>
        </w:rPr>
        <w:t>One failing to surrender in 2020, which was five years ago.</w:t>
      </w:r>
    </w:p>
    <w:p w14:paraId="68DC4C7D" w14:textId="77777777" w:rsidR="00A1355C" w:rsidRDefault="00A1355C" w:rsidP="001E0A69">
      <w:pPr>
        <w:spacing w:before="100" w:beforeAutospacing="1" w:after="100" w:afterAutospacing="1" w:line="276" w:lineRule="auto"/>
        <w:rPr>
          <w:rFonts w:ascii="Calibri" w:hAnsi="Calibri" w:cs="Calibri"/>
        </w:rPr>
      </w:pPr>
      <w:r>
        <w:rPr>
          <w:rFonts w:ascii="Calibri" w:hAnsi="Calibri" w:cs="Calibri"/>
        </w:rPr>
        <w:t>However:</w:t>
      </w:r>
    </w:p>
    <w:p w14:paraId="666F4F85" w14:textId="77777777" w:rsidR="00A1355C" w:rsidRDefault="00A1355C" w:rsidP="001E0A69">
      <w:pPr>
        <w:pStyle w:val="ListParagraph"/>
        <w:numPr>
          <w:ilvl w:val="0"/>
          <w:numId w:val="22"/>
        </w:numPr>
        <w:spacing w:before="100" w:beforeAutospacing="1" w:after="100" w:afterAutospacing="1" w:line="276" w:lineRule="auto"/>
        <w:rPr>
          <w:rFonts w:ascii="Calibri" w:hAnsi="Calibri" w:cs="Calibri"/>
        </w:rPr>
      </w:pPr>
      <w:r>
        <w:rPr>
          <w:rFonts w:ascii="Calibri" w:hAnsi="Calibri" w:cs="Calibri"/>
        </w:rPr>
        <w:t>The court accepted the reason (hospital attendance following an accident).</w:t>
      </w:r>
    </w:p>
    <w:p w14:paraId="574A81AC" w14:textId="77777777" w:rsidR="00A1355C" w:rsidRDefault="00A1355C" w:rsidP="001E0A69">
      <w:pPr>
        <w:pStyle w:val="ListParagraph"/>
        <w:numPr>
          <w:ilvl w:val="0"/>
          <w:numId w:val="22"/>
        </w:numPr>
        <w:spacing w:before="100" w:beforeAutospacing="1" w:after="100" w:afterAutospacing="1" w:line="276" w:lineRule="auto"/>
        <w:rPr>
          <w:rFonts w:ascii="Calibri" w:hAnsi="Calibri" w:cs="Calibri"/>
        </w:rPr>
      </w:pPr>
      <w:r>
        <w:rPr>
          <w:rFonts w:ascii="Calibri" w:hAnsi="Calibri" w:cs="Calibri"/>
        </w:rPr>
        <w:t>For five years, there has not been another case of failing to surrender.</w:t>
      </w:r>
    </w:p>
    <w:p w14:paraId="605D93F3" w14:textId="77777777" w:rsidR="00A1355C" w:rsidRDefault="00A1355C" w:rsidP="001E0A69">
      <w:pPr>
        <w:pStyle w:val="ListParagraph"/>
        <w:numPr>
          <w:ilvl w:val="0"/>
          <w:numId w:val="22"/>
        </w:numPr>
        <w:spacing w:before="100" w:beforeAutospacing="1" w:after="100" w:afterAutospacing="1" w:line="276" w:lineRule="auto"/>
        <w:rPr>
          <w:rFonts w:ascii="Calibri" w:hAnsi="Calibri" w:cs="Calibri"/>
        </w:rPr>
      </w:pPr>
      <w:r>
        <w:rPr>
          <w:rFonts w:ascii="Calibri" w:hAnsi="Calibri" w:cs="Calibri"/>
        </w:rPr>
        <w:t>The defendant is well-connected to the community:</w:t>
      </w:r>
    </w:p>
    <w:p w14:paraId="0101C3C6" w14:textId="77777777" w:rsidR="00A1355C" w:rsidRDefault="00A1355C" w:rsidP="001E0A69">
      <w:pPr>
        <w:pStyle w:val="ListParagraph"/>
        <w:numPr>
          <w:ilvl w:val="1"/>
          <w:numId w:val="22"/>
        </w:numPr>
        <w:spacing w:before="100" w:beforeAutospacing="1" w:after="100" w:afterAutospacing="1" w:line="276" w:lineRule="auto"/>
        <w:rPr>
          <w:rFonts w:ascii="Calibri" w:hAnsi="Calibri" w:cs="Calibri"/>
        </w:rPr>
      </w:pPr>
      <w:r>
        <w:rPr>
          <w:rFonts w:ascii="Calibri" w:hAnsi="Calibri" w:cs="Calibri"/>
        </w:rPr>
        <w:t>Ten years working for the same company.</w:t>
      </w:r>
    </w:p>
    <w:p w14:paraId="3BC02506" w14:textId="77777777" w:rsidR="00A1355C" w:rsidRDefault="00A1355C" w:rsidP="001E0A69">
      <w:pPr>
        <w:pStyle w:val="ListParagraph"/>
        <w:numPr>
          <w:ilvl w:val="1"/>
          <w:numId w:val="22"/>
        </w:numPr>
        <w:spacing w:before="100" w:beforeAutospacing="1" w:after="100" w:afterAutospacing="1" w:line="276" w:lineRule="auto"/>
        <w:rPr>
          <w:rFonts w:ascii="Calibri" w:hAnsi="Calibri" w:cs="Calibri"/>
        </w:rPr>
      </w:pPr>
      <w:r>
        <w:rPr>
          <w:rFonts w:ascii="Calibri" w:hAnsi="Calibri" w:cs="Calibri"/>
        </w:rPr>
        <w:t>A mortgaged homeowner.</w:t>
      </w:r>
    </w:p>
    <w:p w14:paraId="55592375" w14:textId="77777777" w:rsidR="00A1355C" w:rsidRDefault="00A1355C" w:rsidP="001E0A69">
      <w:pPr>
        <w:pStyle w:val="ListParagraph"/>
        <w:numPr>
          <w:ilvl w:val="1"/>
          <w:numId w:val="22"/>
        </w:numPr>
        <w:spacing w:before="100" w:beforeAutospacing="1" w:after="100" w:afterAutospacing="1" w:line="276" w:lineRule="auto"/>
        <w:rPr>
          <w:rFonts w:ascii="Calibri" w:hAnsi="Calibri" w:cs="Calibri"/>
        </w:rPr>
      </w:pPr>
      <w:r>
        <w:rPr>
          <w:rFonts w:ascii="Calibri" w:hAnsi="Calibri" w:cs="Calibri"/>
        </w:rPr>
        <w:t>Lives with his partner and child</w:t>
      </w:r>
    </w:p>
    <w:p w14:paraId="57B2215C" w14:textId="77777777" w:rsidR="00A1355C" w:rsidRDefault="00A1355C" w:rsidP="001E0A69">
      <w:pPr>
        <w:pStyle w:val="ListParagraph"/>
        <w:numPr>
          <w:ilvl w:val="1"/>
          <w:numId w:val="22"/>
        </w:numPr>
        <w:spacing w:before="100" w:beforeAutospacing="1" w:after="100" w:afterAutospacing="1" w:line="276" w:lineRule="auto"/>
        <w:rPr>
          <w:rFonts w:ascii="Calibri" w:hAnsi="Calibri" w:cs="Calibri"/>
        </w:rPr>
      </w:pPr>
      <w:r>
        <w:rPr>
          <w:rFonts w:ascii="Calibri" w:hAnsi="Calibri" w:cs="Calibri"/>
        </w:rPr>
        <w:t>He is his partner’s primary caretaker due to motor neurone illness</w:t>
      </w:r>
    </w:p>
    <w:p w14:paraId="67B6A8CD" w14:textId="77777777" w:rsidR="00A1355C" w:rsidRDefault="00A1355C" w:rsidP="001E0A69">
      <w:pPr>
        <w:pStyle w:val="ListParagraph"/>
        <w:numPr>
          <w:ilvl w:val="1"/>
          <w:numId w:val="22"/>
        </w:numPr>
        <w:spacing w:before="100" w:beforeAutospacing="1" w:after="100" w:afterAutospacing="1" w:line="276" w:lineRule="auto"/>
        <w:rPr>
          <w:rFonts w:ascii="Calibri" w:hAnsi="Calibri" w:cs="Calibri"/>
        </w:rPr>
      </w:pPr>
      <w:r>
        <w:rPr>
          <w:rFonts w:ascii="Calibri" w:hAnsi="Calibri" w:cs="Calibri"/>
        </w:rPr>
        <w:t>Handles daycare pickup and drop-off at school.</w:t>
      </w:r>
    </w:p>
    <w:p w14:paraId="6576AD44" w14:textId="77777777" w:rsidR="00A1355C" w:rsidRDefault="00A1355C" w:rsidP="001E0A69">
      <w:pPr>
        <w:spacing w:before="100" w:beforeAutospacing="1" w:after="100" w:afterAutospacing="1" w:line="276" w:lineRule="auto"/>
        <w:rPr>
          <w:rFonts w:ascii="Calibri" w:hAnsi="Calibri" w:cs="Calibri"/>
        </w:rPr>
      </w:pPr>
      <w:r>
        <w:rPr>
          <w:rFonts w:ascii="Calibri" w:hAnsi="Calibri" w:cs="Calibri"/>
        </w:rPr>
        <w:t>According to the Court of Appeal’s ruling in R v Moylan (1999), a defendant who has a close family connection is much less likely to leave. (SGC, 2007).</w:t>
      </w:r>
    </w:p>
    <w:p w14:paraId="14E20005" w14:textId="77777777" w:rsidR="00A1355C" w:rsidRDefault="00A1355C" w:rsidP="001E0A69">
      <w:pPr>
        <w:spacing w:before="100" w:beforeAutospacing="1" w:after="100" w:afterAutospacing="1" w:line="276" w:lineRule="auto"/>
        <w:rPr>
          <w:rFonts w:ascii="Calibri" w:hAnsi="Calibri" w:cs="Calibri"/>
        </w:rPr>
      </w:pPr>
      <w:r>
        <w:rPr>
          <w:rFonts w:ascii="Calibri" w:hAnsi="Calibri" w:cs="Calibri"/>
        </w:rPr>
        <w:t>Any potential danger may be eliminated, given Mr Hope’s strong connections and low history of failing to surrender by :</w:t>
      </w:r>
    </w:p>
    <w:p w14:paraId="3D276C06" w14:textId="77777777" w:rsidR="00A1355C" w:rsidRDefault="00A1355C" w:rsidP="001E0A69">
      <w:pPr>
        <w:pStyle w:val="ListParagraph"/>
        <w:numPr>
          <w:ilvl w:val="0"/>
          <w:numId w:val="24"/>
        </w:numPr>
        <w:spacing w:before="100" w:beforeAutospacing="1" w:after="100" w:afterAutospacing="1" w:line="276" w:lineRule="auto"/>
        <w:rPr>
          <w:rFonts w:ascii="Calibri" w:hAnsi="Calibri" w:cs="Calibri"/>
        </w:rPr>
      </w:pPr>
      <w:r>
        <w:rPr>
          <w:rFonts w:ascii="Calibri" w:hAnsi="Calibri" w:cs="Calibri"/>
        </w:rPr>
        <w:t>Residence requirements.</w:t>
      </w:r>
    </w:p>
    <w:p w14:paraId="2C680277" w14:textId="77777777" w:rsidR="00A1355C" w:rsidRDefault="00A1355C" w:rsidP="001E0A69">
      <w:pPr>
        <w:pStyle w:val="ListParagraph"/>
        <w:numPr>
          <w:ilvl w:val="0"/>
          <w:numId w:val="24"/>
        </w:numPr>
        <w:spacing w:before="100" w:beforeAutospacing="1" w:after="100" w:afterAutospacing="1" w:line="276" w:lineRule="auto"/>
        <w:rPr>
          <w:rFonts w:ascii="Calibri" w:hAnsi="Calibri" w:cs="Calibri"/>
        </w:rPr>
      </w:pPr>
      <w:r>
        <w:rPr>
          <w:rFonts w:ascii="Calibri" w:hAnsi="Calibri" w:cs="Calibri"/>
        </w:rPr>
        <w:t>Reporting standards.</w:t>
      </w:r>
    </w:p>
    <w:p w14:paraId="2D33525E" w14:textId="77777777" w:rsidR="00A1355C" w:rsidRDefault="00A1355C" w:rsidP="001E0A69">
      <w:pPr>
        <w:pStyle w:val="ListParagraph"/>
        <w:numPr>
          <w:ilvl w:val="0"/>
          <w:numId w:val="24"/>
        </w:numPr>
        <w:spacing w:before="100" w:beforeAutospacing="1" w:after="100" w:afterAutospacing="1" w:line="276" w:lineRule="auto"/>
        <w:rPr>
          <w:rFonts w:ascii="Calibri" w:hAnsi="Calibri" w:cs="Calibri"/>
        </w:rPr>
      </w:pPr>
      <w:r>
        <w:rPr>
          <w:rFonts w:ascii="Calibri" w:hAnsi="Calibri" w:cs="Calibri"/>
        </w:rPr>
        <w:lastRenderedPageBreak/>
        <w:t>Electronic monitoring, if needed.</w:t>
      </w:r>
    </w:p>
    <w:p w14:paraId="7A6E996B" w14:textId="7D2B8CD7" w:rsidR="00A1355C" w:rsidRPr="00020E9F" w:rsidRDefault="00A1355C" w:rsidP="001E0A69">
      <w:pPr>
        <w:spacing w:before="100" w:beforeAutospacing="1" w:after="100" w:afterAutospacing="1" w:line="276" w:lineRule="auto"/>
        <w:rPr>
          <w:rFonts w:ascii="Calibri" w:hAnsi="Calibri" w:cs="Calibri"/>
        </w:rPr>
      </w:pPr>
      <w:r>
        <w:rPr>
          <w:rFonts w:ascii="Calibri" w:hAnsi="Calibri" w:cs="Calibri"/>
        </w:rPr>
        <w:t>Therefore, there is no compelling reason to think he would not surrender.</w:t>
      </w:r>
    </w:p>
    <w:p w14:paraId="5536ED80" w14:textId="2E7238FB" w:rsidR="00F648F6" w:rsidRDefault="009C7659" w:rsidP="001E0A69">
      <w:pPr>
        <w:pStyle w:val="ListParagraph"/>
        <w:numPr>
          <w:ilvl w:val="1"/>
          <w:numId w:val="2"/>
        </w:numPr>
        <w:spacing w:before="100" w:beforeAutospacing="1" w:after="100" w:afterAutospacing="1" w:line="276" w:lineRule="auto"/>
        <w:rPr>
          <w:rFonts w:ascii="Calibri" w:hAnsi="Calibri" w:cs="Calibri"/>
          <w:b/>
          <w:bCs/>
        </w:rPr>
      </w:pPr>
      <w:r>
        <w:rPr>
          <w:rFonts w:ascii="Calibri" w:hAnsi="Calibri" w:cs="Calibri"/>
          <w:b/>
          <w:bCs/>
        </w:rPr>
        <w:t xml:space="preserve">Risk of </w:t>
      </w:r>
      <w:r w:rsidR="00433B77">
        <w:rPr>
          <w:rFonts w:ascii="Calibri" w:hAnsi="Calibri" w:cs="Calibri"/>
          <w:b/>
          <w:bCs/>
        </w:rPr>
        <w:t>C</w:t>
      </w:r>
      <w:r>
        <w:rPr>
          <w:rFonts w:ascii="Calibri" w:hAnsi="Calibri" w:cs="Calibri"/>
          <w:b/>
          <w:bCs/>
        </w:rPr>
        <w:t>ommitting</w:t>
      </w:r>
      <w:r w:rsidR="00433B77">
        <w:rPr>
          <w:rFonts w:ascii="Calibri" w:hAnsi="Calibri" w:cs="Calibri"/>
          <w:b/>
          <w:bCs/>
        </w:rPr>
        <w:t xml:space="preserve"> Further Offences (CFO)</w:t>
      </w:r>
    </w:p>
    <w:p w14:paraId="623EAE4A" w14:textId="33C4D8CB" w:rsidR="000B040F" w:rsidRDefault="000B040F" w:rsidP="001E0A69">
      <w:pPr>
        <w:spacing w:before="100" w:beforeAutospacing="1" w:after="100" w:afterAutospacing="1" w:line="276" w:lineRule="auto"/>
        <w:rPr>
          <w:rFonts w:ascii="Calibri" w:hAnsi="Calibri" w:cs="Calibri"/>
        </w:rPr>
      </w:pPr>
      <w:r w:rsidRPr="00FB4780">
        <w:rPr>
          <w:rFonts w:ascii="Calibri" w:hAnsi="Calibri" w:cs="Calibri"/>
        </w:rPr>
        <w:t>Prosecution evidence</w:t>
      </w:r>
      <w:r w:rsidR="00FB4780" w:rsidRPr="00FB4780">
        <w:rPr>
          <w:rFonts w:ascii="Calibri" w:hAnsi="Calibri" w:cs="Calibri"/>
        </w:rPr>
        <w:t>:</w:t>
      </w:r>
    </w:p>
    <w:p w14:paraId="0A7B6A36" w14:textId="1F9746D4" w:rsidR="00240678" w:rsidRDefault="00240678" w:rsidP="001E0A69">
      <w:pPr>
        <w:pStyle w:val="ListParagraph"/>
        <w:numPr>
          <w:ilvl w:val="0"/>
          <w:numId w:val="27"/>
        </w:numPr>
        <w:spacing w:before="100" w:beforeAutospacing="1" w:after="100" w:afterAutospacing="1" w:line="276" w:lineRule="auto"/>
        <w:rPr>
          <w:rFonts w:ascii="Calibri" w:hAnsi="Calibri" w:cs="Calibri"/>
        </w:rPr>
      </w:pPr>
      <w:r>
        <w:rPr>
          <w:rFonts w:ascii="Calibri" w:hAnsi="Calibri" w:cs="Calibri"/>
        </w:rPr>
        <w:t>2019 – 2020 convictions for theft, crimi</w:t>
      </w:r>
      <w:r w:rsidR="00A64187">
        <w:rPr>
          <w:rFonts w:ascii="Calibri" w:hAnsi="Calibri" w:cs="Calibri"/>
        </w:rPr>
        <w:t>nal damage, ABH, and common assault.</w:t>
      </w:r>
    </w:p>
    <w:p w14:paraId="772632D5" w14:textId="4B9B9FDD" w:rsidR="00B74BAD" w:rsidRDefault="00B74BAD" w:rsidP="001E0A69">
      <w:pPr>
        <w:spacing w:before="100" w:beforeAutospacing="1" w:after="100" w:afterAutospacing="1" w:line="276" w:lineRule="auto"/>
        <w:rPr>
          <w:rFonts w:ascii="Calibri" w:hAnsi="Calibri" w:cs="Calibri"/>
        </w:rPr>
      </w:pPr>
      <w:r>
        <w:rPr>
          <w:rFonts w:ascii="Calibri" w:hAnsi="Calibri" w:cs="Calibri"/>
        </w:rPr>
        <w:t>Defence position:</w:t>
      </w:r>
    </w:p>
    <w:p w14:paraId="0C3CF56A" w14:textId="09A53607" w:rsidR="00223B20" w:rsidRDefault="00223B20" w:rsidP="001E0A69">
      <w:pPr>
        <w:pStyle w:val="ListParagraph"/>
        <w:numPr>
          <w:ilvl w:val="0"/>
          <w:numId w:val="27"/>
        </w:numPr>
        <w:spacing w:before="100" w:beforeAutospacing="1" w:after="100" w:afterAutospacing="1" w:line="276" w:lineRule="auto"/>
        <w:rPr>
          <w:rFonts w:ascii="Calibri" w:hAnsi="Calibri" w:cs="Calibri"/>
        </w:rPr>
      </w:pPr>
      <w:r>
        <w:rPr>
          <w:rFonts w:ascii="Calibri" w:hAnsi="Calibri" w:cs="Calibri"/>
        </w:rPr>
        <w:t>Every conviction is between five and six years old</w:t>
      </w:r>
      <w:r w:rsidR="00142F9E">
        <w:rPr>
          <w:rFonts w:ascii="Calibri" w:hAnsi="Calibri" w:cs="Calibri"/>
        </w:rPr>
        <w:t>.</w:t>
      </w:r>
    </w:p>
    <w:p w14:paraId="4F8C12B4" w14:textId="46F5ED03" w:rsidR="00142F9E" w:rsidRDefault="00142F9E" w:rsidP="001E0A69">
      <w:pPr>
        <w:pStyle w:val="ListParagraph"/>
        <w:numPr>
          <w:ilvl w:val="0"/>
          <w:numId w:val="27"/>
        </w:numPr>
        <w:spacing w:before="100" w:beforeAutospacing="1" w:after="100" w:afterAutospacing="1" w:line="276" w:lineRule="auto"/>
        <w:rPr>
          <w:rFonts w:ascii="Calibri" w:hAnsi="Calibri" w:cs="Calibri"/>
        </w:rPr>
      </w:pPr>
      <w:r>
        <w:rPr>
          <w:rFonts w:ascii="Calibri" w:hAnsi="Calibri" w:cs="Calibri"/>
        </w:rPr>
        <w:t>Since 2020, there have been no convictions</w:t>
      </w:r>
      <w:r w:rsidR="0037301E">
        <w:rPr>
          <w:rFonts w:ascii="Calibri" w:hAnsi="Calibri" w:cs="Calibri"/>
        </w:rPr>
        <w:t>, indicating a promising path towards rehabilitation.</w:t>
      </w:r>
    </w:p>
    <w:p w14:paraId="0C1D6708" w14:textId="7B3D2A9D" w:rsidR="00BF1D75" w:rsidRDefault="00BF1D75" w:rsidP="001E0A69">
      <w:pPr>
        <w:pStyle w:val="ListParagraph"/>
        <w:numPr>
          <w:ilvl w:val="0"/>
          <w:numId w:val="27"/>
        </w:numPr>
        <w:spacing w:before="100" w:beforeAutospacing="1" w:after="100" w:afterAutospacing="1" w:line="276" w:lineRule="auto"/>
        <w:rPr>
          <w:rFonts w:ascii="Calibri" w:hAnsi="Calibri" w:cs="Calibri"/>
        </w:rPr>
      </w:pPr>
      <w:r>
        <w:rPr>
          <w:rFonts w:ascii="Calibri" w:hAnsi="Calibri" w:cs="Calibri"/>
        </w:rPr>
        <w:t>Stable family life and full-time work.</w:t>
      </w:r>
    </w:p>
    <w:p w14:paraId="24DA35FF" w14:textId="5B1BACFC" w:rsidR="00BF1D75" w:rsidRDefault="00BF1D75" w:rsidP="001E0A69">
      <w:pPr>
        <w:pStyle w:val="ListParagraph"/>
        <w:numPr>
          <w:ilvl w:val="0"/>
          <w:numId w:val="27"/>
        </w:numPr>
        <w:spacing w:before="100" w:beforeAutospacing="1" w:after="100" w:afterAutospacing="1" w:line="276" w:lineRule="auto"/>
        <w:rPr>
          <w:rFonts w:ascii="Calibri" w:hAnsi="Calibri" w:cs="Calibri"/>
        </w:rPr>
      </w:pPr>
      <w:r>
        <w:rPr>
          <w:rFonts w:ascii="Calibri" w:hAnsi="Calibri" w:cs="Calibri"/>
        </w:rPr>
        <w:t>There is no indication of a new pattern of violence in the record.</w:t>
      </w:r>
    </w:p>
    <w:p w14:paraId="2702939A" w14:textId="2B55ADCF" w:rsidR="00315854" w:rsidRDefault="00315854" w:rsidP="001E0A69">
      <w:pPr>
        <w:pStyle w:val="ListParagraph"/>
        <w:numPr>
          <w:ilvl w:val="0"/>
          <w:numId w:val="27"/>
        </w:numPr>
        <w:spacing w:before="100" w:beforeAutospacing="1" w:after="100" w:afterAutospacing="1" w:line="276" w:lineRule="auto"/>
        <w:rPr>
          <w:rFonts w:ascii="Calibri" w:hAnsi="Calibri" w:cs="Calibri"/>
        </w:rPr>
      </w:pPr>
      <w:r>
        <w:rPr>
          <w:rFonts w:ascii="Calibri" w:hAnsi="Calibri" w:cs="Calibri"/>
        </w:rPr>
        <w:t xml:space="preserve">The current offence is the result </w:t>
      </w:r>
      <w:r w:rsidR="004839F3">
        <w:rPr>
          <w:rFonts w:ascii="Calibri" w:hAnsi="Calibri" w:cs="Calibri"/>
        </w:rPr>
        <w:t>of a protest</w:t>
      </w:r>
      <w:r w:rsidR="006A3729">
        <w:rPr>
          <w:rFonts w:ascii="Calibri" w:hAnsi="Calibri" w:cs="Calibri"/>
        </w:rPr>
        <w:t xml:space="preserve"> setting rather than continuous hatred.</w:t>
      </w:r>
    </w:p>
    <w:p w14:paraId="31386469" w14:textId="2F20FF09" w:rsidR="005470F1" w:rsidRDefault="0080145D" w:rsidP="001E0A69">
      <w:pPr>
        <w:spacing w:before="100" w:beforeAutospacing="1" w:after="100" w:afterAutospacing="1" w:line="276" w:lineRule="auto"/>
        <w:rPr>
          <w:rFonts w:ascii="Calibri" w:hAnsi="Calibri" w:cs="Calibri"/>
        </w:rPr>
      </w:pPr>
      <w:r>
        <w:rPr>
          <w:rFonts w:ascii="Calibri" w:hAnsi="Calibri" w:cs="Calibri"/>
        </w:rPr>
        <w:t>It was established in the Re Moles (1981) decision that prior convictions are seen to have no impact where there has not been any recent unlawful activity or of</w:t>
      </w:r>
      <w:r w:rsidR="00B679BC">
        <w:rPr>
          <w:rFonts w:ascii="Calibri" w:hAnsi="Calibri" w:cs="Calibri"/>
        </w:rPr>
        <w:t xml:space="preserve">fences. This theory emphasises that if a person has had </w:t>
      </w:r>
      <w:r w:rsidR="00B679BC">
        <w:rPr>
          <w:rFonts w:ascii="Calibri" w:hAnsi="Calibri" w:cs="Calibri"/>
          <w:kern w:val="0"/>
          <w14:ligatures w14:val="none"/>
        </w:rPr>
        <w:t>a clean record for a long time, past convictions may not always affect their present</w:t>
      </w:r>
      <w:r w:rsidR="00B679BC">
        <w:rPr>
          <w:rFonts w:ascii="Calibri" w:hAnsi="Calibri" w:cs="Calibri"/>
        </w:rPr>
        <w:t xml:space="preserve"> legal judgment. (legislation.gov.uk, 2025).</w:t>
      </w:r>
    </w:p>
    <w:p w14:paraId="2584498C" w14:textId="150CF22F" w:rsidR="007D4ABC" w:rsidRDefault="007D4ABC" w:rsidP="001E0A69">
      <w:pPr>
        <w:spacing w:before="100" w:beforeAutospacing="1" w:after="100" w:afterAutospacing="1" w:line="276" w:lineRule="auto"/>
        <w:rPr>
          <w:rFonts w:ascii="Calibri" w:hAnsi="Calibri" w:cs="Calibri"/>
        </w:rPr>
      </w:pPr>
      <w:r>
        <w:rPr>
          <w:rFonts w:ascii="Calibri" w:hAnsi="Calibri" w:cs="Calibri"/>
        </w:rPr>
        <w:t>Any remaining issues can be resolved by:</w:t>
      </w:r>
    </w:p>
    <w:p w14:paraId="057DE211" w14:textId="5AAE68C5" w:rsidR="007D4ABC" w:rsidRDefault="007D4ABC" w:rsidP="001E0A69">
      <w:pPr>
        <w:pStyle w:val="ListParagraph"/>
        <w:numPr>
          <w:ilvl w:val="0"/>
          <w:numId w:val="29"/>
        </w:numPr>
        <w:spacing w:before="100" w:beforeAutospacing="1" w:after="100" w:afterAutospacing="1" w:line="276" w:lineRule="auto"/>
        <w:rPr>
          <w:rFonts w:ascii="Calibri" w:hAnsi="Calibri" w:cs="Calibri"/>
        </w:rPr>
      </w:pPr>
      <w:r>
        <w:rPr>
          <w:rFonts w:ascii="Calibri" w:hAnsi="Calibri" w:cs="Calibri"/>
        </w:rPr>
        <w:t>Monitoring</w:t>
      </w:r>
      <w:r w:rsidR="0025030C">
        <w:rPr>
          <w:rFonts w:ascii="Calibri" w:hAnsi="Calibri" w:cs="Calibri"/>
        </w:rPr>
        <w:t>.</w:t>
      </w:r>
    </w:p>
    <w:p w14:paraId="049502F3" w14:textId="70AB180E" w:rsidR="007D4ABC" w:rsidRDefault="007D4ABC" w:rsidP="001E0A69">
      <w:pPr>
        <w:pStyle w:val="ListParagraph"/>
        <w:numPr>
          <w:ilvl w:val="0"/>
          <w:numId w:val="29"/>
        </w:numPr>
        <w:spacing w:before="100" w:beforeAutospacing="1" w:after="100" w:afterAutospacing="1" w:line="276" w:lineRule="auto"/>
        <w:rPr>
          <w:rFonts w:ascii="Calibri" w:hAnsi="Calibri" w:cs="Calibri"/>
        </w:rPr>
      </w:pPr>
      <w:r>
        <w:rPr>
          <w:rFonts w:ascii="Calibri" w:hAnsi="Calibri" w:cs="Calibri"/>
        </w:rPr>
        <w:t>Curfew</w:t>
      </w:r>
      <w:r w:rsidR="0025030C">
        <w:rPr>
          <w:rFonts w:ascii="Calibri" w:hAnsi="Calibri" w:cs="Calibri"/>
        </w:rPr>
        <w:t>.</w:t>
      </w:r>
    </w:p>
    <w:p w14:paraId="6DE108A6" w14:textId="4E35FB72" w:rsidR="007D4ABC" w:rsidRDefault="0025030C" w:rsidP="001E0A69">
      <w:pPr>
        <w:pStyle w:val="ListParagraph"/>
        <w:numPr>
          <w:ilvl w:val="0"/>
          <w:numId w:val="29"/>
        </w:numPr>
        <w:spacing w:before="100" w:beforeAutospacing="1" w:after="100" w:afterAutospacing="1" w:line="276" w:lineRule="auto"/>
        <w:rPr>
          <w:rFonts w:ascii="Calibri" w:hAnsi="Calibri" w:cs="Calibri"/>
        </w:rPr>
      </w:pPr>
      <w:r>
        <w:rPr>
          <w:rFonts w:ascii="Calibri" w:hAnsi="Calibri" w:cs="Calibri"/>
        </w:rPr>
        <w:t>N</w:t>
      </w:r>
      <w:r w:rsidR="007D4ABC">
        <w:rPr>
          <w:rFonts w:ascii="Calibri" w:hAnsi="Calibri" w:cs="Calibri"/>
        </w:rPr>
        <w:t>o</w:t>
      </w:r>
      <w:r>
        <w:rPr>
          <w:rFonts w:ascii="Calibri" w:hAnsi="Calibri" w:cs="Calibri"/>
        </w:rPr>
        <w:t>n-contact condition.</w:t>
      </w:r>
    </w:p>
    <w:p w14:paraId="3A0A7B5A" w14:textId="1F209EEA" w:rsidR="00DB778C" w:rsidRDefault="0025030C" w:rsidP="001E0A69">
      <w:pPr>
        <w:pStyle w:val="ListParagraph"/>
        <w:numPr>
          <w:ilvl w:val="0"/>
          <w:numId w:val="29"/>
        </w:numPr>
        <w:spacing w:before="100" w:beforeAutospacing="1" w:after="100" w:afterAutospacing="1" w:line="276" w:lineRule="auto"/>
        <w:rPr>
          <w:rFonts w:ascii="Calibri" w:hAnsi="Calibri" w:cs="Calibri"/>
        </w:rPr>
      </w:pPr>
      <w:r>
        <w:rPr>
          <w:rFonts w:ascii="Calibri" w:hAnsi="Calibri" w:cs="Calibri"/>
        </w:rPr>
        <w:t>Exclusion zone.</w:t>
      </w:r>
      <w:r w:rsidR="00DB778C">
        <w:rPr>
          <w:rFonts w:ascii="Calibri" w:hAnsi="Calibri" w:cs="Calibri"/>
        </w:rPr>
        <w:t xml:space="preserve">    (legislation</w:t>
      </w:r>
      <w:r w:rsidR="006E5179">
        <w:rPr>
          <w:rFonts w:ascii="Calibri" w:hAnsi="Calibri" w:cs="Calibri"/>
        </w:rPr>
        <w:t>.gov.uk, 2020).</w:t>
      </w:r>
    </w:p>
    <w:p w14:paraId="587561BA" w14:textId="02265355" w:rsidR="00020E9F" w:rsidRPr="006E5179" w:rsidRDefault="00DB778C" w:rsidP="001E0A69">
      <w:pPr>
        <w:spacing w:before="100" w:beforeAutospacing="1" w:after="100" w:afterAutospacing="1" w:line="276" w:lineRule="auto"/>
        <w:rPr>
          <w:rFonts w:ascii="Calibri" w:hAnsi="Calibri" w:cs="Calibri"/>
        </w:rPr>
      </w:pPr>
      <w:r>
        <w:rPr>
          <w:rFonts w:ascii="Calibri" w:hAnsi="Calibri" w:cs="Calibri"/>
        </w:rPr>
        <w:t>The need for significant reasons is not met.</w:t>
      </w:r>
    </w:p>
    <w:p w14:paraId="38343849" w14:textId="7793C975" w:rsidR="00EC72F6" w:rsidRDefault="00C8754F" w:rsidP="001E0A69">
      <w:pPr>
        <w:pStyle w:val="ListParagraph"/>
        <w:numPr>
          <w:ilvl w:val="1"/>
          <w:numId w:val="2"/>
        </w:numPr>
        <w:spacing w:before="100" w:beforeAutospacing="1" w:after="100" w:afterAutospacing="1" w:line="276" w:lineRule="auto"/>
        <w:rPr>
          <w:rFonts w:ascii="Calibri" w:hAnsi="Calibri" w:cs="Calibri"/>
          <w:b/>
          <w:bCs/>
        </w:rPr>
      </w:pPr>
      <w:r>
        <w:rPr>
          <w:rFonts w:ascii="Calibri" w:hAnsi="Calibri" w:cs="Calibri"/>
          <w:b/>
          <w:bCs/>
        </w:rPr>
        <w:t>Risk of interference with witnesses (IWW)</w:t>
      </w:r>
    </w:p>
    <w:p w14:paraId="6F95D043" w14:textId="677B0EA7" w:rsidR="00C8754F" w:rsidRDefault="00C8754F" w:rsidP="001E0A69">
      <w:pPr>
        <w:spacing w:before="100" w:beforeAutospacing="1" w:after="100" w:afterAutospacing="1" w:line="276" w:lineRule="auto"/>
        <w:rPr>
          <w:rFonts w:ascii="Calibri" w:hAnsi="Calibri" w:cs="Calibri"/>
        </w:rPr>
      </w:pPr>
      <w:r w:rsidRPr="00053380">
        <w:rPr>
          <w:rFonts w:ascii="Calibri" w:hAnsi="Calibri" w:cs="Calibri"/>
        </w:rPr>
        <w:t>The prosecu</w:t>
      </w:r>
      <w:r w:rsidR="00053380" w:rsidRPr="00053380">
        <w:rPr>
          <w:rFonts w:ascii="Calibri" w:hAnsi="Calibri" w:cs="Calibri"/>
        </w:rPr>
        <w:t>tion might depend on:</w:t>
      </w:r>
    </w:p>
    <w:p w14:paraId="5A749F59" w14:textId="345A6DDC" w:rsidR="00D00CBF" w:rsidRDefault="00D00CBF" w:rsidP="001E0A69">
      <w:pPr>
        <w:pStyle w:val="ListParagraph"/>
        <w:numPr>
          <w:ilvl w:val="0"/>
          <w:numId w:val="32"/>
        </w:numPr>
        <w:spacing w:before="100" w:beforeAutospacing="1" w:after="100" w:afterAutospacing="1" w:line="276" w:lineRule="auto"/>
        <w:rPr>
          <w:rFonts w:ascii="Calibri" w:hAnsi="Calibri" w:cs="Calibri"/>
        </w:rPr>
      </w:pPr>
      <w:r>
        <w:rPr>
          <w:rFonts w:ascii="Calibri" w:hAnsi="Calibri" w:cs="Calibri"/>
        </w:rPr>
        <w:t>The alleged remark</w:t>
      </w:r>
      <w:r w:rsidR="00B2260B">
        <w:rPr>
          <w:rFonts w:ascii="Calibri" w:hAnsi="Calibri" w:cs="Calibri"/>
        </w:rPr>
        <w:t>,</w:t>
      </w:r>
      <w:r>
        <w:rPr>
          <w:rFonts w:ascii="Calibri" w:hAnsi="Calibri" w:cs="Calibri"/>
        </w:rPr>
        <w:t xml:space="preserve"> “ I know where you live”</w:t>
      </w:r>
    </w:p>
    <w:p w14:paraId="13145945" w14:textId="1E1C078D" w:rsidR="00B2260B" w:rsidRDefault="00B2260B" w:rsidP="001E0A69">
      <w:pPr>
        <w:pStyle w:val="ListParagraph"/>
        <w:numPr>
          <w:ilvl w:val="0"/>
          <w:numId w:val="32"/>
        </w:numPr>
        <w:spacing w:before="100" w:beforeAutospacing="1" w:after="100" w:afterAutospacing="1" w:line="276" w:lineRule="auto"/>
        <w:rPr>
          <w:rFonts w:ascii="Calibri" w:hAnsi="Calibri" w:cs="Calibri"/>
        </w:rPr>
      </w:pPr>
      <w:r>
        <w:rPr>
          <w:rFonts w:ascii="Calibri" w:hAnsi="Calibri" w:cs="Calibri"/>
        </w:rPr>
        <w:t>The complainant’s residence and place of employment are close by.</w:t>
      </w:r>
    </w:p>
    <w:p w14:paraId="5EFF17CF" w14:textId="59EBEED7" w:rsidR="00B2260B" w:rsidRDefault="00B2260B" w:rsidP="001E0A69">
      <w:pPr>
        <w:spacing w:before="100" w:beforeAutospacing="1" w:after="100" w:afterAutospacing="1" w:line="276" w:lineRule="auto"/>
        <w:rPr>
          <w:rFonts w:ascii="Calibri" w:hAnsi="Calibri" w:cs="Calibri"/>
        </w:rPr>
      </w:pPr>
      <w:r>
        <w:rPr>
          <w:rFonts w:ascii="Calibri" w:hAnsi="Calibri" w:cs="Calibri"/>
        </w:rPr>
        <w:t>Counterargument:</w:t>
      </w:r>
    </w:p>
    <w:p w14:paraId="3D8ACA73" w14:textId="719A9232" w:rsidR="00867C9C" w:rsidRDefault="00DC7D54" w:rsidP="001E0A69">
      <w:pPr>
        <w:pStyle w:val="ListParagraph"/>
        <w:numPr>
          <w:ilvl w:val="0"/>
          <w:numId w:val="33"/>
        </w:numPr>
        <w:spacing w:before="100" w:beforeAutospacing="1" w:after="100" w:afterAutospacing="1" w:line="276" w:lineRule="auto"/>
        <w:rPr>
          <w:rFonts w:ascii="Calibri" w:hAnsi="Calibri" w:cs="Calibri"/>
        </w:rPr>
      </w:pPr>
      <w:r>
        <w:rPr>
          <w:rFonts w:ascii="Calibri" w:hAnsi="Calibri" w:cs="Calibri"/>
        </w:rPr>
        <w:t>The defendant disputes the threat.</w:t>
      </w:r>
    </w:p>
    <w:p w14:paraId="0A291803" w14:textId="4BF7A725" w:rsidR="00DC7D54" w:rsidRDefault="00DC7D54" w:rsidP="001E0A69">
      <w:pPr>
        <w:pStyle w:val="ListParagraph"/>
        <w:numPr>
          <w:ilvl w:val="0"/>
          <w:numId w:val="33"/>
        </w:numPr>
        <w:spacing w:before="100" w:beforeAutospacing="1" w:after="100" w:afterAutospacing="1" w:line="276" w:lineRule="auto"/>
        <w:rPr>
          <w:rFonts w:ascii="Calibri" w:hAnsi="Calibri" w:cs="Calibri"/>
        </w:rPr>
      </w:pPr>
      <w:r>
        <w:rPr>
          <w:rFonts w:ascii="Calibri" w:hAnsi="Calibri" w:cs="Calibri"/>
        </w:rPr>
        <w:lastRenderedPageBreak/>
        <w:t>There is no proof that the complaint was contracted or threatened after the occurrence.</w:t>
      </w:r>
    </w:p>
    <w:p w14:paraId="53490866" w14:textId="66FDF889" w:rsidR="00DC7D54" w:rsidRDefault="00DC7D54" w:rsidP="001E0A69">
      <w:pPr>
        <w:pStyle w:val="ListParagraph"/>
        <w:numPr>
          <w:ilvl w:val="0"/>
          <w:numId w:val="33"/>
        </w:numPr>
        <w:spacing w:before="100" w:beforeAutospacing="1" w:after="100" w:afterAutospacing="1" w:line="276" w:lineRule="auto"/>
        <w:rPr>
          <w:rFonts w:ascii="Calibri" w:hAnsi="Calibri" w:cs="Calibri"/>
        </w:rPr>
      </w:pPr>
      <w:r>
        <w:rPr>
          <w:rFonts w:ascii="Calibri" w:hAnsi="Calibri" w:cs="Calibri"/>
        </w:rPr>
        <w:t>The parties do not communicate with each other.</w:t>
      </w:r>
    </w:p>
    <w:p w14:paraId="50F63E29" w14:textId="19CC8B9C" w:rsidR="00DC7D54" w:rsidRDefault="00DC7D54" w:rsidP="001E0A69">
      <w:pPr>
        <w:pStyle w:val="ListParagraph"/>
        <w:numPr>
          <w:ilvl w:val="0"/>
          <w:numId w:val="33"/>
        </w:numPr>
        <w:spacing w:before="100" w:beforeAutospacing="1" w:after="100" w:afterAutospacing="1" w:line="276" w:lineRule="auto"/>
        <w:rPr>
          <w:rFonts w:ascii="Calibri" w:hAnsi="Calibri" w:cs="Calibri"/>
        </w:rPr>
      </w:pPr>
      <w:r>
        <w:rPr>
          <w:rFonts w:ascii="Calibri" w:hAnsi="Calibri" w:cs="Calibri"/>
        </w:rPr>
        <w:t>There is no evidence of a chase or altercation on the CCTV outside the park.</w:t>
      </w:r>
    </w:p>
    <w:p w14:paraId="4BE22487" w14:textId="1F28BFB1" w:rsidR="00DC7D54" w:rsidRDefault="00E04215" w:rsidP="001E0A69">
      <w:pPr>
        <w:pStyle w:val="ListParagraph"/>
        <w:numPr>
          <w:ilvl w:val="0"/>
          <w:numId w:val="33"/>
        </w:numPr>
        <w:spacing w:before="100" w:beforeAutospacing="1" w:after="100" w:afterAutospacing="1" w:line="276" w:lineRule="auto"/>
        <w:rPr>
          <w:rFonts w:ascii="Calibri" w:hAnsi="Calibri" w:cs="Calibri"/>
        </w:rPr>
      </w:pPr>
      <w:r>
        <w:rPr>
          <w:rFonts w:ascii="Calibri" w:hAnsi="Calibri" w:cs="Calibri"/>
        </w:rPr>
        <w:t>The defendant did not go back to the park or search for the complaint.</w:t>
      </w:r>
    </w:p>
    <w:p w14:paraId="5E5DA97B" w14:textId="511C8BD6" w:rsidR="00D7494D" w:rsidRDefault="00D7494D" w:rsidP="001E0A69">
      <w:pPr>
        <w:spacing w:before="100" w:beforeAutospacing="1" w:after="100" w:afterAutospacing="1" w:line="276" w:lineRule="auto"/>
        <w:rPr>
          <w:rFonts w:ascii="Calibri" w:hAnsi="Calibri" w:cs="Calibri"/>
        </w:rPr>
      </w:pPr>
      <w:r>
        <w:rPr>
          <w:rFonts w:ascii="Calibri" w:hAnsi="Calibri" w:cs="Calibri"/>
        </w:rPr>
        <w:t>In R v Fitch (1975), the court warned against establishing witness intimidation based only on an unsupported accusation</w:t>
      </w:r>
      <w:r w:rsidR="00820D69">
        <w:rPr>
          <w:rFonts w:ascii="Calibri" w:hAnsi="Calibri" w:cs="Calibri"/>
        </w:rPr>
        <w:t>. (Legislation</w:t>
      </w:r>
      <w:r w:rsidR="004F15E8">
        <w:rPr>
          <w:rFonts w:ascii="Calibri" w:hAnsi="Calibri" w:cs="Calibri"/>
        </w:rPr>
        <w:t>.gov.uk, 2020).</w:t>
      </w:r>
    </w:p>
    <w:p w14:paraId="32113127" w14:textId="7E5F27BC" w:rsidR="00802FEA" w:rsidRDefault="00802FEA" w:rsidP="001E0A69">
      <w:pPr>
        <w:spacing w:before="100" w:beforeAutospacing="1" w:after="100" w:afterAutospacing="1" w:line="276" w:lineRule="auto"/>
        <w:rPr>
          <w:rFonts w:ascii="Calibri" w:hAnsi="Calibri" w:cs="Calibri"/>
        </w:rPr>
      </w:pPr>
      <w:r>
        <w:rPr>
          <w:rFonts w:ascii="Calibri" w:hAnsi="Calibri" w:cs="Calibri"/>
        </w:rPr>
        <w:t>Mitigation is simple:</w:t>
      </w:r>
    </w:p>
    <w:p w14:paraId="43E5FCE1" w14:textId="244F31DA" w:rsidR="00893DB7" w:rsidRDefault="00893DB7" w:rsidP="001E0A69">
      <w:pPr>
        <w:pStyle w:val="ListParagraph"/>
        <w:numPr>
          <w:ilvl w:val="0"/>
          <w:numId w:val="35"/>
        </w:numPr>
        <w:spacing w:before="100" w:beforeAutospacing="1" w:after="100" w:afterAutospacing="1" w:line="276" w:lineRule="auto"/>
        <w:rPr>
          <w:rFonts w:ascii="Calibri" w:hAnsi="Calibri" w:cs="Calibri"/>
        </w:rPr>
      </w:pPr>
      <w:r>
        <w:rPr>
          <w:rFonts w:ascii="Calibri" w:hAnsi="Calibri" w:cs="Calibri"/>
        </w:rPr>
        <w:t xml:space="preserve">A strict non-contact condition </w:t>
      </w:r>
    </w:p>
    <w:p w14:paraId="3FE48C2A" w14:textId="44D8E6C1" w:rsidR="00893DB7" w:rsidRDefault="00893DB7" w:rsidP="001E0A69">
      <w:pPr>
        <w:pStyle w:val="ListParagraph"/>
        <w:numPr>
          <w:ilvl w:val="0"/>
          <w:numId w:val="35"/>
        </w:numPr>
        <w:spacing w:before="100" w:beforeAutospacing="1" w:after="100" w:afterAutospacing="1" w:line="276" w:lineRule="auto"/>
        <w:rPr>
          <w:rFonts w:ascii="Calibri" w:hAnsi="Calibri" w:cs="Calibri"/>
        </w:rPr>
      </w:pPr>
      <w:r>
        <w:rPr>
          <w:rFonts w:ascii="Calibri" w:hAnsi="Calibri" w:cs="Calibri"/>
        </w:rPr>
        <w:t xml:space="preserve">Newton </w:t>
      </w:r>
      <w:r w:rsidR="00E0611C">
        <w:rPr>
          <w:rFonts w:ascii="Calibri" w:hAnsi="Calibri" w:cs="Calibri"/>
        </w:rPr>
        <w:t>P</w:t>
      </w:r>
      <w:r>
        <w:rPr>
          <w:rFonts w:ascii="Calibri" w:hAnsi="Calibri" w:cs="Calibri"/>
        </w:rPr>
        <w:t xml:space="preserve">ark’s </w:t>
      </w:r>
      <w:r w:rsidR="00CD42C8">
        <w:rPr>
          <w:rFonts w:ascii="Calibri" w:hAnsi="Calibri" w:cs="Calibri"/>
        </w:rPr>
        <w:t>exclusion zone</w:t>
      </w:r>
    </w:p>
    <w:p w14:paraId="6C92E539" w14:textId="7DBAF693" w:rsidR="00CD42C8" w:rsidRDefault="00CD42C8" w:rsidP="001E0A69">
      <w:pPr>
        <w:pStyle w:val="ListParagraph"/>
        <w:numPr>
          <w:ilvl w:val="0"/>
          <w:numId w:val="35"/>
        </w:numPr>
        <w:spacing w:before="100" w:beforeAutospacing="1" w:after="100" w:afterAutospacing="1" w:line="276" w:lineRule="auto"/>
        <w:rPr>
          <w:rFonts w:ascii="Calibri" w:hAnsi="Calibri" w:cs="Calibri"/>
        </w:rPr>
      </w:pPr>
      <w:r>
        <w:rPr>
          <w:rFonts w:ascii="Calibri" w:hAnsi="Calibri" w:cs="Calibri"/>
        </w:rPr>
        <w:t>Protests in nearby areas are prohibited.</w:t>
      </w:r>
      <w:r w:rsidR="00E0611C">
        <w:rPr>
          <w:rFonts w:ascii="Calibri" w:hAnsi="Calibri" w:cs="Calibri"/>
        </w:rPr>
        <w:t xml:space="preserve"> (Downs, W. 2024).</w:t>
      </w:r>
    </w:p>
    <w:p w14:paraId="42483D4B" w14:textId="0CFDCCB2" w:rsidR="00FB5052" w:rsidRDefault="004E4532" w:rsidP="001E0A69">
      <w:pPr>
        <w:spacing w:before="100" w:beforeAutospacing="1" w:after="100" w:afterAutospacing="1" w:line="276" w:lineRule="auto"/>
        <w:rPr>
          <w:rFonts w:ascii="Calibri" w:hAnsi="Calibri" w:cs="Calibri"/>
        </w:rPr>
      </w:pPr>
      <w:r>
        <w:rPr>
          <w:rFonts w:ascii="Calibri" w:hAnsi="Calibri" w:cs="Calibri"/>
        </w:rPr>
        <w:t>Detention is therefore not necessary.</w:t>
      </w:r>
    </w:p>
    <w:p w14:paraId="58A660CD" w14:textId="3200888C" w:rsidR="008D1952" w:rsidRDefault="005A6BFE" w:rsidP="001E0A69">
      <w:pPr>
        <w:pStyle w:val="ListParagraph"/>
        <w:numPr>
          <w:ilvl w:val="0"/>
          <w:numId w:val="2"/>
        </w:numPr>
        <w:spacing w:before="100" w:beforeAutospacing="1" w:after="100" w:afterAutospacing="1" w:line="276" w:lineRule="auto"/>
        <w:rPr>
          <w:rFonts w:ascii="Calibri" w:hAnsi="Calibri" w:cs="Calibri"/>
          <w:b/>
          <w:bCs/>
        </w:rPr>
      </w:pPr>
      <w:r w:rsidRPr="005A6BFE">
        <w:rPr>
          <w:rFonts w:ascii="Calibri" w:hAnsi="Calibri" w:cs="Calibri"/>
          <w:b/>
          <w:bCs/>
        </w:rPr>
        <w:t xml:space="preserve">Strength of the Evidence </w:t>
      </w:r>
    </w:p>
    <w:p w14:paraId="2D35C47A" w14:textId="42BF8755" w:rsidR="0022389F" w:rsidRPr="00870EDF" w:rsidRDefault="00FB5052" w:rsidP="001E0A69">
      <w:pPr>
        <w:spacing w:before="100" w:beforeAutospacing="1" w:after="100" w:afterAutospacing="1" w:line="276" w:lineRule="auto"/>
        <w:rPr>
          <w:rFonts w:ascii="Calibri" w:hAnsi="Calibri" w:cs="Calibri"/>
        </w:rPr>
      </w:pPr>
      <w:r w:rsidRPr="00870EDF">
        <w:rPr>
          <w:rFonts w:ascii="Calibri" w:hAnsi="Calibri" w:cs="Calibri"/>
        </w:rPr>
        <w:t>This must not turn into a mini trial, although it is relevant under Schedule 1.</w:t>
      </w:r>
    </w:p>
    <w:p w14:paraId="6DE7C91F" w14:textId="74B6FE1B" w:rsidR="00FB5052" w:rsidRPr="00870EDF" w:rsidRDefault="00345A95" w:rsidP="001E0A69">
      <w:pPr>
        <w:spacing w:before="100" w:beforeAutospacing="1" w:after="100" w:afterAutospacing="1" w:line="276" w:lineRule="auto"/>
        <w:rPr>
          <w:rFonts w:ascii="Calibri" w:hAnsi="Calibri" w:cs="Calibri"/>
        </w:rPr>
      </w:pPr>
      <w:r w:rsidRPr="00870EDF">
        <w:rPr>
          <w:rFonts w:ascii="Calibri" w:hAnsi="Calibri" w:cs="Calibri"/>
        </w:rPr>
        <w:t>Points to focus on:</w:t>
      </w:r>
    </w:p>
    <w:p w14:paraId="24151E53" w14:textId="563C7A7A" w:rsidR="00345A95" w:rsidRPr="00870EDF" w:rsidRDefault="00345A95" w:rsidP="001E0A69">
      <w:pPr>
        <w:pStyle w:val="ListParagraph"/>
        <w:numPr>
          <w:ilvl w:val="0"/>
          <w:numId w:val="44"/>
        </w:numPr>
        <w:spacing w:before="100" w:beforeAutospacing="1" w:after="100" w:afterAutospacing="1" w:line="276" w:lineRule="auto"/>
        <w:rPr>
          <w:rFonts w:ascii="Calibri" w:hAnsi="Calibri" w:cs="Calibri"/>
        </w:rPr>
      </w:pPr>
      <w:r w:rsidRPr="00870EDF">
        <w:rPr>
          <w:rFonts w:ascii="Calibri" w:hAnsi="Calibri" w:cs="Calibri"/>
        </w:rPr>
        <w:t>The event was not captured on clear CCTV.</w:t>
      </w:r>
    </w:p>
    <w:p w14:paraId="7618D945" w14:textId="18BEB01B" w:rsidR="00345A95" w:rsidRPr="00870EDF" w:rsidRDefault="00345A95" w:rsidP="001E0A69">
      <w:pPr>
        <w:pStyle w:val="ListParagraph"/>
        <w:numPr>
          <w:ilvl w:val="0"/>
          <w:numId w:val="44"/>
        </w:numPr>
        <w:spacing w:before="100" w:beforeAutospacing="1" w:after="100" w:afterAutospacing="1" w:line="276" w:lineRule="auto"/>
        <w:rPr>
          <w:rFonts w:ascii="Calibri" w:hAnsi="Calibri" w:cs="Calibri"/>
        </w:rPr>
      </w:pPr>
      <w:r w:rsidRPr="00870EDF">
        <w:rPr>
          <w:rFonts w:ascii="Calibri" w:hAnsi="Calibri" w:cs="Calibri"/>
        </w:rPr>
        <w:t>There is no physical evidence that connects the accused to an ass</w:t>
      </w:r>
      <w:r w:rsidR="00FE3BB2" w:rsidRPr="00870EDF">
        <w:rPr>
          <w:rFonts w:ascii="Calibri" w:hAnsi="Calibri" w:cs="Calibri"/>
        </w:rPr>
        <w:t>a</w:t>
      </w:r>
      <w:r w:rsidRPr="00870EDF">
        <w:rPr>
          <w:rFonts w:ascii="Calibri" w:hAnsi="Calibri" w:cs="Calibri"/>
        </w:rPr>
        <w:t>ult.</w:t>
      </w:r>
    </w:p>
    <w:p w14:paraId="4DC53A1C" w14:textId="53AB1CB1" w:rsidR="00345A95" w:rsidRPr="00870EDF" w:rsidRDefault="00345A95" w:rsidP="001E0A69">
      <w:pPr>
        <w:pStyle w:val="ListParagraph"/>
        <w:numPr>
          <w:ilvl w:val="0"/>
          <w:numId w:val="44"/>
        </w:numPr>
        <w:spacing w:before="100" w:beforeAutospacing="1" w:after="100" w:afterAutospacing="1" w:line="276" w:lineRule="auto"/>
        <w:rPr>
          <w:rFonts w:ascii="Calibri" w:hAnsi="Calibri" w:cs="Calibri"/>
        </w:rPr>
      </w:pPr>
      <w:r w:rsidRPr="00870EDF">
        <w:rPr>
          <w:rFonts w:ascii="Calibri" w:hAnsi="Calibri" w:cs="Calibri"/>
        </w:rPr>
        <w:t>There are no unbiased witnesses</w:t>
      </w:r>
      <w:r w:rsidR="00FE3BB2" w:rsidRPr="00870EDF">
        <w:rPr>
          <w:rFonts w:ascii="Calibri" w:hAnsi="Calibri" w:cs="Calibri"/>
        </w:rPr>
        <w:t>.</w:t>
      </w:r>
    </w:p>
    <w:p w14:paraId="3B5CDEF7" w14:textId="36836F3F" w:rsidR="00FE3BB2" w:rsidRPr="00870EDF" w:rsidRDefault="00FE3BB2" w:rsidP="001E0A69">
      <w:pPr>
        <w:pStyle w:val="ListParagraph"/>
        <w:numPr>
          <w:ilvl w:val="0"/>
          <w:numId w:val="44"/>
        </w:numPr>
        <w:spacing w:before="100" w:beforeAutospacing="1" w:after="100" w:afterAutospacing="1" w:line="276" w:lineRule="auto"/>
        <w:rPr>
          <w:rFonts w:ascii="Calibri" w:hAnsi="Calibri" w:cs="Calibri"/>
        </w:rPr>
      </w:pPr>
      <w:r w:rsidRPr="00870EDF">
        <w:rPr>
          <w:rFonts w:ascii="Calibri" w:hAnsi="Calibri" w:cs="Calibri"/>
        </w:rPr>
        <w:t>A fallen ID can lead to identification, but this does not show assault.</w:t>
      </w:r>
    </w:p>
    <w:p w14:paraId="67268877" w14:textId="2CAC0379" w:rsidR="00FE3BB2" w:rsidRPr="00870EDF" w:rsidRDefault="00FE3BB2" w:rsidP="001E0A69">
      <w:pPr>
        <w:pStyle w:val="ListParagraph"/>
        <w:numPr>
          <w:ilvl w:val="0"/>
          <w:numId w:val="44"/>
        </w:numPr>
        <w:spacing w:before="100" w:beforeAutospacing="1" w:after="100" w:afterAutospacing="1" w:line="276" w:lineRule="auto"/>
        <w:rPr>
          <w:rFonts w:ascii="Calibri" w:hAnsi="Calibri" w:cs="Calibri"/>
        </w:rPr>
      </w:pPr>
      <w:r w:rsidRPr="00870EDF">
        <w:rPr>
          <w:rFonts w:ascii="Calibri" w:hAnsi="Calibri" w:cs="Calibri"/>
        </w:rPr>
        <w:t>The defendant’s story is consistent and believable.</w:t>
      </w:r>
    </w:p>
    <w:p w14:paraId="12121B31" w14:textId="4152C54C" w:rsidR="00FE3BB2" w:rsidRDefault="00FE3BB2" w:rsidP="001E0A69">
      <w:pPr>
        <w:spacing w:before="100" w:beforeAutospacing="1" w:after="100" w:afterAutospacing="1" w:line="276" w:lineRule="auto"/>
        <w:rPr>
          <w:rFonts w:ascii="Calibri" w:hAnsi="Calibri" w:cs="Calibri"/>
        </w:rPr>
      </w:pPr>
      <w:r w:rsidRPr="00870EDF">
        <w:rPr>
          <w:rFonts w:ascii="Calibri" w:hAnsi="Calibri" w:cs="Calibri"/>
        </w:rPr>
        <w:t>Weak prosecution evidence undermines the basis for detention, according to R v Nottingham JJ ex p Davies. (Meyer, J</w:t>
      </w:r>
      <w:r w:rsidR="00870EDF" w:rsidRPr="00870EDF">
        <w:rPr>
          <w:rFonts w:ascii="Calibri" w:hAnsi="Calibri" w:cs="Calibri"/>
        </w:rPr>
        <w:t>. 2014).</w:t>
      </w:r>
    </w:p>
    <w:p w14:paraId="0F3349D6" w14:textId="3DFBA2AF" w:rsidR="00180B26" w:rsidRDefault="001B7CD7" w:rsidP="001E0A69">
      <w:pPr>
        <w:pStyle w:val="ListParagraph"/>
        <w:numPr>
          <w:ilvl w:val="0"/>
          <w:numId w:val="2"/>
        </w:numPr>
        <w:spacing w:before="100" w:beforeAutospacing="1" w:after="100" w:afterAutospacing="1" w:line="276" w:lineRule="auto"/>
        <w:rPr>
          <w:rFonts w:ascii="Calibri" w:hAnsi="Calibri" w:cs="Calibri"/>
          <w:b/>
          <w:bCs/>
        </w:rPr>
      </w:pPr>
      <w:r w:rsidRPr="00180B26">
        <w:rPr>
          <w:rFonts w:ascii="Calibri" w:hAnsi="Calibri" w:cs="Calibri"/>
          <w:b/>
          <w:bCs/>
        </w:rPr>
        <w:t>Personal Circumstances</w:t>
      </w:r>
    </w:p>
    <w:p w14:paraId="1501E509" w14:textId="25D84157" w:rsidR="00180B26" w:rsidRPr="0070115A" w:rsidRDefault="00180B26" w:rsidP="001E0A69">
      <w:pPr>
        <w:spacing w:before="100" w:beforeAutospacing="1" w:after="100" w:afterAutospacing="1" w:line="276" w:lineRule="auto"/>
        <w:rPr>
          <w:rFonts w:ascii="Calibri" w:hAnsi="Calibri" w:cs="Calibri"/>
        </w:rPr>
      </w:pPr>
      <w:r w:rsidRPr="0070115A">
        <w:rPr>
          <w:rFonts w:ascii="Calibri" w:hAnsi="Calibri" w:cs="Calibri"/>
        </w:rPr>
        <w:t>Personal circumstances strongly support bail:</w:t>
      </w:r>
    </w:p>
    <w:p w14:paraId="6E82E767" w14:textId="0D7CD433" w:rsidR="004C0CA7" w:rsidRPr="0070115A" w:rsidRDefault="00D05E47" w:rsidP="001E0A69">
      <w:pPr>
        <w:pStyle w:val="ListParagraph"/>
        <w:numPr>
          <w:ilvl w:val="0"/>
          <w:numId w:val="47"/>
        </w:numPr>
        <w:spacing w:before="100" w:beforeAutospacing="1" w:after="100" w:afterAutospacing="1" w:line="276" w:lineRule="auto"/>
        <w:rPr>
          <w:rFonts w:ascii="Calibri" w:hAnsi="Calibri" w:cs="Calibri"/>
        </w:rPr>
      </w:pPr>
      <w:r w:rsidRPr="0070115A">
        <w:rPr>
          <w:rFonts w:ascii="Calibri" w:hAnsi="Calibri" w:cs="Calibri"/>
        </w:rPr>
        <w:t>Employment: IT technician for ten years.</w:t>
      </w:r>
    </w:p>
    <w:p w14:paraId="6C90B290" w14:textId="4664361D" w:rsidR="00D05E47" w:rsidRPr="0070115A" w:rsidRDefault="00D05E47" w:rsidP="001E0A69">
      <w:pPr>
        <w:pStyle w:val="ListParagraph"/>
        <w:numPr>
          <w:ilvl w:val="0"/>
          <w:numId w:val="47"/>
        </w:numPr>
        <w:spacing w:before="100" w:beforeAutospacing="1" w:after="100" w:afterAutospacing="1" w:line="276" w:lineRule="auto"/>
        <w:rPr>
          <w:rFonts w:ascii="Calibri" w:hAnsi="Calibri" w:cs="Calibri"/>
        </w:rPr>
      </w:pPr>
      <w:r w:rsidRPr="0070115A">
        <w:rPr>
          <w:rFonts w:ascii="Calibri" w:hAnsi="Calibri" w:cs="Calibri"/>
        </w:rPr>
        <w:t>Family life: Has a wife and a young child.</w:t>
      </w:r>
    </w:p>
    <w:p w14:paraId="405610FB" w14:textId="07A21CE5" w:rsidR="00AA723A" w:rsidRPr="0070115A" w:rsidRDefault="00277336" w:rsidP="001E0A69">
      <w:pPr>
        <w:pStyle w:val="ListParagraph"/>
        <w:numPr>
          <w:ilvl w:val="0"/>
          <w:numId w:val="47"/>
        </w:numPr>
        <w:spacing w:before="100" w:beforeAutospacing="1" w:after="100" w:afterAutospacing="1" w:line="276" w:lineRule="auto"/>
        <w:rPr>
          <w:rFonts w:ascii="Calibri" w:hAnsi="Calibri" w:cs="Calibri"/>
        </w:rPr>
      </w:pPr>
      <w:r w:rsidRPr="0070115A">
        <w:rPr>
          <w:rFonts w:ascii="Calibri" w:hAnsi="Calibri" w:cs="Calibri"/>
        </w:rPr>
        <w:t xml:space="preserve">Caring </w:t>
      </w:r>
      <w:r w:rsidR="00A616C6" w:rsidRPr="0070115A">
        <w:rPr>
          <w:rFonts w:ascii="Calibri" w:hAnsi="Calibri" w:cs="Calibri"/>
        </w:rPr>
        <w:t xml:space="preserve">responsibilities </w:t>
      </w:r>
      <w:r w:rsidR="0015759A" w:rsidRPr="0070115A">
        <w:rPr>
          <w:rFonts w:ascii="Calibri" w:hAnsi="Calibri" w:cs="Calibri"/>
        </w:rPr>
        <w:t xml:space="preserve">- </w:t>
      </w:r>
      <w:r w:rsidR="00A616C6" w:rsidRPr="0070115A">
        <w:rPr>
          <w:rFonts w:ascii="Calibri" w:hAnsi="Calibri" w:cs="Calibri"/>
        </w:rPr>
        <w:t>The wife has motor neurone illness</w:t>
      </w:r>
      <w:r w:rsidR="0015759A" w:rsidRPr="0070115A">
        <w:rPr>
          <w:rFonts w:ascii="Calibri" w:hAnsi="Calibri" w:cs="Calibri"/>
        </w:rPr>
        <w:t>, and t</w:t>
      </w:r>
      <w:r w:rsidR="00A616C6" w:rsidRPr="0070115A">
        <w:rPr>
          <w:rFonts w:ascii="Calibri" w:hAnsi="Calibri" w:cs="Calibri"/>
        </w:rPr>
        <w:t>he defendant is the main caretaker</w:t>
      </w:r>
      <w:r w:rsidR="0015759A" w:rsidRPr="0070115A">
        <w:rPr>
          <w:rFonts w:ascii="Calibri" w:hAnsi="Calibri" w:cs="Calibri"/>
        </w:rPr>
        <w:t xml:space="preserve">. </w:t>
      </w:r>
      <w:r w:rsidR="00AA723A" w:rsidRPr="0070115A">
        <w:rPr>
          <w:rFonts w:ascii="Calibri" w:hAnsi="Calibri" w:cs="Calibri"/>
        </w:rPr>
        <w:t>Removal fr</w:t>
      </w:r>
      <w:r w:rsidR="0015759A" w:rsidRPr="0070115A">
        <w:rPr>
          <w:rFonts w:ascii="Calibri" w:hAnsi="Calibri" w:cs="Calibri"/>
        </w:rPr>
        <w:t>om the home would result in serious welfare problems.</w:t>
      </w:r>
    </w:p>
    <w:p w14:paraId="2C21670C" w14:textId="5569A484" w:rsidR="00AA723A" w:rsidRPr="0070115A" w:rsidRDefault="0015759A" w:rsidP="001E0A69">
      <w:pPr>
        <w:pStyle w:val="ListParagraph"/>
        <w:numPr>
          <w:ilvl w:val="0"/>
          <w:numId w:val="47"/>
        </w:numPr>
        <w:spacing w:before="100" w:beforeAutospacing="1" w:after="100" w:afterAutospacing="1" w:line="276" w:lineRule="auto"/>
        <w:rPr>
          <w:rFonts w:ascii="Calibri" w:hAnsi="Calibri" w:cs="Calibri"/>
        </w:rPr>
      </w:pPr>
      <w:r w:rsidRPr="0070115A">
        <w:rPr>
          <w:rFonts w:ascii="Calibri" w:hAnsi="Calibri" w:cs="Calibri"/>
        </w:rPr>
        <w:t>Community ties</w:t>
      </w:r>
      <w:r w:rsidR="00941BBE" w:rsidRPr="0070115A">
        <w:rPr>
          <w:rFonts w:ascii="Calibri" w:hAnsi="Calibri" w:cs="Calibri"/>
        </w:rPr>
        <w:t xml:space="preserve">: solid and reliable. </w:t>
      </w:r>
    </w:p>
    <w:p w14:paraId="36FC153C" w14:textId="17ECAA2F" w:rsidR="00941BBE" w:rsidRDefault="00941BBE" w:rsidP="001E0A69">
      <w:pPr>
        <w:spacing w:before="100" w:beforeAutospacing="1" w:after="100" w:afterAutospacing="1" w:line="276" w:lineRule="auto"/>
        <w:rPr>
          <w:rFonts w:ascii="Calibri" w:hAnsi="Calibri" w:cs="Calibri"/>
        </w:rPr>
      </w:pPr>
      <w:r w:rsidRPr="0070115A">
        <w:rPr>
          <w:rFonts w:ascii="Calibri" w:hAnsi="Calibri" w:cs="Calibri"/>
        </w:rPr>
        <w:lastRenderedPageBreak/>
        <w:t>According to Criminal Prosecution Rule 14.2, court</w:t>
      </w:r>
      <w:r w:rsidR="006F7F93" w:rsidRPr="0070115A">
        <w:rPr>
          <w:rFonts w:ascii="Calibri" w:hAnsi="Calibri" w:cs="Calibri"/>
        </w:rPr>
        <w:t>s</w:t>
      </w:r>
      <w:r w:rsidRPr="0070115A">
        <w:rPr>
          <w:rFonts w:ascii="Calibri" w:hAnsi="Calibri" w:cs="Calibri"/>
        </w:rPr>
        <w:t xml:space="preserve"> frequently ack</w:t>
      </w:r>
      <w:r w:rsidR="006F7F93" w:rsidRPr="0070115A">
        <w:rPr>
          <w:rFonts w:ascii="Calibri" w:hAnsi="Calibri" w:cs="Calibri"/>
        </w:rPr>
        <w:t xml:space="preserve">nowledge that care obligations are a </w:t>
      </w:r>
      <w:r w:rsidR="0070115A" w:rsidRPr="0070115A">
        <w:rPr>
          <w:rFonts w:ascii="Calibri" w:hAnsi="Calibri" w:cs="Calibri"/>
        </w:rPr>
        <w:t>signific</w:t>
      </w:r>
      <w:r w:rsidR="006F7F93" w:rsidRPr="0070115A">
        <w:rPr>
          <w:rFonts w:ascii="Calibri" w:hAnsi="Calibri" w:cs="Calibri"/>
        </w:rPr>
        <w:t>ant consideration that weighs against detention. (legislation</w:t>
      </w:r>
      <w:r w:rsidR="0070115A" w:rsidRPr="0070115A">
        <w:rPr>
          <w:rFonts w:ascii="Calibri" w:hAnsi="Calibri" w:cs="Calibri"/>
        </w:rPr>
        <w:t>.gov.uk, 2025).</w:t>
      </w:r>
    </w:p>
    <w:p w14:paraId="7B47EA30" w14:textId="14EE60B0" w:rsidR="002A231C" w:rsidRDefault="006364C9" w:rsidP="001E0A69">
      <w:pPr>
        <w:pStyle w:val="ListParagraph"/>
        <w:numPr>
          <w:ilvl w:val="0"/>
          <w:numId w:val="2"/>
        </w:numPr>
        <w:spacing w:before="100" w:beforeAutospacing="1" w:after="100" w:afterAutospacing="1" w:line="276" w:lineRule="auto"/>
        <w:rPr>
          <w:rFonts w:ascii="Calibri" w:hAnsi="Calibri" w:cs="Calibri"/>
          <w:b/>
          <w:bCs/>
        </w:rPr>
      </w:pPr>
      <w:r w:rsidRPr="006364C9">
        <w:rPr>
          <w:rFonts w:ascii="Calibri" w:hAnsi="Calibri" w:cs="Calibri"/>
          <w:b/>
          <w:bCs/>
        </w:rPr>
        <w:t>Appropriate Bail Conditions</w:t>
      </w:r>
    </w:p>
    <w:p w14:paraId="530CE574" w14:textId="3A826420" w:rsidR="002A231C" w:rsidRPr="00D37E77" w:rsidRDefault="002A231C" w:rsidP="001E0A69">
      <w:pPr>
        <w:spacing w:before="100" w:beforeAutospacing="1" w:after="100" w:afterAutospacing="1" w:line="276" w:lineRule="auto"/>
        <w:rPr>
          <w:rFonts w:ascii="Calibri" w:hAnsi="Calibri" w:cs="Calibri"/>
        </w:rPr>
      </w:pPr>
      <w:r w:rsidRPr="00D37E77">
        <w:rPr>
          <w:rFonts w:ascii="Calibri" w:hAnsi="Calibri" w:cs="Calibri"/>
        </w:rPr>
        <w:t xml:space="preserve">The Bail Act states that before remanding a defendant, the court must </w:t>
      </w:r>
      <w:r w:rsidR="00D37E77" w:rsidRPr="00D37E77">
        <w:rPr>
          <w:rFonts w:ascii="Calibri" w:hAnsi="Calibri" w:cs="Calibri"/>
        </w:rPr>
        <w:t>consider</w:t>
      </w:r>
      <w:r w:rsidRPr="00D37E77">
        <w:rPr>
          <w:rFonts w:ascii="Calibri" w:hAnsi="Calibri" w:cs="Calibri"/>
        </w:rPr>
        <w:t xml:space="preserve"> less restrictive options. </w:t>
      </w:r>
    </w:p>
    <w:p w14:paraId="4B12D440" w14:textId="1A5C8EC9" w:rsidR="002A231C" w:rsidRPr="00D37E77" w:rsidRDefault="002A231C" w:rsidP="001E0A69">
      <w:pPr>
        <w:spacing w:before="100" w:beforeAutospacing="1" w:after="100" w:afterAutospacing="1" w:line="276" w:lineRule="auto"/>
        <w:rPr>
          <w:rFonts w:ascii="Calibri" w:hAnsi="Calibri" w:cs="Calibri"/>
        </w:rPr>
      </w:pPr>
      <w:r w:rsidRPr="00D37E77">
        <w:rPr>
          <w:rFonts w:ascii="Calibri" w:hAnsi="Calibri" w:cs="Calibri"/>
        </w:rPr>
        <w:t>Recommended conditions:</w:t>
      </w:r>
    </w:p>
    <w:p w14:paraId="5294712E" w14:textId="6A97D37B" w:rsidR="002A231C" w:rsidRPr="00D37E77" w:rsidRDefault="002A231C"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The residence at 10 Petunia Avenue.</w:t>
      </w:r>
    </w:p>
    <w:p w14:paraId="54E0D786" w14:textId="4541B8AD" w:rsidR="002A231C" w:rsidRPr="00D37E77" w:rsidRDefault="002A231C"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Making a daily or every three weeks report to Swansea Central Police Station.</w:t>
      </w:r>
    </w:p>
    <w:p w14:paraId="7C4C6A24" w14:textId="5B04E01F" w:rsidR="002A231C" w:rsidRPr="00D37E77" w:rsidRDefault="002A231C"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The exclusion zone between the complainant’s home and place of employment</w:t>
      </w:r>
      <w:r w:rsidR="005E2D04" w:rsidRPr="00D37E77">
        <w:rPr>
          <w:rFonts w:ascii="Calibri" w:hAnsi="Calibri" w:cs="Calibri"/>
        </w:rPr>
        <w:t>,</w:t>
      </w:r>
      <w:r w:rsidRPr="00D37E77">
        <w:rPr>
          <w:rFonts w:ascii="Calibri" w:hAnsi="Calibri" w:cs="Calibri"/>
        </w:rPr>
        <w:t xml:space="preserve"> and Newton Park.</w:t>
      </w:r>
    </w:p>
    <w:p w14:paraId="616179B7" w14:textId="556F94EF" w:rsidR="002A231C" w:rsidRPr="00D37E77" w:rsidRDefault="002A231C"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Not communicating with witnesses or the complainant.</w:t>
      </w:r>
    </w:p>
    <w:p w14:paraId="184DC625" w14:textId="462398AD" w:rsidR="002A231C" w:rsidRPr="00D37E77" w:rsidRDefault="002A231C"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If necessary, a curfew</w:t>
      </w:r>
      <w:r w:rsidR="005E2D04" w:rsidRPr="00D37E77">
        <w:rPr>
          <w:rFonts w:ascii="Calibri" w:hAnsi="Calibri" w:cs="Calibri"/>
        </w:rPr>
        <w:t xml:space="preserve"> could be implemented, such as from 7 pm to 6 am.</w:t>
      </w:r>
    </w:p>
    <w:p w14:paraId="026A8DA7" w14:textId="0C8E98DB" w:rsidR="001301B7" w:rsidRPr="00D37E77" w:rsidRDefault="00425D1C"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Curfew and exclusion zone enforcement using electronic monitoring</w:t>
      </w:r>
      <w:r w:rsidR="00CB6703" w:rsidRPr="00D37E77">
        <w:rPr>
          <w:rFonts w:ascii="Calibri" w:hAnsi="Calibri" w:cs="Calibri"/>
        </w:rPr>
        <w:t>,</w:t>
      </w:r>
      <w:r w:rsidRPr="00D37E77">
        <w:rPr>
          <w:rFonts w:ascii="Calibri" w:hAnsi="Calibri" w:cs="Calibri"/>
        </w:rPr>
        <w:t xml:space="preserve"> such as </w:t>
      </w:r>
      <w:r w:rsidR="004225F9" w:rsidRPr="00D37E77">
        <w:rPr>
          <w:rFonts w:ascii="Calibri" w:hAnsi="Calibri" w:cs="Calibri"/>
        </w:rPr>
        <w:t>t</w:t>
      </w:r>
      <w:r w:rsidRPr="00D37E77">
        <w:rPr>
          <w:rFonts w:ascii="Calibri" w:hAnsi="Calibri" w:cs="Calibri"/>
        </w:rPr>
        <w:t>aggin</w:t>
      </w:r>
      <w:r w:rsidR="004225F9" w:rsidRPr="00D37E77">
        <w:rPr>
          <w:rFonts w:ascii="Calibri" w:hAnsi="Calibri" w:cs="Calibri"/>
        </w:rPr>
        <w:t>g.</w:t>
      </w:r>
    </w:p>
    <w:p w14:paraId="5527587A" w14:textId="63505A8C" w:rsidR="001301B7" w:rsidRPr="00D37E77" w:rsidRDefault="004225F9"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Passport surrender if failing to surrender continues.</w:t>
      </w:r>
    </w:p>
    <w:p w14:paraId="00E90063" w14:textId="77777777" w:rsidR="00196820" w:rsidRDefault="00CB6703" w:rsidP="001E0A69">
      <w:pPr>
        <w:pStyle w:val="ListParagraph"/>
        <w:numPr>
          <w:ilvl w:val="0"/>
          <w:numId w:val="50"/>
        </w:numPr>
        <w:spacing w:before="100" w:beforeAutospacing="1" w:after="100" w:afterAutospacing="1" w:line="276" w:lineRule="auto"/>
        <w:rPr>
          <w:rFonts w:ascii="Calibri" w:hAnsi="Calibri" w:cs="Calibri"/>
        </w:rPr>
      </w:pPr>
      <w:r w:rsidRPr="00D37E77">
        <w:rPr>
          <w:rFonts w:ascii="Calibri" w:hAnsi="Calibri" w:cs="Calibri"/>
        </w:rPr>
        <w:t>Security or surety if the court requests it.</w:t>
      </w:r>
    </w:p>
    <w:p w14:paraId="70A44AFE" w14:textId="7D075B4C" w:rsidR="00CB6703" w:rsidRDefault="00CB6703" w:rsidP="001E0A69">
      <w:pPr>
        <w:pStyle w:val="ListParagraph"/>
        <w:numPr>
          <w:ilvl w:val="0"/>
          <w:numId w:val="50"/>
        </w:numPr>
        <w:spacing w:before="100" w:beforeAutospacing="1" w:after="100" w:afterAutospacing="1" w:line="276" w:lineRule="auto"/>
        <w:rPr>
          <w:rFonts w:ascii="Calibri" w:hAnsi="Calibri" w:cs="Calibri"/>
        </w:rPr>
      </w:pPr>
      <w:r w:rsidRPr="00F82BEA">
        <w:rPr>
          <w:rFonts w:ascii="Calibri" w:hAnsi="Calibri" w:cs="Calibri"/>
        </w:rPr>
        <w:t>These circumstances are appropriate, focused, and successful. (Sentencing</w:t>
      </w:r>
      <w:r w:rsidR="00D37E77" w:rsidRPr="00F82BEA">
        <w:rPr>
          <w:rFonts w:ascii="Calibri" w:hAnsi="Calibri" w:cs="Calibri"/>
        </w:rPr>
        <w:t>council, 2019)</w:t>
      </w:r>
      <w:r w:rsidR="00E15FF1">
        <w:rPr>
          <w:rFonts w:ascii="Calibri" w:hAnsi="Calibri" w:cs="Calibri"/>
        </w:rPr>
        <w:t>.</w:t>
      </w:r>
    </w:p>
    <w:p w14:paraId="0EDAB0E2" w14:textId="5B7FA54B" w:rsidR="00E15FF1" w:rsidRDefault="001B288E" w:rsidP="001E0A69">
      <w:pPr>
        <w:spacing w:before="100" w:beforeAutospacing="1" w:after="100" w:afterAutospacing="1" w:line="276" w:lineRule="auto"/>
        <w:rPr>
          <w:rFonts w:ascii="Calibri" w:hAnsi="Calibri" w:cs="Calibri"/>
          <w:b/>
          <w:bCs/>
          <w:sz w:val="28"/>
          <w:szCs w:val="28"/>
        </w:rPr>
      </w:pPr>
      <w:r w:rsidRPr="001B288E">
        <w:rPr>
          <w:rFonts w:ascii="Calibri" w:hAnsi="Calibri" w:cs="Calibri"/>
          <w:b/>
          <w:bCs/>
          <w:sz w:val="28"/>
          <w:szCs w:val="28"/>
        </w:rPr>
        <w:t>Oral Bail Submission – Speaker Notes</w:t>
      </w:r>
    </w:p>
    <w:p w14:paraId="452D83F2" w14:textId="24A1CEA1" w:rsidR="000D4E9B" w:rsidRDefault="000D4E9B" w:rsidP="001E0A69">
      <w:pPr>
        <w:pStyle w:val="ListParagraph"/>
        <w:numPr>
          <w:ilvl w:val="0"/>
          <w:numId w:val="51"/>
        </w:numPr>
        <w:spacing w:before="100" w:beforeAutospacing="1" w:after="100" w:afterAutospacing="1" w:line="276" w:lineRule="auto"/>
        <w:rPr>
          <w:rFonts w:ascii="Calibri" w:hAnsi="Calibri" w:cs="Calibri"/>
          <w:b/>
          <w:bCs/>
        </w:rPr>
      </w:pPr>
      <w:r w:rsidRPr="000D4E9B">
        <w:rPr>
          <w:rFonts w:ascii="Calibri" w:hAnsi="Calibri" w:cs="Calibri"/>
          <w:b/>
          <w:bCs/>
        </w:rPr>
        <w:t>Opening position</w:t>
      </w:r>
    </w:p>
    <w:p w14:paraId="4B81F312" w14:textId="3549E959" w:rsidR="00AE2FBC" w:rsidRPr="005C0CCB" w:rsidRDefault="00861925" w:rsidP="001E0A69">
      <w:pPr>
        <w:spacing w:before="100" w:beforeAutospacing="1" w:after="100" w:afterAutospacing="1" w:line="276" w:lineRule="auto"/>
        <w:rPr>
          <w:rFonts w:ascii="Calibri" w:hAnsi="Calibri" w:cs="Calibri"/>
        </w:rPr>
      </w:pPr>
      <w:r w:rsidRPr="005C0CCB">
        <w:rPr>
          <w:rFonts w:ascii="Calibri" w:hAnsi="Calibri" w:cs="Calibri"/>
        </w:rPr>
        <w:t>“</w:t>
      </w:r>
      <w:r w:rsidR="00AE2FBC" w:rsidRPr="005C0CCB">
        <w:rPr>
          <w:rFonts w:ascii="Calibri" w:hAnsi="Calibri" w:cs="Calibri"/>
        </w:rPr>
        <w:t>Good morning</w:t>
      </w:r>
      <w:r w:rsidR="00834AA4" w:rsidRPr="005C0CCB">
        <w:rPr>
          <w:rFonts w:ascii="Calibri" w:hAnsi="Calibri" w:cs="Calibri"/>
        </w:rPr>
        <w:t>,</w:t>
      </w:r>
      <w:r w:rsidR="00AE2FBC" w:rsidRPr="005C0CCB">
        <w:rPr>
          <w:rFonts w:ascii="Calibri" w:hAnsi="Calibri" w:cs="Calibri"/>
        </w:rPr>
        <w:t xml:space="preserve"> judge. I’m Diana, and I’m here to apply for bail on behalf of </w:t>
      </w:r>
      <w:r w:rsidR="00391E9F" w:rsidRPr="005C0CCB">
        <w:rPr>
          <w:rFonts w:ascii="Calibri" w:hAnsi="Calibri" w:cs="Calibri"/>
        </w:rPr>
        <w:t>the defendant</w:t>
      </w:r>
      <w:r w:rsidR="00834AA4" w:rsidRPr="005C0CCB">
        <w:rPr>
          <w:rFonts w:ascii="Calibri" w:hAnsi="Calibri" w:cs="Calibri"/>
        </w:rPr>
        <w:t>, Mr Jeremy Hope.</w:t>
      </w:r>
      <w:r w:rsidRPr="005C0CCB">
        <w:rPr>
          <w:rFonts w:ascii="Calibri" w:hAnsi="Calibri" w:cs="Calibri"/>
        </w:rPr>
        <w:t>”</w:t>
      </w:r>
    </w:p>
    <w:p w14:paraId="7FE24CAE" w14:textId="55EE19D3" w:rsidR="003518FA" w:rsidRPr="005C0CCB" w:rsidRDefault="003518FA" w:rsidP="001E0A69">
      <w:pPr>
        <w:spacing w:before="100" w:beforeAutospacing="1" w:after="100" w:afterAutospacing="1" w:line="276" w:lineRule="auto"/>
        <w:rPr>
          <w:rFonts w:ascii="Calibri" w:hAnsi="Calibri" w:cs="Calibri"/>
        </w:rPr>
      </w:pPr>
      <w:r w:rsidRPr="005C0CCB">
        <w:rPr>
          <w:rFonts w:ascii="Calibri" w:hAnsi="Calibri" w:cs="Calibri"/>
        </w:rPr>
        <w:t>“I remind the court that there is a presumption in favour of bail under section 4 (1)</w:t>
      </w:r>
      <w:r w:rsidR="00C40DF0" w:rsidRPr="005C0CCB">
        <w:rPr>
          <w:rFonts w:ascii="Calibri" w:hAnsi="Calibri" w:cs="Calibri"/>
        </w:rPr>
        <w:t xml:space="preserve"> of the Bail Act 1976, and that Mr Hope must be granted bail unless the prosecution can show substan</w:t>
      </w:r>
      <w:r w:rsidR="00861925" w:rsidRPr="005C0CCB">
        <w:rPr>
          <w:rFonts w:ascii="Calibri" w:hAnsi="Calibri" w:cs="Calibri"/>
        </w:rPr>
        <w:t>tial grounds under Schedule 1 for refusing it.”</w:t>
      </w:r>
    </w:p>
    <w:p w14:paraId="491F1E6A" w14:textId="2E35F96A" w:rsidR="00861925" w:rsidRDefault="005C0CCB" w:rsidP="001E0A69">
      <w:pPr>
        <w:pStyle w:val="ListParagraph"/>
        <w:numPr>
          <w:ilvl w:val="0"/>
          <w:numId w:val="51"/>
        </w:numPr>
        <w:spacing w:before="100" w:beforeAutospacing="1" w:after="100" w:afterAutospacing="1" w:line="276" w:lineRule="auto"/>
        <w:rPr>
          <w:rFonts w:ascii="Calibri" w:hAnsi="Calibri" w:cs="Calibri"/>
          <w:b/>
          <w:bCs/>
        </w:rPr>
      </w:pPr>
      <w:r>
        <w:rPr>
          <w:rFonts w:ascii="Calibri" w:hAnsi="Calibri" w:cs="Calibri"/>
          <w:b/>
          <w:bCs/>
        </w:rPr>
        <w:t>Nature of the Allegation</w:t>
      </w:r>
    </w:p>
    <w:p w14:paraId="11CCC59B" w14:textId="4492BBE3" w:rsidR="003E7961" w:rsidRPr="00F43E19" w:rsidRDefault="003E7961" w:rsidP="001E0A69">
      <w:pPr>
        <w:spacing w:before="100" w:beforeAutospacing="1" w:after="100" w:afterAutospacing="1" w:line="276" w:lineRule="auto"/>
        <w:rPr>
          <w:rFonts w:ascii="Calibri" w:hAnsi="Calibri" w:cs="Calibri"/>
        </w:rPr>
      </w:pPr>
      <w:r w:rsidRPr="00F43E19">
        <w:rPr>
          <w:rFonts w:ascii="Calibri" w:hAnsi="Calibri" w:cs="Calibri"/>
        </w:rPr>
        <w:t>“</w:t>
      </w:r>
      <w:r w:rsidR="00366874" w:rsidRPr="00F43E19">
        <w:rPr>
          <w:rFonts w:ascii="Calibri" w:hAnsi="Calibri" w:cs="Calibri"/>
        </w:rPr>
        <w:t>T</w:t>
      </w:r>
      <w:r w:rsidRPr="00F43E19">
        <w:rPr>
          <w:rFonts w:ascii="Calibri" w:hAnsi="Calibri" w:cs="Calibri"/>
        </w:rPr>
        <w:t xml:space="preserve">his is a charge of </w:t>
      </w:r>
      <w:r w:rsidR="00366874" w:rsidRPr="00F43E19">
        <w:rPr>
          <w:rFonts w:ascii="Calibri" w:hAnsi="Calibri" w:cs="Calibri"/>
        </w:rPr>
        <w:t>grievous bodily harm in violation of the Offence Against the Person Act 1861, section 20.”</w:t>
      </w:r>
    </w:p>
    <w:p w14:paraId="22B57FB9" w14:textId="02D80037" w:rsidR="00366874" w:rsidRPr="00F43E19" w:rsidRDefault="00366874" w:rsidP="001E0A69">
      <w:pPr>
        <w:spacing w:before="100" w:beforeAutospacing="1" w:after="100" w:afterAutospacing="1" w:line="276" w:lineRule="auto"/>
        <w:rPr>
          <w:rFonts w:ascii="Calibri" w:hAnsi="Calibri" w:cs="Calibri"/>
        </w:rPr>
      </w:pPr>
      <w:r w:rsidRPr="00F43E19">
        <w:rPr>
          <w:rFonts w:ascii="Calibri" w:hAnsi="Calibri" w:cs="Calibri"/>
        </w:rPr>
        <w:t>“I ackno</w:t>
      </w:r>
      <w:r w:rsidR="00B51964" w:rsidRPr="00F43E19">
        <w:rPr>
          <w:rFonts w:ascii="Calibri" w:hAnsi="Calibri" w:cs="Calibri"/>
        </w:rPr>
        <w:t>wledge the significance of the accusation; however, I remind the court that the presumption of bail cannot be overturned by seriousness alone.”</w:t>
      </w:r>
    </w:p>
    <w:p w14:paraId="2DB92787" w14:textId="6F7B66A5" w:rsidR="00B51964" w:rsidRPr="00F43E19" w:rsidRDefault="00B51964" w:rsidP="001E0A69">
      <w:pPr>
        <w:spacing w:before="100" w:beforeAutospacing="1" w:after="100" w:afterAutospacing="1" w:line="276" w:lineRule="auto"/>
        <w:rPr>
          <w:rFonts w:ascii="Calibri" w:hAnsi="Calibri" w:cs="Calibri"/>
        </w:rPr>
      </w:pPr>
      <w:r w:rsidRPr="00F43E19">
        <w:rPr>
          <w:rFonts w:ascii="Calibri" w:hAnsi="Calibri" w:cs="Calibri"/>
        </w:rPr>
        <w:lastRenderedPageBreak/>
        <w:t>(Authority: R v Justice of Nottingham ex p Davies [1981])</w:t>
      </w:r>
    </w:p>
    <w:p w14:paraId="0AF2A95B" w14:textId="58A80612" w:rsidR="004B7326" w:rsidRDefault="00B51964" w:rsidP="001E0A69">
      <w:pPr>
        <w:pStyle w:val="ListParagraph"/>
        <w:numPr>
          <w:ilvl w:val="0"/>
          <w:numId w:val="51"/>
        </w:numPr>
        <w:spacing w:before="100" w:beforeAutospacing="1" w:after="100" w:afterAutospacing="1" w:line="276" w:lineRule="auto"/>
        <w:rPr>
          <w:rFonts w:ascii="Calibri" w:hAnsi="Calibri" w:cs="Calibri"/>
          <w:b/>
          <w:bCs/>
        </w:rPr>
      </w:pPr>
      <w:r>
        <w:rPr>
          <w:rFonts w:ascii="Calibri" w:hAnsi="Calibri" w:cs="Calibri"/>
          <w:b/>
          <w:bCs/>
        </w:rPr>
        <w:t>Prosecution Objections (Framed for the Judge)</w:t>
      </w:r>
    </w:p>
    <w:p w14:paraId="629E98FE" w14:textId="2E26C908" w:rsidR="004B7326" w:rsidRPr="00F43E19" w:rsidRDefault="004B7326" w:rsidP="001E0A69">
      <w:pPr>
        <w:spacing w:before="100" w:beforeAutospacing="1" w:after="100" w:afterAutospacing="1" w:line="276" w:lineRule="auto"/>
        <w:rPr>
          <w:rFonts w:ascii="Calibri" w:hAnsi="Calibri" w:cs="Calibri"/>
        </w:rPr>
      </w:pPr>
      <w:r w:rsidRPr="00F43E19">
        <w:rPr>
          <w:rFonts w:ascii="Calibri" w:hAnsi="Calibri" w:cs="Calibri"/>
        </w:rPr>
        <w:t>“I am aware that the prosecution rejects bail for three reasons:</w:t>
      </w:r>
    </w:p>
    <w:p w14:paraId="100222F3" w14:textId="7C0F0EA6" w:rsidR="004B7326" w:rsidRPr="00F43E19" w:rsidRDefault="004B7326" w:rsidP="001E0A69">
      <w:pPr>
        <w:pStyle w:val="ListParagraph"/>
        <w:numPr>
          <w:ilvl w:val="0"/>
          <w:numId w:val="57"/>
        </w:numPr>
        <w:spacing w:before="100" w:beforeAutospacing="1" w:after="100" w:afterAutospacing="1" w:line="276" w:lineRule="auto"/>
        <w:rPr>
          <w:rFonts w:ascii="Calibri" w:hAnsi="Calibri" w:cs="Calibri"/>
        </w:rPr>
      </w:pPr>
      <w:r w:rsidRPr="00F43E19">
        <w:rPr>
          <w:rFonts w:ascii="Calibri" w:hAnsi="Calibri" w:cs="Calibri"/>
        </w:rPr>
        <w:t xml:space="preserve">The risk of failing to surrender </w:t>
      </w:r>
    </w:p>
    <w:p w14:paraId="0C5F2104" w14:textId="76BFFFBB" w:rsidR="004B7326" w:rsidRPr="00F43E19" w:rsidRDefault="004B7326" w:rsidP="001E0A69">
      <w:pPr>
        <w:pStyle w:val="ListParagraph"/>
        <w:numPr>
          <w:ilvl w:val="0"/>
          <w:numId w:val="57"/>
        </w:numPr>
        <w:spacing w:before="100" w:beforeAutospacing="1" w:after="100" w:afterAutospacing="1" w:line="276" w:lineRule="auto"/>
        <w:rPr>
          <w:rFonts w:ascii="Calibri" w:hAnsi="Calibri" w:cs="Calibri"/>
        </w:rPr>
      </w:pPr>
      <w:r w:rsidRPr="00F43E19">
        <w:rPr>
          <w:rFonts w:ascii="Calibri" w:hAnsi="Calibri" w:cs="Calibri"/>
        </w:rPr>
        <w:t xml:space="preserve">The possibility of committing </w:t>
      </w:r>
      <w:r w:rsidR="00131C57" w:rsidRPr="00F43E19">
        <w:rPr>
          <w:rFonts w:ascii="Calibri" w:hAnsi="Calibri" w:cs="Calibri"/>
        </w:rPr>
        <w:t>further</w:t>
      </w:r>
      <w:r w:rsidRPr="00F43E19">
        <w:rPr>
          <w:rFonts w:ascii="Calibri" w:hAnsi="Calibri" w:cs="Calibri"/>
        </w:rPr>
        <w:t xml:space="preserve"> crimes, and </w:t>
      </w:r>
    </w:p>
    <w:p w14:paraId="39A0F247" w14:textId="51A115FA" w:rsidR="004B7326" w:rsidRPr="00F43E19" w:rsidRDefault="004B7326" w:rsidP="001E0A69">
      <w:pPr>
        <w:pStyle w:val="ListParagraph"/>
        <w:numPr>
          <w:ilvl w:val="0"/>
          <w:numId w:val="57"/>
        </w:numPr>
        <w:spacing w:before="100" w:beforeAutospacing="1" w:after="100" w:afterAutospacing="1" w:line="276" w:lineRule="auto"/>
        <w:rPr>
          <w:rFonts w:ascii="Calibri" w:hAnsi="Calibri" w:cs="Calibri"/>
        </w:rPr>
      </w:pPr>
      <w:r w:rsidRPr="00F43E19">
        <w:rPr>
          <w:rFonts w:ascii="Calibri" w:hAnsi="Calibri" w:cs="Calibri"/>
        </w:rPr>
        <w:t>The possibility of inter</w:t>
      </w:r>
      <w:r w:rsidR="00CF030C" w:rsidRPr="00F43E19">
        <w:rPr>
          <w:rFonts w:ascii="Calibri" w:hAnsi="Calibri" w:cs="Calibri"/>
        </w:rPr>
        <w:t>fering with witnesses.</w:t>
      </w:r>
    </w:p>
    <w:p w14:paraId="259D972B" w14:textId="0D5EAE3B" w:rsidR="00CF030C" w:rsidRPr="00F43E19" w:rsidRDefault="00CF030C" w:rsidP="001E0A69">
      <w:pPr>
        <w:spacing w:before="100" w:beforeAutospacing="1" w:after="100" w:afterAutospacing="1" w:line="276" w:lineRule="auto"/>
        <w:rPr>
          <w:rFonts w:ascii="Calibri" w:hAnsi="Calibri" w:cs="Calibri"/>
        </w:rPr>
      </w:pPr>
      <w:r w:rsidRPr="00F43E19">
        <w:rPr>
          <w:rFonts w:ascii="Calibri" w:hAnsi="Calibri" w:cs="Calibri"/>
        </w:rPr>
        <w:t>“ I will speak about each one separately.”</w:t>
      </w:r>
    </w:p>
    <w:p w14:paraId="51555CF7" w14:textId="25EA6633" w:rsidR="00CF030C" w:rsidRDefault="00CF030C" w:rsidP="001E0A69">
      <w:pPr>
        <w:pStyle w:val="ListParagraph"/>
        <w:numPr>
          <w:ilvl w:val="0"/>
          <w:numId w:val="51"/>
        </w:numPr>
        <w:spacing w:before="100" w:beforeAutospacing="1" w:after="100" w:afterAutospacing="1" w:line="276" w:lineRule="auto"/>
        <w:rPr>
          <w:rFonts w:ascii="Calibri" w:hAnsi="Calibri" w:cs="Calibri"/>
          <w:b/>
          <w:bCs/>
        </w:rPr>
      </w:pPr>
      <w:r>
        <w:rPr>
          <w:rFonts w:ascii="Calibri" w:hAnsi="Calibri" w:cs="Calibri"/>
          <w:b/>
          <w:bCs/>
        </w:rPr>
        <w:t>Risk of failing to surren</w:t>
      </w:r>
      <w:r w:rsidR="00131C57">
        <w:rPr>
          <w:rFonts w:ascii="Calibri" w:hAnsi="Calibri" w:cs="Calibri"/>
          <w:b/>
          <w:bCs/>
        </w:rPr>
        <w:t>der (FTS)</w:t>
      </w:r>
    </w:p>
    <w:p w14:paraId="11C8F7AF" w14:textId="7BBC00F6" w:rsidR="001B587C" w:rsidRPr="007D1828" w:rsidRDefault="001B587C" w:rsidP="001E0A69">
      <w:pPr>
        <w:spacing w:before="100" w:beforeAutospacing="1" w:after="100" w:afterAutospacing="1" w:line="276" w:lineRule="auto"/>
        <w:rPr>
          <w:rFonts w:ascii="Calibri" w:hAnsi="Calibri" w:cs="Calibri"/>
        </w:rPr>
      </w:pPr>
      <w:r w:rsidRPr="007D1828">
        <w:rPr>
          <w:rFonts w:ascii="Calibri" w:hAnsi="Calibri" w:cs="Calibri"/>
        </w:rPr>
        <w:t>“Mr Hope works full-time as an IT technician and has been employed by the same company for more than ten years.”</w:t>
      </w:r>
    </w:p>
    <w:p w14:paraId="5276C091" w14:textId="7307A9FA" w:rsidR="001B587C" w:rsidRPr="007D1828" w:rsidRDefault="001B587C" w:rsidP="001E0A69">
      <w:pPr>
        <w:spacing w:before="100" w:beforeAutospacing="1" w:after="100" w:afterAutospacing="1" w:line="276" w:lineRule="auto"/>
        <w:rPr>
          <w:rFonts w:ascii="Calibri" w:hAnsi="Calibri" w:cs="Calibri"/>
        </w:rPr>
      </w:pPr>
      <w:r w:rsidRPr="007D1828">
        <w:rPr>
          <w:rFonts w:ascii="Calibri" w:hAnsi="Calibri" w:cs="Calibri"/>
        </w:rPr>
        <w:t>“He is married, a homeowner, and the main carer for his young child and wife, who has motor neuron disease.”</w:t>
      </w:r>
    </w:p>
    <w:p w14:paraId="05D0923B" w14:textId="4FEC92BC" w:rsidR="001B587C" w:rsidRPr="007D1828" w:rsidRDefault="001B587C" w:rsidP="001E0A69">
      <w:pPr>
        <w:spacing w:before="100" w:beforeAutospacing="1" w:after="100" w:afterAutospacing="1" w:line="276" w:lineRule="auto"/>
        <w:rPr>
          <w:rFonts w:ascii="Calibri" w:hAnsi="Calibri" w:cs="Calibri"/>
        </w:rPr>
      </w:pPr>
      <w:r w:rsidRPr="007D1828">
        <w:rPr>
          <w:rFonts w:ascii="Calibri" w:hAnsi="Calibri" w:cs="Calibri"/>
        </w:rPr>
        <w:t>“Any risk of failing to surrender is significantly reduced by these strong ties to the community, workplace and family.”</w:t>
      </w:r>
    </w:p>
    <w:p w14:paraId="01E51F71" w14:textId="1E43B2FC" w:rsidR="001B587C" w:rsidRPr="007D1828" w:rsidRDefault="001B587C" w:rsidP="001E0A69">
      <w:pPr>
        <w:spacing w:before="100" w:beforeAutospacing="1" w:after="100" w:afterAutospacing="1" w:line="276" w:lineRule="auto"/>
        <w:rPr>
          <w:rFonts w:ascii="Calibri" w:hAnsi="Calibri" w:cs="Calibri"/>
        </w:rPr>
      </w:pPr>
      <w:r w:rsidRPr="007D1828">
        <w:rPr>
          <w:rFonts w:ascii="Calibri" w:hAnsi="Calibri" w:cs="Calibri"/>
        </w:rPr>
        <w:t>“</w:t>
      </w:r>
      <w:r w:rsidR="003505D4" w:rsidRPr="007D1828">
        <w:rPr>
          <w:rFonts w:ascii="Calibri" w:hAnsi="Calibri" w:cs="Calibri"/>
        </w:rPr>
        <w:t>T</w:t>
      </w:r>
      <w:r w:rsidRPr="007D1828">
        <w:rPr>
          <w:rFonts w:ascii="Calibri" w:hAnsi="Calibri" w:cs="Calibri"/>
        </w:rPr>
        <w:t xml:space="preserve">he context is important even when there has been a prior conviction for failing to surrender. It wasn’t intentional avoidance that caused that failure, but </w:t>
      </w:r>
      <w:r w:rsidR="003505D4" w:rsidRPr="007D1828">
        <w:rPr>
          <w:rFonts w:ascii="Calibri" w:hAnsi="Calibri" w:cs="Calibri"/>
        </w:rPr>
        <w:t>rather a car accident. And hospitalisation.”</w:t>
      </w:r>
    </w:p>
    <w:p w14:paraId="064FECD6" w14:textId="5086F733" w:rsidR="003505D4" w:rsidRDefault="003505D4" w:rsidP="001E0A69">
      <w:pPr>
        <w:spacing w:before="100" w:beforeAutospacing="1" w:after="100" w:afterAutospacing="1" w:line="276" w:lineRule="auto"/>
        <w:rPr>
          <w:rFonts w:ascii="Calibri" w:hAnsi="Calibri" w:cs="Calibri"/>
        </w:rPr>
      </w:pPr>
      <w:r w:rsidRPr="007D1828">
        <w:rPr>
          <w:rFonts w:ascii="Calibri" w:hAnsi="Calibri" w:cs="Calibri"/>
        </w:rPr>
        <w:t>“</w:t>
      </w:r>
      <w:r w:rsidR="007D1828" w:rsidRPr="007D1828">
        <w:rPr>
          <w:rFonts w:ascii="Calibri" w:hAnsi="Calibri" w:cs="Calibri"/>
        </w:rPr>
        <w:t>Previous</w:t>
      </w:r>
      <w:r w:rsidRPr="007D1828">
        <w:rPr>
          <w:rFonts w:ascii="Calibri" w:hAnsi="Calibri" w:cs="Calibri"/>
        </w:rPr>
        <w:t xml:space="preserve"> convictions, especially past ones, must not be treated as determinative where there is evidence of stability and rehabilitation,</w:t>
      </w:r>
      <w:r w:rsidR="007D1828" w:rsidRPr="007D1828">
        <w:rPr>
          <w:rFonts w:ascii="Calibri" w:hAnsi="Calibri" w:cs="Calibri"/>
        </w:rPr>
        <w:t xml:space="preserve"> as stated in Re Moles (1981).”</w:t>
      </w:r>
    </w:p>
    <w:p w14:paraId="286C8181" w14:textId="5DD9880D" w:rsidR="007D1828" w:rsidRDefault="007D1828" w:rsidP="001E0A69">
      <w:pPr>
        <w:pStyle w:val="ListParagraph"/>
        <w:numPr>
          <w:ilvl w:val="0"/>
          <w:numId w:val="51"/>
        </w:numPr>
        <w:spacing w:before="100" w:beforeAutospacing="1" w:after="100" w:afterAutospacing="1" w:line="276" w:lineRule="auto"/>
        <w:rPr>
          <w:rFonts w:ascii="Calibri" w:hAnsi="Calibri" w:cs="Calibri"/>
          <w:b/>
          <w:bCs/>
        </w:rPr>
      </w:pPr>
      <w:r w:rsidRPr="00271457">
        <w:rPr>
          <w:rFonts w:ascii="Calibri" w:hAnsi="Calibri" w:cs="Calibri"/>
          <w:b/>
          <w:bCs/>
        </w:rPr>
        <w:t>Risk of</w:t>
      </w:r>
      <w:r w:rsidR="00271457" w:rsidRPr="00271457">
        <w:rPr>
          <w:rFonts w:ascii="Calibri" w:hAnsi="Calibri" w:cs="Calibri"/>
          <w:b/>
          <w:bCs/>
        </w:rPr>
        <w:t xml:space="preserve"> Committing Further Offences (CFO)</w:t>
      </w:r>
    </w:p>
    <w:p w14:paraId="287B2AA4" w14:textId="0E503BF8" w:rsidR="00DD6444" w:rsidRPr="00245A35" w:rsidRDefault="00DD6444" w:rsidP="001E0A69">
      <w:pPr>
        <w:spacing w:before="100" w:beforeAutospacing="1" w:after="100" w:afterAutospacing="1" w:line="276" w:lineRule="auto"/>
        <w:rPr>
          <w:rFonts w:ascii="Calibri" w:hAnsi="Calibri" w:cs="Calibri"/>
        </w:rPr>
      </w:pPr>
      <w:r w:rsidRPr="00245A35">
        <w:rPr>
          <w:rFonts w:ascii="Calibri" w:hAnsi="Calibri" w:cs="Calibri"/>
        </w:rPr>
        <w:t>“The alleged offence is a single, isolated incident that resulted from a heated encounter.”</w:t>
      </w:r>
    </w:p>
    <w:p w14:paraId="5F33FEE0" w14:textId="49D0C03F" w:rsidR="00DD6444" w:rsidRPr="00245A35" w:rsidRDefault="00DD6444" w:rsidP="001E0A69">
      <w:pPr>
        <w:spacing w:before="100" w:beforeAutospacing="1" w:after="100" w:afterAutospacing="1" w:line="276" w:lineRule="auto"/>
        <w:rPr>
          <w:rFonts w:ascii="Calibri" w:hAnsi="Calibri" w:cs="Calibri"/>
        </w:rPr>
      </w:pPr>
      <w:r w:rsidRPr="00245A35">
        <w:rPr>
          <w:rFonts w:ascii="Calibri" w:hAnsi="Calibri" w:cs="Calibri"/>
        </w:rPr>
        <w:t>“</w:t>
      </w:r>
      <w:r w:rsidR="0000405E" w:rsidRPr="00245A35">
        <w:rPr>
          <w:rFonts w:ascii="Calibri" w:hAnsi="Calibri" w:cs="Calibri"/>
        </w:rPr>
        <w:t>T</w:t>
      </w:r>
      <w:r w:rsidRPr="00245A35">
        <w:rPr>
          <w:rFonts w:ascii="Calibri" w:hAnsi="Calibri" w:cs="Calibri"/>
        </w:rPr>
        <w:t xml:space="preserve">here is </w:t>
      </w:r>
      <w:r w:rsidR="00856F86" w:rsidRPr="00245A35">
        <w:rPr>
          <w:rFonts w:ascii="Calibri" w:hAnsi="Calibri" w:cs="Calibri"/>
        </w:rPr>
        <w:t>no indication of a pattern of ongoing violence, and Mr Hope is not currently on bail for any other matters.”</w:t>
      </w:r>
    </w:p>
    <w:p w14:paraId="6B2E6B2A" w14:textId="16067AAC" w:rsidR="00856F86" w:rsidRPr="00245A35" w:rsidRDefault="00856F86" w:rsidP="001E0A69">
      <w:pPr>
        <w:spacing w:before="100" w:beforeAutospacing="1" w:after="100" w:afterAutospacing="1" w:line="276" w:lineRule="auto"/>
        <w:rPr>
          <w:rFonts w:ascii="Calibri" w:hAnsi="Calibri" w:cs="Calibri"/>
        </w:rPr>
      </w:pPr>
      <w:r w:rsidRPr="00245A35">
        <w:rPr>
          <w:rFonts w:ascii="Calibri" w:hAnsi="Calibri" w:cs="Calibri"/>
        </w:rPr>
        <w:t>“</w:t>
      </w:r>
      <w:r w:rsidR="0000405E" w:rsidRPr="00245A35">
        <w:rPr>
          <w:rFonts w:ascii="Calibri" w:hAnsi="Calibri" w:cs="Calibri"/>
        </w:rPr>
        <w:t>T</w:t>
      </w:r>
      <w:r w:rsidRPr="00245A35">
        <w:rPr>
          <w:rFonts w:ascii="Calibri" w:hAnsi="Calibri" w:cs="Calibri"/>
        </w:rPr>
        <w:t>he court must evaluate present risk, not past wrongdoing.”</w:t>
      </w:r>
    </w:p>
    <w:p w14:paraId="4A9C47C2" w14:textId="6FCCD969" w:rsidR="0000405E" w:rsidRPr="00245A35" w:rsidRDefault="0000405E" w:rsidP="001E0A69">
      <w:pPr>
        <w:spacing w:before="100" w:beforeAutospacing="1" w:after="100" w:afterAutospacing="1" w:line="276" w:lineRule="auto"/>
        <w:rPr>
          <w:rFonts w:ascii="Calibri" w:hAnsi="Calibri" w:cs="Calibri"/>
        </w:rPr>
      </w:pPr>
      <w:r w:rsidRPr="00245A35">
        <w:rPr>
          <w:rFonts w:ascii="Calibri" w:hAnsi="Calibri" w:cs="Calibri"/>
        </w:rPr>
        <w:t>“</w:t>
      </w:r>
      <w:r w:rsidR="002E7D90" w:rsidRPr="00245A35">
        <w:rPr>
          <w:rFonts w:ascii="Calibri" w:hAnsi="Calibri" w:cs="Calibri"/>
        </w:rPr>
        <w:t>S</w:t>
      </w:r>
      <w:r w:rsidRPr="00245A35">
        <w:rPr>
          <w:rFonts w:ascii="Calibri" w:hAnsi="Calibri" w:cs="Calibri"/>
        </w:rPr>
        <w:t>trict bail requirements, which I will soon</w:t>
      </w:r>
      <w:r w:rsidR="002E7D90" w:rsidRPr="00245A35">
        <w:rPr>
          <w:rFonts w:ascii="Calibri" w:hAnsi="Calibri" w:cs="Calibri"/>
        </w:rPr>
        <w:t xml:space="preserve"> suggest, can effectively manage any remaining concern.”</w:t>
      </w:r>
    </w:p>
    <w:p w14:paraId="0DD9E573" w14:textId="424ADA53" w:rsidR="002E7D90" w:rsidRDefault="002E7D90" w:rsidP="001E0A69">
      <w:pPr>
        <w:pStyle w:val="ListParagraph"/>
        <w:numPr>
          <w:ilvl w:val="0"/>
          <w:numId w:val="51"/>
        </w:numPr>
        <w:spacing w:before="100" w:beforeAutospacing="1" w:after="100" w:afterAutospacing="1" w:line="276" w:lineRule="auto"/>
        <w:rPr>
          <w:rFonts w:ascii="Calibri" w:hAnsi="Calibri" w:cs="Calibri"/>
          <w:b/>
          <w:bCs/>
        </w:rPr>
      </w:pPr>
      <w:r>
        <w:rPr>
          <w:rFonts w:ascii="Calibri" w:hAnsi="Calibri" w:cs="Calibri"/>
          <w:b/>
          <w:bCs/>
        </w:rPr>
        <w:t>Risk of Interference with Witnesses (IWW)</w:t>
      </w:r>
    </w:p>
    <w:p w14:paraId="48B016EE" w14:textId="0145EC4D" w:rsidR="00245A35" w:rsidRPr="00383F59" w:rsidRDefault="00245A35" w:rsidP="001E0A69">
      <w:pPr>
        <w:spacing w:before="100" w:beforeAutospacing="1" w:after="100" w:afterAutospacing="1" w:line="276" w:lineRule="auto"/>
        <w:rPr>
          <w:rFonts w:ascii="Calibri" w:hAnsi="Calibri" w:cs="Calibri"/>
        </w:rPr>
      </w:pPr>
      <w:r w:rsidRPr="00383F59">
        <w:rPr>
          <w:rFonts w:ascii="Calibri" w:hAnsi="Calibri" w:cs="Calibri"/>
        </w:rPr>
        <w:lastRenderedPageBreak/>
        <w:t>“</w:t>
      </w:r>
      <w:r w:rsidR="006563F3" w:rsidRPr="00383F59">
        <w:rPr>
          <w:rFonts w:ascii="Calibri" w:hAnsi="Calibri" w:cs="Calibri"/>
        </w:rPr>
        <w:t>Mr Hope does not know the complainant.”</w:t>
      </w:r>
    </w:p>
    <w:p w14:paraId="3DE6106B" w14:textId="30823BF5" w:rsidR="006563F3" w:rsidRPr="00383F59" w:rsidRDefault="006563F3" w:rsidP="001E0A69">
      <w:pPr>
        <w:spacing w:before="100" w:beforeAutospacing="1" w:after="100" w:afterAutospacing="1" w:line="276" w:lineRule="auto"/>
        <w:rPr>
          <w:rFonts w:ascii="Calibri" w:hAnsi="Calibri" w:cs="Calibri"/>
        </w:rPr>
      </w:pPr>
      <w:r w:rsidRPr="00383F59">
        <w:rPr>
          <w:rFonts w:ascii="Calibri" w:hAnsi="Calibri" w:cs="Calibri"/>
        </w:rPr>
        <w:t>“</w:t>
      </w:r>
      <w:r w:rsidR="009828CA" w:rsidRPr="00383F59">
        <w:rPr>
          <w:rFonts w:ascii="Calibri" w:hAnsi="Calibri" w:cs="Calibri"/>
        </w:rPr>
        <w:t>T</w:t>
      </w:r>
      <w:r w:rsidRPr="00383F59">
        <w:rPr>
          <w:rFonts w:ascii="Calibri" w:hAnsi="Calibri" w:cs="Calibri"/>
        </w:rPr>
        <w:t>here is no evidence</w:t>
      </w:r>
      <w:r w:rsidR="008B2B89" w:rsidRPr="00383F59">
        <w:rPr>
          <w:rFonts w:ascii="Calibri" w:hAnsi="Calibri" w:cs="Calibri"/>
        </w:rPr>
        <w:t xml:space="preserve"> of any attempt to interfere since the arrest, no shared address, and no ongoing relationship.”</w:t>
      </w:r>
    </w:p>
    <w:p w14:paraId="1949888A" w14:textId="499DCABF" w:rsidR="009828CA" w:rsidRPr="00383F59" w:rsidRDefault="009828CA" w:rsidP="001E0A69">
      <w:pPr>
        <w:spacing w:before="100" w:beforeAutospacing="1" w:after="100" w:afterAutospacing="1" w:line="276" w:lineRule="auto"/>
        <w:rPr>
          <w:rFonts w:ascii="Calibri" w:hAnsi="Calibri" w:cs="Calibri"/>
        </w:rPr>
      </w:pPr>
      <w:r w:rsidRPr="00383F59">
        <w:rPr>
          <w:rFonts w:ascii="Calibri" w:hAnsi="Calibri" w:cs="Calibri"/>
        </w:rPr>
        <w:t>“</w:t>
      </w:r>
      <w:r w:rsidR="00F12DB4" w:rsidRPr="00383F59">
        <w:rPr>
          <w:rFonts w:ascii="Calibri" w:hAnsi="Calibri" w:cs="Calibri"/>
        </w:rPr>
        <w:t>These</w:t>
      </w:r>
      <w:r w:rsidR="00606586" w:rsidRPr="00383F59">
        <w:rPr>
          <w:rFonts w:ascii="Calibri" w:hAnsi="Calibri" w:cs="Calibri"/>
        </w:rPr>
        <w:t xml:space="preserve"> issues would be completely resolved by a condition of non-contact</w:t>
      </w:r>
      <w:r w:rsidR="00F12DB4" w:rsidRPr="00383F59">
        <w:rPr>
          <w:rFonts w:ascii="Calibri" w:hAnsi="Calibri" w:cs="Calibri"/>
        </w:rPr>
        <w:t xml:space="preserve"> with the complainant.”</w:t>
      </w:r>
    </w:p>
    <w:p w14:paraId="5258EB47" w14:textId="6BA6D50D" w:rsidR="0041420C" w:rsidRPr="00E86EDB" w:rsidRDefault="0017284D" w:rsidP="001E0A69">
      <w:pPr>
        <w:pStyle w:val="ListParagraph"/>
        <w:numPr>
          <w:ilvl w:val="0"/>
          <w:numId w:val="51"/>
        </w:numPr>
        <w:spacing w:before="100" w:beforeAutospacing="1" w:after="100" w:afterAutospacing="1" w:line="276" w:lineRule="auto"/>
        <w:rPr>
          <w:rFonts w:ascii="Calibri" w:hAnsi="Calibri" w:cs="Calibri"/>
          <w:b/>
          <w:bCs/>
        </w:rPr>
      </w:pPr>
      <w:r w:rsidRPr="00E86EDB">
        <w:rPr>
          <w:rFonts w:ascii="Calibri" w:hAnsi="Calibri" w:cs="Calibri"/>
          <w:b/>
          <w:bCs/>
        </w:rPr>
        <w:t>Strength of the Prosecution Case (Brief</w:t>
      </w:r>
      <w:r w:rsidR="00BC01C3" w:rsidRPr="00E86EDB">
        <w:rPr>
          <w:rFonts w:ascii="Calibri" w:hAnsi="Calibri" w:cs="Calibri"/>
          <w:b/>
          <w:bCs/>
        </w:rPr>
        <w:t xml:space="preserve"> &amp; Careful Submission)</w:t>
      </w:r>
    </w:p>
    <w:p w14:paraId="4A630828" w14:textId="494332DF" w:rsidR="00E218B2" w:rsidRPr="00E86EDB" w:rsidRDefault="00E218B2" w:rsidP="001E0A69">
      <w:pPr>
        <w:spacing w:before="100" w:beforeAutospacing="1" w:after="100" w:afterAutospacing="1" w:line="276" w:lineRule="auto"/>
        <w:rPr>
          <w:rFonts w:ascii="Calibri" w:hAnsi="Calibri" w:cs="Calibri"/>
        </w:rPr>
      </w:pPr>
      <w:r w:rsidRPr="00E86EDB">
        <w:rPr>
          <w:rFonts w:ascii="Calibri" w:hAnsi="Calibri" w:cs="Calibri"/>
        </w:rPr>
        <w:t>“I</w:t>
      </w:r>
      <w:r w:rsidR="001D5E92" w:rsidRPr="00E86EDB">
        <w:rPr>
          <w:rFonts w:ascii="Calibri" w:hAnsi="Calibri" w:cs="Calibri"/>
        </w:rPr>
        <w:t xml:space="preserve"> observe</w:t>
      </w:r>
      <w:r w:rsidR="00386CF6" w:rsidRPr="00E86EDB">
        <w:rPr>
          <w:rFonts w:ascii="Calibri" w:hAnsi="Calibri" w:cs="Calibri"/>
        </w:rPr>
        <w:t xml:space="preserve"> that this is a case of conflicting accounts, with no physical evidence and no CCTV</w:t>
      </w:r>
      <w:r w:rsidR="009C3063" w:rsidRPr="00E86EDB">
        <w:rPr>
          <w:rFonts w:ascii="Calibri" w:hAnsi="Calibri" w:cs="Calibri"/>
        </w:rPr>
        <w:t xml:space="preserve"> of the incident itself, without trespassing into matters for trial.”</w:t>
      </w:r>
    </w:p>
    <w:p w14:paraId="756C3B8D" w14:textId="1625A2F0" w:rsidR="009C3063" w:rsidRPr="00E86EDB" w:rsidRDefault="009C3063" w:rsidP="001E0A69">
      <w:pPr>
        <w:spacing w:before="100" w:beforeAutospacing="1" w:after="100" w:afterAutospacing="1" w:line="276" w:lineRule="auto"/>
        <w:rPr>
          <w:rFonts w:ascii="Calibri" w:hAnsi="Calibri" w:cs="Calibri"/>
        </w:rPr>
      </w:pPr>
      <w:r w:rsidRPr="00E86EDB">
        <w:rPr>
          <w:rFonts w:ascii="Calibri" w:hAnsi="Calibri" w:cs="Calibri"/>
        </w:rPr>
        <w:t>“The defendant mainta</w:t>
      </w:r>
      <w:r w:rsidR="00B36C5C" w:rsidRPr="00E86EDB">
        <w:rPr>
          <w:rFonts w:ascii="Calibri" w:hAnsi="Calibri" w:cs="Calibri"/>
        </w:rPr>
        <w:t>ins that the complainant fell and has repeatedly denied this.”</w:t>
      </w:r>
    </w:p>
    <w:p w14:paraId="39380EAA" w14:textId="70BFFA0C" w:rsidR="00B36C5C" w:rsidRPr="00E86EDB" w:rsidRDefault="00B36C5C" w:rsidP="001E0A69">
      <w:pPr>
        <w:spacing w:before="100" w:beforeAutospacing="1" w:after="100" w:afterAutospacing="1" w:line="276" w:lineRule="auto"/>
        <w:rPr>
          <w:rFonts w:ascii="Calibri" w:hAnsi="Calibri" w:cs="Calibri"/>
        </w:rPr>
      </w:pPr>
      <w:r w:rsidRPr="00E86EDB">
        <w:rPr>
          <w:rFonts w:ascii="Calibri" w:hAnsi="Calibri" w:cs="Calibri"/>
        </w:rPr>
        <w:t>“</w:t>
      </w:r>
      <w:r w:rsidR="00383F59" w:rsidRPr="00E86EDB">
        <w:rPr>
          <w:rFonts w:ascii="Calibri" w:hAnsi="Calibri" w:cs="Calibri"/>
        </w:rPr>
        <w:t>The evidence is not overwhelming in this case.”</w:t>
      </w:r>
    </w:p>
    <w:p w14:paraId="1FA6884F" w14:textId="050EBDDA" w:rsidR="002329CF" w:rsidRDefault="00271985" w:rsidP="001E0A69">
      <w:pPr>
        <w:pStyle w:val="ListParagraph"/>
        <w:numPr>
          <w:ilvl w:val="0"/>
          <w:numId w:val="51"/>
        </w:numPr>
        <w:spacing w:before="100" w:beforeAutospacing="1" w:after="100" w:afterAutospacing="1" w:line="276" w:lineRule="auto"/>
        <w:rPr>
          <w:rFonts w:ascii="Calibri" w:hAnsi="Calibri" w:cs="Calibri"/>
          <w:b/>
          <w:bCs/>
        </w:rPr>
      </w:pPr>
      <w:r>
        <w:rPr>
          <w:rFonts w:ascii="Calibri" w:hAnsi="Calibri" w:cs="Calibri"/>
          <w:b/>
          <w:bCs/>
        </w:rPr>
        <w:t xml:space="preserve">Bail Conditions </w:t>
      </w:r>
    </w:p>
    <w:p w14:paraId="758D6710" w14:textId="1CC271B5" w:rsidR="0061180D" w:rsidRPr="003F1B43" w:rsidRDefault="0061180D" w:rsidP="001E0A69">
      <w:pPr>
        <w:spacing w:before="100" w:beforeAutospacing="1" w:after="100" w:afterAutospacing="1" w:line="276" w:lineRule="auto"/>
        <w:rPr>
          <w:rFonts w:ascii="Calibri" w:hAnsi="Calibri" w:cs="Calibri"/>
        </w:rPr>
      </w:pPr>
      <w:r w:rsidRPr="003F1B43">
        <w:rPr>
          <w:rFonts w:ascii="Calibri" w:hAnsi="Calibri" w:cs="Calibri"/>
        </w:rPr>
        <w:t>“</w:t>
      </w:r>
      <w:r w:rsidR="003E3E66" w:rsidRPr="003F1B43">
        <w:rPr>
          <w:rFonts w:ascii="Calibri" w:hAnsi="Calibri" w:cs="Calibri"/>
        </w:rPr>
        <w:t>Mr Hope is willing to comply with strict requirements, such as the following, if the court has any concern:”</w:t>
      </w:r>
    </w:p>
    <w:p w14:paraId="2354E301" w14:textId="454C3F90" w:rsidR="003E3E66" w:rsidRPr="003F1B43" w:rsidRDefault="003E3E66" w:rsidP="001E0A69">
      <w:pPr>
        <w:pStyle w:val="ListParagraph"/>
        <w:numPr>
          <w:ilvl w:val="0"/>
          <w:numId w:val="63"/>
        </w:numPr>
        <w:spacing w:before="100" w:beforeAutospacing="1" w:after="100" w:afterAutospacing="1" w:line="276" w:lineRule="auto"/>
        <w:rPr>
          <w:rFonts w:ascii="Calibri" w:hAnsi="Calibri" w:cs="Calibri"/>
        </w:rPr>
      </w:pPr>
      <w:r w:rsidRPr="003F1B43">
        <w:rPr>
          <w:rFonts w:ascii="Calibri" w:hAnsi="Calibri" w:cs="Calibri"/>
        </w:rPr>
        <w:t>He lives at his. Home address</w:t>
      </w:r>
    </w:p>
    <w:p w14:paraId="4647DDC4" w14:textId="77A86ABC" w:rsidR="003E3E66" w:rsidRPr="003F1B43" w:rsidRDefault="003E3E66" w:rsidP="001E0A69">
      <w:pPr>
        <w:pStyle w:val="ListParagraph"/>
        <w:numPr>
          <w:ilvl w:val="0"/>
          <w:numId w:val="63"/>
        </w:numPr>
        <w:spacing w:before="100" w:beforeAutospacing="1" w:after="100" w:afterAutospacing="1" w:line="276" w:lineRule="auto"/>
        <w:rPr>
          <w:rFonts w:ascii="Calibri" w:hAnsi="Calibri" w:cs="Calibri"/>
        </w:rPr>
      </w:pPr>
      <w:r w:rsidRPr="003F1B43">
        <w:rPr>
          <w:rFonts w:ascii="Calibri" w:hAnsi="Calibri" w:cs="Calibri"/>
        </w:rPr>
        <w:t xml:space="preserve">Making </w:t>
      </w:r>
      <w:r w:rsidR="008B37FA" w:rsidRPr="003F1B43">
        <w:rPr>
          <w:rFonts w:ascii="Calibri" w:hAnsi="Calibri" w:cs="Calibri"/>
        </w:rPr>
        <w:t xml:space="preserve">a </w:t>
      </w:r>
      <w:r w:rsidR="0065047B" w:rsidRPr="003F1B43">
        <w:rPr>
          <w:rFonts w:ascii="Calibri" w:hAnsi="Calibri" w:cs="Calibri"/>
        </w:rPr>
        <w:t>daily report to the local police station</w:t>
      </w:r>
    </w:p>
    <w:p w14:paraId="26E22683" w14:textId="0EC10174" w:rsidR="0065047B" w:rsidRPr="003F1B43" w:rsidRDefault="008B37FA" w:rsidP="001E0A69">
      <w:pPr>
        <w:pStyle w:val="ListParagraph"/>
        <w:numPr>
          <w:ilvl w:val="0"/>
          <w:numId w:val="63"/>
        </w:numPr>
        <w:spacing w:before="100" w:beforeAutospacing="1" w:after="100" w:afterAutospacing="1" w:line="276" w:lineRule="auto"/>
        <w:rPr>
          <w:rFonts w:ascii="Calibri" w:hAnsi="Calibri" w:cs="Calibri"/>
        </w:rPr>
      </w:pPr>
      <w:r w:rsidRPr="003F1B43">
        <w:rPr>
          <w:rFonts w:ascii="Calibri" w:hAnsi="Calibri" w:cs="Calibri"/>
        </w:rPr>
        <w:t>I</w:t>
      </w:r>
      <w:r w:rsidR="0065047B" w:rsidRPr="003F1B43">
        <w:rPr>
          <w:rFonts w:ascii="Calibri" w:hAnsi="Calibri" w:cs="Calibri"/>
        </w:rPr>
        <w:t>gnorance</w:t>
      </w:r>
      <w:r w:rsidRPr="003F1B43">
        <w:rPr>
          <w:rFonts w:ascii="Calibri" w:hAnsi="Calibri" w:cs="Calibri"/>
        </w:rPr>
        <w:t xml:space="preserve"> of the complainant</w:t>
      </w:r>
    </w:p>
    <w:p w14:paraId="3CCA9C57" w14:textId="4D8082AE" w:rsidR="008B37FA" w:rsidRPr="003F1B43" w:rsidRDefault="008B37FA" w:rsidP="001E0A69">
      <w:pPr>
        <w:pStyle w:val="ListParagraph"/>
        <w:numPr>
          <w:ilvl w:val="0"/>
          <w:numId w:val="63"/>
        </w:numPr>
        <w:spacing w:before="100" w:beforeAutospacing="1" w:after="100" w:afterAutospacing="1" w:line="276" w:lineRule="auto"/>
        <w:rPr>
          <w:rFonts w:ascii="Calibri" w:hAnsi="Calibri" w:cs="Calibri"/>
        </w:rPr>
      </w:pPr>
      <w:r w:rsidRPr="003F1B43">
        <w:rPr>
          <w:rFonts w:ascii="Calibri" w:hAnsi="Calibri" w:cs="Calibri"/>
        </w:rPr>
        <w:t>Exclusion of Newton Park</w:t>
      </w:r>
    </w:p>
    <w:p w14:paraId="251F8D13" w14:textId="398E99F9" w:rsidR="008B37FA" w:rsidRPr="003F1B43" w:rsidRDefault="008B37FA" w:rsidP="001E0A69">
      <w:pPr>
        <w:pStyle w:val="ListParagraph"/>
        <w:numPr>
          <w:ilvl w:val="0"/>
          <w:numId w:val="63"/>
        </w:numPr>
        <w:spacing w:before="100" w:beforeAutospacing="1" w:after="100" w:afterAutospacing="1" w:line="276" w:lineRule="auto"/>
        <w:rPr>
          <w:rFonts w:ascii="Calibri" w:hAnsi="Calibri" w:cs="Calibri"/>
        </w:rPr>
      </w:pPr>
      <w:r w:rsidRPr="003F1B43">
        <w:rPr>
          <w:rFonts w:ascii="Calibri" w:hAnsi="Calibri" w:cs="Calibri"/>
        </w:rPr>
        <w:t>Any further requirements the court considers necessary</w:t>
      </w:r>
    </w:p>
    <w:p w14:paraId="4783DDB5" w14:textId="2915D440" w:rsidR="008B37FA" w:rsidRPr="003F1B43" w:rsidRDefault="008B37FA" w:rsidP="001E0A69">
      <w:pPr>
        <w:spacing w:before="100" w:beforeAutospacing="1" w:after="100" w:afterAutospacing="1" w:line="276" w:lineRule="auto"/>
        <w:rPr>
          <w:rFonts w:ascii="Calibri" w:hAnsi="Calibri" w:cs="Calibri"/>
        </w:rPr>
      </w:pPr>
      <w:r w:rsidRPr="003F1B43">
        <w:rPr>
          <w:rFonts w:ascii="Calibri" w:hAnsi="Calibri" w:cs="Calibri"/>
        </w:rPr>
        <w:t>“</w:t>
      </w:r>
      <w:r w:rsidR="003E2F74" w:rsidRPr="003F1B43">
        <w:rPr>
          <w:rFonts w:ascii="Calibri" w:hAnsi="Calibri" w:cs="Calibri"/>
        </w:rPr>
        <w:t xml:space="preserve">The court must </w:t>
      </w:r>
      <w:r w:rsidR="00F53D53" w:rsidRPr="003F1B43">
        <w:rPr>
          <w:rFonts w:ascii="Calibri" w:hAnsi="Calibri" w:cs="Calibri"/>
        </w:rPr>
        <w:t>consider</w:t>
      </w:r>
      <w:r w:rsidR="003E2F74" w:rsidRPr="003F1B43">
        <w:rPr>
          <w:rFonts w:ascii="Calibri" w:hAnsi="Calibri" w:cs="Calibri"/>
        </w:rPr>
        <w:t xml:space="preserve"> whether conditions can address risk before refusing bail, as confirmed in R v Metro</w:t>
      </w:r>
      <w:r w:rsidR="00EC7113" w:rsidRPr="003F1B43">
        <w:rPr>
          <w:rFonts w:ascii="Calibri" w:hAnsi="Calibri" w:cs="Calibri"/>
        </w:rPr>
        <w:t>p</w:t>
      </w:r>
      <w:r w:rsidR="00F53D53" w:rsidRPr="003F1B43">
        <w:rPr>
          <w:rFonts w:ascii="Calibri" w:hAnsi="Calibri" w:cs="Calibri"/>
        </w:rPr>
        <w:t>o</w:t>
      </w:r>
      <w:r w:rsidR="00EC7113" w:rsidRPr="003F1B43">
        <w:rPr>
          <w:rFonts w:ascii="Calibri" w:hAnsi="Calibri" w:cs="Calibri"/>
        </w:rPr>
        <w:t>litan Police Commissioner ex p Robinson [1981]</w:t>
      </w:r>
      <w:r w:rsidR="003F1B43" w:rsidRPr="003F1B43">
        <w:rPr>
          <w:rFonts w:ascii="Calibri" w:hAnsi="Calibri" w:cs="Calibri"/>
        </w:rPr>
        <w:t>.”</w:t>
      </w:r>
    </w:p>
    <w:p w14:paraId="4F85A8FB" w14:textId="2BD04785" w:rsidR="003F1B43" w:rsidRDefault="003F1B43" w:rsidP="001E0A69">
      <w:pPr>
        <w:pStyle w:val="ListParagraph"/>
        <w:numPr>
          <w:ilvl w:val="0"/>
          <w:numId w:val="51"/>
        </w:numPr>
        <w:spacing w:before="100" w:beforeAutospacing="1" w:after="100" w:afterAutospacing="1" w:line="276" w:lineRule="auto"/>
        <w:rPr>
          <w:rFonts w:ascii="Calibri" w:hAnsi="Calibri" w:cs="Calibri"/>
          <w:b/>
          <w:bCs/>
        </w:rPr>
      </w:pPr>
      <w:r>
        <w:rPr>
          <w:rFonts w:ascii="Calibri" w:hAnsi="Calibri" w:cs="Calibri"/>
          <w:b/>
          <w:bCs/>
        </w:rPr>
        <w:t xml:space="preserve">Conclusion </w:t>
      </w:r>
    </w:p>
    <w:p w14:paraId="37620E3D" w14:textId="7D0D6D87" w:rsidR="003A5C20" w:rsidRPr="00FB519D" w:rsidRDefault="003A5C20" w:rsidP="001E0A69">
      <w:pPr>
        <w:spacing w:before="100" w:beforeAutospacing="1" w:after="100" w:afterAutospacing="1" w:line="276" w:lineRule="auto"/>
        <w:rPr>
          <w:rFonts w:ascii="Calibri" w:hAnsi="Calibri" w:cs="Calibri"/>
        </w:rPr>
      </w:pPr>
      <w:r w:rsidRPr="00FB519D">
        <w:rPr>
          <w:rFonts w:ascii="Calibri" w:hAnsi="Calibri" w:cs="Calibri"/>
        </w:rPr>
        <w:t>“Judge, this court is dealing with a defendant who has a stable life, caring responsibilities and strong ties.”</w:t>
      </w:r>
    </w:p>
    <w:p w14:paraId="4202A4B6" w14:textId="0BACB0AF" w:rsidR="003A5C20" w:rsidRPr="00FB519D" w:rsidRDefault="003A5C20" w:rsidP="001E0A69">
      <w:pPr>
        <w:spacing w:before="100" w:beforeAutospacing="1" w:after="100" w:afterAutospacing="1" w:line="276" w:lineRule="auto"/>
        <w:rPr>
          <w:rFonts w:ascii="Calibri" w:hAnsi="Calibri" w:cs="Calibri"/>
        </w:rPr>
      </w:pPr>
      <w:r w:rsidRPr="00FB519D">
        <w:rPr>
          <w:rFonts w:ascii="Calibri" w:hAnsi="Calibri" w:cs="Calibri"/>
        </w:rPr>
        <w:t>“</w:t>
      </w:r>
      <w:r w:rsidR="00FB519D" w:rsidRPr="00FB519D">
        <w:rPr>
          <w:rFonts w:ascii="Calibri" w:hAnsi="Calibri" w:cs="Calibri"/>
        </w:rPr>
        <w:t>T</w:t>
      </w:r>
      <w:r w:rsidRPr="00FB519D">
        <w:rPr>
          <w:rFonts w:ascii="Calibri" w:hAnsi="Calibri" w:cs="Calibri"/>
        </w:rPr>
        <w:t xml:space="preserve">here are no substantial grounds to justify the </w:t>
      </w:r>
      <w:r w:rsidR="00FC1F5F" w:rsidRPr="00FB519D">
        <w:rPr>
          <w:rFonts w:ascii="Calibri" w:hAnsi="Calibri" w:cs="Calibri"/>
        </w:rPr>
        <w:t>extraordinary step of keeping Mr Hope in custody, and the risk</w:t>
      </w:r>
      <w:r w:rsidR="00FB519D" w:rsidRPr="00FB519D">
        <w:rPr>
          <w:rFonts w:ascii="Calibri" w:hAnsi="Calibri" w:cs="Calibri"/>
        </w:rPr>
        <w:t xml:space="preserve"> identified by the prosecution is reasonable.”</w:t>
      </w:r>
    </w:p>
    <w:p w14:paraId="36771B37" w14:textId="2A55D120" w:rsidR="005470F1" w:rsidRPr="001E0A69" w:rsidRDefault="00FB519D" w:rsidP="001E0A69">
      <w:pPr>
        <w:spacing w:before="100" w:beforeAutospacing="1" w:after="100" w:afterAutospacing="1" w:line="276" w:lineRule="auto"/>
        <w:rPr>
          <w:rFonts w:ascii="Calibri" w:hAnsi="Calibri" w:cs="Calibri"/>
        </w:rPr>
      </w:pPr>
      <w:r w:rsidRPr="00FB519D">
        <w:rPr>
          <w:rFonts w:ascii="Calibri" w:hAnsi="Calibri" w:cs="Calibri"/>
        </w:rPr>
        <w:t>“In those situations, I respectfully request that the court grant bail, subject to suitable conditions.”</w:t>
      </w:r>
    </w:p>
    <w:p w14:paraId="40BFA7B1" w14:textId="77777777" w:rsidR="001E0A69" w:rsidRDefault="001E0A69" w:rsidP="00492946">
      <w:pPr>
        <w:rPr>
          <w:rFonts w:ascii="Calibri" w:hAnsi="Calibri" w:cs="Calibri"/>
          <w:b/>
          <w:bCs/>
        </w:rPr>
      </w:pPr>
    </w:p>
    <w:p w14:paraId="3B870119" w14:textId="26B9CB79" w:rsidR="00F84059" w:rsidRDefault="00F50063" w:rsidP="00492946">
      <w:pPr>
        <w:rPr>
          <w:rFonts w:ascii="Calibri" w:hAnsi="Calibri" w:cs="Calibri"/>
          <w:b/>
          <w:bCs/>
        </w:rPr>
      </w:pPr>
      <w:r>
        <w:rPr>
          <w:rFonts w:ascii="Calibri" w:hAnsi="Calibri" w:cs="Calibri"/>
          <w:b/>
          <w:bCs/>
        </w:rPr>
        <w:lastRenderedPageBreak/>
        <w:t>References:</w:t>
      </w:r>
    </w:p>
    <w:p w14:paraId="267F96CD" w14:textId="77777777" w:rsidR="008E7A87" w:rsidRDefault="008E7A87" w:rsidP="00492946">
      <w:pPr>
        <w:rPr>
          <w:rFonts w:ascii="Calibri" w:hAnsi="Calibri" w:cs="Calibri"/>
          <w:b/>
          <w:bCs/>
        </w:rPr>
      </w:pPr>
    </w:p>
    <w:p w14:paraId="5CC41EF9" w14:textId="2C7BDAA4" w:rsidR="00BB3F8F" w:rsidRPr="00450273" w:rsidRDefault="003C43A5" w:rsidP="001E0A69">
      <w:pPr>
        <w:spacing w:line="276" w:lineRule="auto"/>
        <w:rPr>
          <w:rFonts w:ascii="Calibri" w:hAnsi="Calibri" w:cs="Calibri"/>
        </w:rPr>
      </w:pPr>
      <w:r w:rsidRPr="00450273">
        <w:rPr>
          <w:rFonts w:ascii="Calibri" w:hAnsi="Calibri" w:cs="Calibri"/>
        </w:rPr>
        <w:t>Cps.gov.uk (2023). Bail</w:t>
      </w:r>
      <w:r w:rsidR="00945311" w:rsidRPr="00450273">
        <w:rPr>
          <w:rFonts w:ascii="Calibri" w:hAnsi="Calibri" w:cs="Calibri"/>
        </w:rPr>
        <w:t xml:space="preserve"> | The Crown Prose</w:t>
      </w:r>
      <w:r w:rsidR="00450273" w:rsidRPr="00450273">
        <w:rPr>
          <w:rFonts w:ascii="Calibri" w:hAnsi="Calibri" w:cs="Calibri"/>
        </w:rPr>
        <w:t>cution Service. Available at:</w:t>
      </w:r>
    </w:p>
    <w:p w14:paraId="4D93EB86" w14:textId="062025C8" w:rsidR="00450273" w:rsidRPr="00450273" w:rsidRDefault="00450273" w:rsidP="001E0A69">
      <w:pPr>
        <w:spacing w:line="276" w:lineRule="auto"/>
        <w:rPr>
          <w:rFonts w:ascii="Calibri" w:hAnsi="Calibri" w:cs="Calibri"/>
        </w:rPr>
      </w:pPr>
      <w:hyperlink r:id="rId7" w:anchor=":~:text=duty%20of%20disclosure.-,The%20Right%20to%20Bail,the%20life%20of%20the%20case" w:history="1">
        <w:r w:rsidRPr="00450273">
          <w:rPr>
            <w:rStyle w:val="Hyperlink"/>
            <w:rFonts w:ascii="Calibri" w:hAnsi="Calibri" w:cs="Calibri"/>
          </w:rPr>
          <w:t>https://www.cps.gov.uk/prosecution-guidance/bail#:~:text=duty%20of%20disclosure.-,The%20Right%20to%20Bail,the%20life%20of%20the%20case</w:t>
        </w:r>
      </w:hyperlink>
      <w:r w:rsidRPr="00450273">
        <w:rPr>
          <w:rFonts w:ascii="Calibri" w:hAnsi="Calibri" w:cs="Calibri"/>
        </w:rPr>
        <w:t>. (accessed 17.12.2025)</w:t>
      </w:r>
    </w:p>
    <w:p w14:paraId="4546A6FD" w14:textId="77777777" w:rsidR="00BB3F8F" w:rsidRDefault="00BB3F8F" w:rsidP="001E0A69">
      <w:pPr>
        <w:spacing w:line="276" w:lineRule="auto"/>
        <w:rPr>
          <w:rFonts w:ascii="Calibri" w:hAnsi="Calibri" w:cs="Calibri"/>
        </w:rPr>
      </w:pPr>
    </w:p>
    <w:p w14:paraId="2D0C69BC" w14:textId="022AF6B1" w:rsidR="00AC66AB" w:rsidRPr="00DD0241" w:rsidRDefault="00AC66AB" w:rsidP="001E0A69">
      <w:pPr>
        <w:spacing w:line="276" w:lineRule="auto"/>
        <w:rPr>
          <w:rFonts w:ascii="Calibri" w:hAnsi="Calibri" w:cs="Calibri"/>
        </w:rPr>
      </w:pPr>
      <w:r w:rsidRPr="00DD0241">
        <w:rPr>
          <w:rFonts w:ascii="Calibri" w:hAnsi="Calibri" w:cs="Calibri"/>
        </w:rPr>
        <w:t>Crawley,</w:t>
      </w:r>
      <w:r w:rsidR="00641BB6" w:rsidRPr="00DD0241">
        <w:rPr>
          <w:rFonts w:ascii="Calibri" w:hAnsi="Calibri" w:cs="Calibri"/>
        </w:rPr>
        <w:t xml:space="preserve"> S., Walker, D., Forsyth, D., Petr</w:t>
      </w:r>
      <w:r w:rsidR="00DF3EA1" w:rsidRPr="00DD0241">
        <w:rPr>
          <w:rFonts w:ascii="Calibri" w:hAnsi="Calibri" w:cs="Calibri"/>
        </w:rPr>
        <w:t xml:space="preserve">ou, A., Daley, B., </w:t>
      </w:r>
      <w:r w:rsidR="00DD0241" w:rsidRPr="00DD0241">
        <w:rPr>
          <w:rFonts w:ascii="Calibri" w:hAnsi="Calibri" w:cs="Calibri"/>
        </w:rPr>
        <w:t>Larkin</w:t>
      </w:r>
      <w:r w:rsidR="00DF3EA1" w:rsidRPr="00DD0241">
        <w:rPr>
          <w:rFonts w:ascii="Calibri" w:hAnsi="Calibri" w:cs="Calibri"/>
        </w:rPr>
        <w:t xml:space="preserve">, S. and </w:t>
      </w:r>
      <w:proofErr w:type="spellStart"/>
      <w:r w:rsidR="00DD0241" w:rsidRPr="00DD0241">
        <w:rPr>
          <w:rFonts w:ascii="Calibri" w:hAnsi="Calibri" w:cs="Calibri"/>
        </w:rPr>
        <w:t>Jaffey</w:t>
      </w:r>
      <w:proofErr w:type="spellEnd"/>
      <w:r w:rsidR="00DF3EA1" w:rsidRPr="00DD0241">
        <w:rPr>
          <w:rFonts w:ascii="Calibri" w:hAnsi="Calibri" w:cs="Calibri"/>
        </w:rPr>
        <w:t>, B. (2014)</w:t>
      </w:r>
      <w:r w:rsidR="00DD0241" w:rsidRPr="00DD0241">
        <w:rPr>
          <w:rFonts w:ascii="Calibri" w:hAnsi="Calibri" w:cs="Calibri"/>
        </w:rPr>
        <w:t>. Approved Judgement. Available at:</w:t>
      </w:r>
    </w:p>
    <w:p w14:paraId="3C4D8BD3" w14:textId="0ECA5CC8" w:rsidR="00DD0241" w:rsidRDefault="00DD0241" w:rsidP="001E0A69">
      <w:pPr>
        <w:spacing w:line="276" w:lineRule="auto"/>
        <w:rPr>
          <w:rFonts w:ascii="Calibri" w:hAnsi="Calibri" w:cs="Calibri"/>
        </w:rPr>
      </w:pPr>
      <w:hyperlink r:id="rId8" w:history="1">
        <w:r w:rsidRPr="00DD0241">
          <w:rPr>
            <w:rStyle w:val="Hyperlink"/>
            <w:rFonts w:ascii="Calibri" w:hAnsi="Calibri" w:cs="Calibri"/>
          </w:rPr>
          <w:t>https://www.judiciary.uk/wp-content/uploads/2014/05/r-v-crawley-others-21052014.pdf</w:t>
        </w:r>
      </w:hyperlink>
      <w:r w:rsidRPr="00DD0241">
        <w:rPr>
          <w:rFonts w:ascii="Calibri" w:hAnsi="Calibri" w:cs="Calibri"/>
        </w:rPr>
        <w:t xml:space="preserve"> (accessed 17.12.2025)</w:t>
      </w:r>
    </w:p>
    <w:p w14:paraId="7FBFBAA3" w14:textId="77777777" w:rsidR="00AE35C2" w:rsidRDefault="00AE35C2" w:rsidP="001E0A69">
      <w:pPr>
        <w:spacing w:line="276" w:lineRule="auto"/>
        <w:rPr>
          <w:rFonts w:ascii="Calibri" w:hAnsi="Calibri" w:cs="Calibri"/>
        </w:rPr>
      </w:pPr>
    </w:p>
    <w:p w14:paraId="26CF9142" w14:textId="7E1F3D18" w:rsidR="00AE35C2" w:rsidRDefault="00EE49A7" w:rsidP="001E0A69">
      <w:pPr>
        <w:spacing w:line="276" w:lineRule="auto"/>
        <w:rPr>
          <w:rFonts w:ascii="Calibri" w:hAnsi="Calibri" w:cs="Calibri"/>
        </w:rPr>
      </w:pPr>
      <w:r>
        <w:rPr>
          <w:rFonts w:ascii="Calibri" w:hAnsi="Calibri" w:cs="Calibri"/>
        </w:rPr>
        <w:t>Downs, W. (2024)</w:t>
      </w:r>
      <w:r w:rsidR="0032373F">
        <w:rPr>
          <w:rFonts w:ascii="Calibri" w:hAnsi="Calibri" w:cs="Calibri"/>
        </w:rPr>
        <w:t>.</w:t>
      </w:r>
      <w:r>
        <w:rPr>
          <w:rFonts w:ascii="Calibri" w:hAnsi="Calibri" w:cs="Calibri"/>
        </w:rPr>
        <w:t xml:space="preserve"> </w:t>
      </w:r>
      <w:r w:rsidR="0032373F">
        <w:rPr>
          <w:rFonts w:ascii="Calibri" w:hAnsi="Calibri" w:cs="Calibri"/>
        </w:rPr>
        <w:t>P</w:t>
      </w:r>
      <w:r>
        <w:rPr>
          <w:rFonts w:ascii="Calibri" w:hAnsi="Calibri" w:cs="Calibri"/>
        </w:rPr>
        <w:t>olicing and protests</w:t>
      </w:r>
      <w:r w:rsidR="001C5699">
        <w:rPr>
          <w:rFonts w:ascii="Calibri" w:hAnsi="Calibri" w:cs="Calibri"/>
        </w:rPr>
        <w:t xml:space="preserve">. House of Commons </w:t>
      </w:r>
      <w:r w:rsidR="00907F0F">
        <w:rPr>
          <w:rFonts w:ascii="Calibri" w:hAnsi="Calibri" w:cs="Calibri"/>
        </w:rPr>
        <w:t>Library. Available at:</w:t>
      </w:r>
    </w:p>
    <w:p w14:paraId="218B0565" w14:textId="1DA64228" w:rsidR="0032373F" w:rsidRDefault="0032373F" w:rsidP="001E0A69">
      <w:pPr>
        <w:spacing w:line="276" w:lineRule="auto"/>
        <w:rPr>
          <w:rFonts w:ascii="Calibri" w:hAnsi="Calibri" w:cs="Calibri"/>
        </w:rPr>
      </w:pPr>
      <w:hyperlink r:id="rId9" w:anchor=":~:text=The%20Public%20Order%20Act%201986,product%20or%20an%20essential%20service" w:history="1">
        <w:r w:rsidRPr="00410F27">
          <w:rPr>
            <w:rStyle w:val="Hyperlink"/>
            <w:rFonts w:ascii="Calibri" w:hAnsi="Calibri" w:cs="Calibri"/>
          </w:rPr>
          <w:t>https://commonslibrary.parliament.uk/policing-and-protests/#:~:text=The%20Public%20Order%20Act%201986,product%20or%20an%20essential%20service</w:t>
        </w:r>
      </w:hyperlink>
      <w:r w:rsidRPr="0032373F">
        <w:rPr>
          <w:rFonts w:ascii="Calibri" w:hAnsi="Calibri" w:cs="Calibri"/>
        </w:rPr>
        <w:t>.</w:t>
      </w:r>
      <w:r>
        <w:rPr>
          <w:rFonts w:ascii="Calibri" w:hAnsi="Calibri" w:cs="Calibri"/>
        </w:rPr>
        <w:t xml:space="preserve"> (accessed: 25.12.2025)</w:t>
      </w:r>
    </w:p>
    <w:p w14:paraId="549F91D7" w14:textId="77777777" w:rsidR="00AE35C2" w:rsidRDefault="00AE35C2" w:rsidP="001E0A69">
      <w:pPr>
        <w:spacing w:line="276" w:lineRule="auto"/>
        <w:rPr>
          <w:rFonts w:ascii="Calibri" w:hAnsi="Calibri" w:cs="Calibri"/>
        </w:rPr>
      </w:pPr>
    </w:p>
    <w:p w14:paraId="18EE6432" w14:textId="02B16711" w:rsidR="00154252" w:rsidRDefault="00154252" w:rsidP="001E0A69">
      <w:pPr>
        <w:spacing w:line="276" w:lineRule="auto"/>
        <w:rPr>
          <w:rFonts w:ascii="Calibri" w:hAnsi="Calibri" w:cs="Calibri"/>
        </w:rPr>
      </w:pPr>
      <w:r>
        <w:rPr>
          <w:rFonts w:ascii="Calibri" w:hAnsi="Calibri" w:cs="Calibri"/>
        </w:rPr>
        <w:t>Duckworth, M. (2022)</w:t>
      </w:r>
      <w:r w:rsidR="00120C29">
        <w:rPr>
          <w:rFonts w:ascii="Calibri" w:hAnsi="Calibri" w:cs="Calibri"/>
        </w:rPr>
        <w:t>.</w:t>
      </w:r>
      <w:r>
        <w:rPr>
          <w:rFonts w:ascii="Calibri" w:hAnsi="Calibri" w:cs="Calibri"/>
        </w:rPr>
        <w:t xml:space="preserve"> </w:t>
      </w:r>
      <w:r w:rsidR="00120C29">
        <w:rPr>
          <w:rFonts w:ascii="Calibri" w:hAnsi="Calibri" w:cs="Calibri"/>
        </w:rPr>
        <w:t>W</w:t>
      </w:r>
      <w:r>
        <w:rPr>
          <w:rFonts w:ascii="Calibri" w:hAnsi="Calibri" w:cs="Calibri"/>
        </w:rPr>
        <w:t xml:space="preserve">hat is the </w:t>
      </w:r>
      <w:r w:rsidR="00120C29">
        <w:rPr>
          <w:rFonts w:ascii="Calibri" w:hAnsi="Calibri" w:cs="Calibri"/>
        </w:rPr>
        <w:t>difference between ABH and GBH? Available at:</w:t>
      </w:r>
    </w:p>
    <w:p w14:paraId="38548F37" w14:textId="71E48FE1" w:rsidR="00154252" w:rsidRPr="00DD0241" w:rsidRDefault="00120C29" w:rsidP="001E0A69">
      <w:pPr>
        <w:spacing w:line="276" w:lineRule="auto"/>
        <w:rPr>
          <w:rFonts w:ascii="Calibri" w:hAnsi="Calibri" w:cs="Calibri"/>
        </w:rPr>
      </w:pPr>
      <w:hyperlink r:id="rId10" w:history="1">
        <w:r w:rsidRPr="00410F27">
          <w:rPr>
            <w:rStyle w:val="Hyperlink"/>
            <w:rFonts w:ascii="Calibri" w:hAnsi="Calibri" w:cs="Calibri"/>
          </w:rPr>
          <w:t>https://www.slaterheelis.co.uk/articles/crime-category/the-difference-between-abh-and-gbh/</w:t>
        </w:r>
      </w:hyperlink>
      <w:r>
        <w:rPr>
          <w:rFonts w:ascii="Calibri" w:hAnsi="Calibri" w:cs="Calibri"/>
        </w:rPr>
        <w:t xml:space="preserve"> (accessed 17.12.2025)</w:t>
      </w:r>
    </w:p>
    <w:p w14:paraId="3D5CB0A5" w14:textId="77777777" w:rsidR="00DD0241" w:rsidRDefault="00DD0241" w:rsidP="001E0A69">
      <w:pPr>
        <w:spacing w:line="276" w:lineRule="auto"/>
        <w:rPr>
          <w:rFonts w:ascii="Calibri" w:hAnsi="Calibri" w:cs="Calibri"/>
        </w:rPr>
      </w:pPr>
    </w:p>
    <w:p w14:paraId="0674D82F" w14:textId="714D4BAA" w:rsidR="0041046D" w:rsidRDefault="0041046D" w:rsidP="001E0A69">
      <w:pPr>
        <w:spacing w:line="276" w:lineRule="auto"/>
        <w:rPr>
          <w:rFonts w:ascii="Calibri" w:hAnsi="Calibri" w:cs="Calibri"/>
        </w:rPr>
      </w:pPr>
      <w:r>
        <w:rPr>
          <w:rFonts w:ascii="Calibri" w:hAnsi="Calibri" w:cs="Calibri"/>
        </w:rPr>
        <w:t>legislation.gov.uk</w:t>
      </w:r>
      <w:r w:rsidR="00157DD5">
        <w:rPr>
          <w:rFonts w:ascii="Calibri" w:hAnsi="Calibri" w:cs="Calibri"/>
        </w:rPr>
        <w:t xml:space="preserve"> (2010). Bail Act 1976</w:t>
      </w:r>
      <w:r w:rsidR="00F41ECB">
        <w:rPr>
          <w:rFonts w:ascii="Calibri" w:hAnsi="Calibri" w:cs="Calibri"/>
        </w:rPr>
        <w:t xml:space="preserve">, </w:t>
      </w:r>
      <w:r w:rsidR="007C2C64">
        <w:rPr>
          <w:rFonts w:ascii="Calibri" w:hAnsi="Calibri" w:cs="Calibri"/>
        </w:rPr>
        <w:t>S</w:t>
      </w:r>
      <w:r w:rsidR="00157DD5">
        <w:rPr>
          <w:rFonts w:ascii="Calibri" w:hAnsi="Calibri" w:cs="Calibri"/>
        </w:rPr>
        <w:t>ch</w:t>
      </w:r>
      <w:r w:rsidR="007C2C64">
        <w:rPr>
          <w:rFonts w:ascii="Calibri" w:hAnsi="Calibri" w:cs="Calibri"/>
        </w:rPr>
        <w:t>edule 1. Available at:</w:t>
      </w:r>
    </w:p>
    <w:p w14:paraId="3B67B6CA" w14:textId="386DBDEE" w:rsidR="00F41ECB" w:rsidRDefault="00F41ECB" w:rsidP="001E0A69">
      <w:pPr>
        <w:spacing w:line="276" w:lineRule="auto"/>
        <w:rPr>
          <w:rFonts w:ascii="Calibri" w:hAnsi="Calibri" w:cs="Calibri"/>
        </w:rPr>
      </w:pPr>
      <w:hyperlink r:id="rId11" w:history="1">
        <w:r w:rsidRPr="00410F27">
          <w:rPr>
            <w:rStyle w:val="Hyperlink"/>
            <w:rFonts w:ascii="Calibri" w:hAnsi="Calibri" w:cs="Calibri"/>
          </w:rPr>
          <w:t>https://www.legislation.gov.uk/ukpga/1976/63/schedule/1</w:t>
        </w:r>
      </w:hyperlink>
      <w:r>
        <w:rPr>
          <w:rFonts w:ascii="Calibri" w:hAnsi="Calibri" w:cs="Calibri"/>
        </w:rPr>
        <w:t xml:space="preserve"> (accessed 11.12.2025)</w:t>
      </w:r>
    </w:p>
    <w:p w14:paraId="303E151A" w14:textId="77777777" w:rsidR="001C005C" w:rsidRDefault="001C005C" w:rsidP="001E0A69">
      <w:pPr>
        <w:spacing w:line="276" w:lineRule="auto"/>
        <w:rPr>
          <w:rFonts w:ascii="Calibri" w:hAnsi="Calibri" w:cs="Calibri"/>
        </w:rPr>
      </w:pPr>
    </w:p>
    <w:p w14:paraId="72971A68" w14:textId="77777777" w:rsidR="001C005C" w:rsidRPr="00BF723A" w:rsidRDefault="001C005C" w:rsidP="001E0A69">
      <w:pPr>
        <w:spacing w:line="276" w:lineRule="auto"/>
        <w:rPr>
          <w:rFonts w:ascii="Calibri" w:hAnsi="Calibri" w:cs="Calibri"/>
        </w:rPr>
      </w:pPr>
      <w:r w:rsidRPr="00BF723A">
        <w:rPr>
          <w:rFonts w:ascii="Calibri" w:hAnsi="Calibri" w:cs="Calibri"/>
        </w:rPr>
        <w:t>Legislation.gov.uk (2020). Bail Act 1976</w:t>
      </w:r>
      <w:r>
        <w:rPr>
          <w:rFonts w:ascii="Calibri" w:hAnsi="Calibri" w:cs="Calibri"/>
        </w:rPr>
        <w:t>, Section 4.</w:t>
      </w:r>
      <w:r w:rsidRPr="00BF723A">
        <w:rPr>
          <w:rFonts w:ascii="Calibri" w:hAnsi="Calibri" w:cs="Calibri"/>
        </w:rPr>
        <w:t xml:space="preserve"> Available at: </w:t>
      </w:r>
    </w:p>
    <w:p w14:paraId="29DD0896" w14:textId="77777777" w:rsidR="001C005C" w:rsidRDefault="001C005C" w:rsidP="001E0A69">
      <w:pPr>
        <w:spacing w:line="276" w:lineRule="auto"/>
        <w:rPr>
          <w:rFonts w:ascii="Calibri" w:hAnsi="Calibri" w:cs="Calibri"/>
        </w:rPr>
      </w:pPr>
      <w:hyperlink r:id="rId12" w:history="1">
        <w:r w:rsidRPr="00BF723A">
          <w:rPr>
            <w:rStyle w:val="Hyperlink"/>
            <w:rFonts w:ascii="Calibri" w:hAnsi="Calibri" w:cs="Calibri"/>
          </w:rPr>
          <w:t>https://www.legislation.gov.uk/ukpga/1976/63/section/4</w:t>
        </w:r>
      </w:hyperlink>
      <w:r w:rsidRPr="00BF723A">
        <w:rPr>
          <w:rFonts w:ascii="Calibri" w:hAnsi="Calibri" w:cs="Calibri"/>
        </w:rPr>
        <w:t xml:space="preserve"> (accessed 11.12.2025)</w:t>
      </w:r>
    </w:p>
    <w:p w14:paraId="498AF2F2" w14:textId="77777777" w:rsidR="001C005C" w:rsidRDefault="001C005C" w:rsidP="00E0555C">
      <w:pPr>
        <w:rPr>
          <w:rFonts w:ascii="Calibri" w:hAnsi="Calibri" w:cs="Calibri"/>
        </w:rPr>
      </w:pPr>
    </w:p>
    <w:p w14:paraId="667BAB52" w14:textId="161BDC6D" w:rsidR="00240F01" w:rsidRDefault="00240F01" w:rsidP="001E0A69">
      <w:pPr>
        <w:spacing w:line="276" w:lineRule="auto"/>
        <w:rPr>
          <w:rFonts w:ascii="Calibri" w:hAnsi="Calibri" w:cs="Calibri"/>
        </w:rPr>
      </w:pPr>
      <w:bookmarkStart w:id="0" w:name="OLE_LINK1"/>
      <w:r>
        <w:rPr>
          <w:rFonts w:ascii="Calibri" w:hAnsi="Calibri" w:cs="Calibri"/>
        </w:rPr>
        <w:t>legislation.</w:t>
      </w:r>
      <w:r w:rsidR="003502EA">
        <w:rPr>
          <w:rFonts w:ascii="Calibri" w:hAnsi="Calibri" w:cs="Calibri"/>
        </w:rPr>
        <w:t>gov.uk (2025)</w:t>
      </w:r>
      <w:r w:rsidR="00A64CF5">
        <w:rPr>
          <w:rFonts w:ascii="Calibri" w:hAnsi="Calibri" w:cs="Calibri"/>
        </w:rPr>
        <w:t xml:space="preserve">. </w:t>
      </w:r>
      <w:bookmarkEnd w:id="0"/>
      <w:r w:rsidR="00A64CF5">
        <w:rPr>
          <w:rFonts w:ascii="Calibri" w:hAnsi="Calibri" w:cs="Calibri"/>
        </w:rPr>
        <w:t>The Magistrates’ Court Rule 1981.</w:t>
      </w:r>
      <w:r w:rsidR="00172662">
        <w:rPr>
          <w:rFonts w:ascii="Calibri" w:hAnsi="Calibri" w:cs="Calibri"/>
        </w:rPr>
        <w:t xml:space="preserve"> Available at: </w:t>
      </w:r>
    </w:p>
    <w:p w14:paraId="53AFC19B" w14:textId="7743DEE4" w:rsidR="00172662" w:rsidRDefault="00172662" w:rsidP="001E0A69">
      <w:pPr>
        <w:spacing w:line="276" w:lineRule="auto"/>
        <w:rPr>
          <w:rFonts w:ascii="Calibri" w:hAnsi="Calibri" w:cs="Calibri"/>
        </w:rPr>
      </w:pPr>
      <w:hyperlink r:id="rId13" w:history="1">
        <w:r w:rsidRPr="00410F27">
          <w:rPr>
            <w:rStyle w:val="Hyperlink"/>
            <w:rFonts w:ascii="Calibri" w:hAnsi="Calibri" w:cs="Calibri"/>
          </w:rPr>
          <w:t>https://www.legislation.gov.uk/uksi/1981/552/contents</w:t>
        </w:r>
      </w:hyperlink>
      <w:r>
        <w:rPr>
          <w:rFonts w:ascii="Calibri" w:hAnsi="Calibri" w:cs="Calibri"/>
        </w:rPr>
        <w:t xml:space="preserve"> (accessed</w:t>
      </w:r>
      <w:r w:rsidR="00492946">
        <w:rPr>
          <w:rFonts w:ascii="Calibri" w:hAnsi="Calibri" w:cs="Calibri"/>
        </w:rPr>
        <w:t xml:space="preserve"> 17.12.2025)</w:t>
      </w:r>
    </w:p>
    <w:p w14:paraId="5A4D5C5E" w14:textId="77777777" w:rsidR="00086AE3" w:rsidRDefault="00086AE3" w:rsidP="001E0A69">
      <w:pPr>
        <w:spacing w:line="276" w:lineRule="auto"/>
        <w:rPr>
          <w:rFonts w:ascii="Calibri" w:hAnsi="Calibri" w:cs="Calibri"/>
        </w:rPr>
      </w:pPr>
    </w:p>
    <w:p w14:paraId="1BD10291" w14:textId="0DA3AE0B" w:rsidR="00086AE3" w:rsidRDefault="00086AE3" w:rsidP="001E0A69">
      <w:pPr>
        <w:spacing w:line="276" w:lineRule="auto"/>
        <w:rPr>
          <w:rFonts w:ascii="Calibri" w:hAnsi="Calibri" w:cs="Calibri"/>
        </w:rPr>
      </w:pPr>
      <w:r>
        <w:rPr>
          <w:rFonts w:ascii="Calibri" w:hAnsi="Calibri" w:cs="Calibri"/>
        </w:rPr>
        <w:t>Legislation.gov.uk (2025)</w:t>
      </w:r>
      <w:r w:rsidR="000222B3">
        <w:rPr>
          <w:rFonts w:ascii="Calibri" w:hAnsi="Calibri" w:cs="Calibri"/>
        </w:rPr>
        <w:t>. The Criminal Procedure Rule</w:t>
      </w:r>
      <w:r w:rsidR="003B1D8D">
        <w:rPr>
          <w:rFonts w:ascii="Calibri" w:hAnsi="Calibri" w:cs="Calibri"/>
        </w:rPr>
        <w:t xml:space="preserve"> 2025. Available at: </w:t>
      </w:r>
    </w:p>
    <w:p w14:paraId="1F8616C5" w14:textId="68AF56F1" w:rsidR="00086AE3" w:rsidRDefault="003B1D8D" w:rsidP="001E0A69">
      <w:pPr>
        <w:spacing w:line="276" w:lineRule="auto"/>
        <w:rPr>
          <w:rFonts w:ascii="Calibri" w:hAnsi="Calibri" w:cs="Calibri"/>
        </w:rPr>
      </w:pPr>
      <w:hyperlink r:id="rId14" w:history="1">
        <w:r w:rsidRPr="00410F27">
          <w:rPr>
            <w:rStyle w:val="Hyperlink"/>
            <w:rFonts w:ascii="Calibri" w:hAnsi="Calibri" w:cs="Calibri"/>
          </w:rPr>
          <w:t>https://www.legislation.gov.uk/uksi/2025/909/rule/14.2</w:t>
        </w:r>
      </w:hyperlink>
      <w:r>
        <w:rPr>
          <w:rFonts w:ascii="Calibri" w:hAnsi="Calibri" w:cs="Calibri"/>
        </w:rPr>
        <w:t xml:space="preserve"> (accessed: 25.12.2025).</w:t>
      </w:r>
    </w:p>
    <w:p w14:paraId="63D9A4E9" w14:textId="77777777" w:rsidR="004A7966" w:rsidRDefault="004A7966" w:rsidP="001E0A69">
      <w:pPr>
        <w:spacing w:line="276" w:lineRule="auto"/>
        <w:rPr>
          <w:rFonts w:ascii="Calibri" w:hAnsi="Calibri" w:cs="Calibri"/>
        </w:rPr>
      </w:pPr>
    </w:p>
    <w:p w14:paraId="03C9503D" w14:textId="21BAE890" w:rsidR="004A7966" w:rsidRDefault="004A7966" w:rsidP="001E0A69">
      <w:pPr>
        <w:spacing w:line="276" w:lineRule="auto"/>
        <w:rPr>
          <w:rFonts w:ascii="Calibri" w:hAnsi="Calibri" w:cs="Calibri"/>
        </w:rPr>
      </w:pPr>
      <w:r>
        <w:rPr>
          <w:rFonts w:ascii="Calibri" w:hAnsi="Calibri" w:cs="Calibri"/>
        </w:rPr>
        <w:t>Meyer, J. (2014)</w:t>
      </w:r>
      <w:r w:rsidR="00C80B36">
        <w:rPr>
          <w:rFonts w:ascii="Calibri" w:hAnsi="Calibri" w:cs="Calibri"/>
        </w:rPr>
        <w:t xml:space="preserve">. R v Nottingham Justice, Ex Parte Davies (1980). Available at: </w:t>
      </w:r>
    </w:p>
    <w:p w14:paraId="187AFC8F" w14:textId="77777777" w:rsidR="00C80B36" w:rsidRDefault="00C80B36" w:rsidP="001E0A69">
      <w:pPr>
        <w:spacing w:line="276" w:lineRule="auto"/>
        <w:rPr>
          <w:rFonts w:ascii="Calibri" w:hAnsi="Calibri" w:cs="Calibri"/>
        </w:rPr>
      </w:pPr>
      <w:hyperlink r:id="rId15" w:history="1">
        <w:r w:rsidRPr="00410F27">
          <w:rPr>
            <w:rStyle w:val="Hyperlink"/>
            <w:rFonts w:ascii="Calibri" w:hAnsi="Calibri" w:cs="Calibri"/>
          </w:rPr>
          <w:t>https://www.lccsa.org.uk/r-v-nottingham-justices-ex-parte-davies-1980/</w:t>
        </w:r>
      </w:hyperlink>
      <w:r>
        <w:rPr>
          <w:rFonts w:ascii="Calibri" w:hAnsi="Calibri" w:cs="Calibri"/>
        </w:rPr>
        <w:t xml:space="preserve"> </w:t>
      </w:r>
    </w:p>
    <w:p w14:paraId="6C8EF88D" w14:textId="7D3D6DA8" w:rsidR="004A7966" w:rsidRDefault="00C80B36" w:rsidP="001E0A69">
      <w:pPr>
        <w:spacing w:line="276" w:lineRule="auto"/>
        <w:rPr>
          <w:rFonts w:ascii="Calibri" w:hAnsi="Calibri" w:cs="Calibri"/>
        </w:rPr>
      </w:pPr>
      <w:r>
        <w:rPr>
          <w:rFonts w:ascii="Calibri" w:hAnsi="Calibri" w:cs="Calibri"/>
        </w:rPr>
        <w:t>(accessed: 25.12.2025)</w:t>
      </w:r>
    </w:p>
    <w:p w14:paraId="587C1F89" w14:textId="77777777" w:rsidR="00C41C82" w:rsidRDefault="00C41C82" w:rsidP="001E0A69">
      <w:pPr>
        <w:spacing w:line="276" w:lineRule="auto"/>
        <w:rPr>
          <w:rFonts w:ascii="Calibri" w:hAnsi="Calibri" w:cs="Calibri"/>
        </w:rPr>
      </w:pPr>
    </w:p>
    <w:p w14:paraId="283863E3" w14:textId="393E143A" w:rsidR="00C41C82" w:rsidRDefault="00C41C82" w:rsidP="001E0A69">
      <w:pPr>
        <w:spacing w:line="276" w:lineRule="auto"/>
        <w:rPr>
          <w:rFonts w:ascii="Calibri" w:hAnsi="Calibri" w:cs="Calibri"/>
        </w:rPr>
      </w:pPr>
      <w:r>
        <w:rPr>
          <w:rFonts w:ascii="Calibri" w:hAnsi="Calibri" w:cs="Calibri"/>
        </w:rPr>
        <w:t>parliament.uk (2025)</w:t>
      </w:r>
      <w:r w:rsidR="00AB4BE8">
        <w:rPr>
          <w:rFonts w:ascii="Calibri" w:hAnsi="Calibri" w:cs="Calibri"/>
        </w:rPr>
        <w:t xml:space="preserve">. House of Lords – Kay (Fc) v Commissioner of </w:t>
      </w:r>
      <w:r w:rsidR="003F6867">
        <w:rPr>
          <w:rFonts w:ascii="Calibri" w:hAnsi="Calibri" w:cs="Calibri"/>
        </w:rPr>
        <w:t>t</w:t>
      </w:r>
      <w:r w:rsidR="00AB4BE8">
        <w:rPr>
          <w:rFonts w:ascii="Calibri" w:hAnsi="Calibri" w:cs="Calibri"/>
        </w:rPr>
        <w:t xml:space="preserve">he Police of </w:t>
      </w:r>
      <w:r w:rsidR="00D60E22">
        <w:rPr>
          <w:rFonts w:ascii="Calibri" w:hAnsi="Calibri" w:cs="Calibri"/>
        </w:rPr>
        <w:t>t</w:t>
      </w:r>
      <w:r w:rsidR="00AB4BE8">
        <w:rPr>
          <w:rFonts w:ascii="Calibri" w:hAnsi="Calibri" w:cs="Calibri"/>
        </w:rPr>
        <w:t>he Metrop</w:t>
      </w:r>
      <w:r w:rsidR="00D60E22">
        <w:rPr>
          <w:rFonts w:ascii="Calibri" w:hAnsi="Calibri" w:cs="Calibri"/>
        </w:rPr>
        <w:t>olis Appellate Committee Lord Phill. Available at:</w:t>
      </w:r>
    </w:p>
    <w:p w14:paraId="0F68E77D" w14:textId="2EBD7256" w:rsidR="00C41C82" w:rsidRDefault="003F6867" w:rsidP="001E0A69">
      <w:pPr>
        <w:spacing w:line="276" w:lineRule="auto"/>
        <w:rPr>
          <w:rFonts w:ascii="Calibri" w:hAnsi="Calibri" w:cs="Calibri"/>
        </w:rPr>
      </w:pPr>
      <w:hyperlink r:id="rId16" w:anchor=":~:text=It%20was%20Mr%20Pannick's%20submission,I%20beg%20to%20differ" w:history="1">
        <w:r w:rsidRPr="00410F27">
          <w:rPr>
            <w:rStyle w:val="Hyperlink"/>
            <w:rFonts w:ascii="Calibri" w:hAnsi="Calibri" w:cs="Calibri"/>
          </w:rPr>
          <w:t>https://publications.parliament.uk/pa/ld200708/ldjudgmt/jd081126/metro-1.htm#:~:text=It%20was%20Mr%20Pannick's%20submission,I%20beg%20to%20differ</w:t>
        </w:r>
      </w:hyperlink>
      <w:r w:rsidRPr="003F6867">
        <w:rPr>
          <w:rFonts w:ascii="Calibri" w:hAnsi="Calibri" w:cs="Calibri"/>
        </w:rPr>
        <w:t>.</w:t>
      </w:r>
      <w:r>
        <w:rPr>
          <w:rFonts w:ascii="Calibri" w:hAnsi="Calibri" w:cs="Calibri"/>
        </w:rPr>
        <w:t xml:space="preserve"> (accessed 17.12.2025)</w:t>
      </w:r>
    </w:p>
    <w:p w14:paraId="62849A52" w14:textId="77777777" w:rsidR="00492946" w:rsidRDefault="00492946" w:rsidP="001E0A69">
      <w:pPr>
        <w:spacing w:line="276" w:lineRule="auto"/>
        <w:rPr>
          <w:rFonts w:ascii="Calibri" w:hAnsi="Calibri" w:cs="Calibri"/>
        </w:rPr>
      </w:pPr>
    </w:p>
    <w:p w14:paraId="56AF770C" w14:textId="260BA0EA" w:rsidR="000D2078" w:rsidRDefault="00556EFE" w:rsidP="001E0A69">
      <w:pPr>
        <w:spacing w:line="276" w:lineRule="auto"/>
        <w:rPr>
          <w:rFonts w:ascii="Calibri" w:hAnsi="Calibri" w:cs="Calibri"/>
        </w:rPr>
      </w:pPr>
      <w:r>
        <w:rPr>
          <w:rFonts w:ascii="Calibri" w:hAnsi="Calibri" w:cs="Calibri"/>
        </w:rPr>
        <w:t>PSO.gov</w:t>
      </w:r>
      <w:r w:rsidR="00F00F4D">
        <w:rPr>
          <w:rFonts w:ascii="Calibri" w:hAnsi="Calibri" w:cs="Calibri"/>
        </w:rPr>
        <w:t xml:space="preserve"> (20</w:t>
      </w:r>
      <w:r w:rsidR="0070628C">
        <w:rPr>
          <w:rFonts w:ascii="Calibri" w:hAnsi="Calibri" w:cs="Calibri"/>
        </w:rPr>
        <w:t>25</w:t>
      </w:r>
      <w:r w:rsidR="00F00F4D">
        <w:rPr>
          <w:rFonts w:ascii="Calibri" w:hAnsi="Calibri" w:cs="Calibri"/>
        </w:rPr>
        <w:t>).</w:t>
      </w:r>
      <w:r w:rsidR="0070628C">
        <w:rPr>
          <w:rFonts w:ascii="Calibri" w:hAnsi="Calibri" w:cs="Calibri"/>
        </w:rPr>
        <w:t xml:space="preserve"> Bail Law and Procedure.</w:t>
      </w:r>
      <w:r w:rsidR="00F00F4D">
        <w:rPr>
          <w:rFonts w:ascii="Calibri" w:hAnsi="Calibri" w:cs="Calibri"/>
        </w:rPr>
        <w:t xml:space="preserve"> A</w:t>
      </w:r>
      <w:r w:rsidR="000D2078">
        <w:rPr>
          <w:rFonts w:ascii="Calibri" w:hAnsi="Calibri" w:cs="Calibri"/>
        </w:rPr>
        <w:t>vailable at:</w:t>
      </w:r>
      <w:r w:rsidR="0070628C">
        <w:rPr>
          <w:rFonts w:ascii="Calibri" w:hAnsi="Calibri" w:cs="Calibri"/>
        </w:rPr>
        <w:t xml:space="preserve"> </w:t>
      </w:r>
    </w:p>
    <w:p w14:paraId="024F6C5A" w14:textId="477E5137" w:rsidR="000D2078" w:rsidRDefault="0070628C" w:rsidP="001E0A69">
      <w:pPr>
        <w:spacing w:line="276" w:lineRule="auto"/>
        <w:rPr>
          <w:rFonts w:ascii="Calibri" w:hAnsi="Calibri" w:cs="Calibri"/>
        </w:rPr>
      </w:pPr>
      <w:hyperlink r:id="rId17" w:history="1">
        <w:r w:rsidRPr="00410F27">
          <w:rPr>
            <w:rStyle w:val="Hyperlink"/>
            <w:rFonts w:ascii="Calibri" w:hAnsi="Calibri" w:cs="Calibri"/>
          </w:rPr>
          <w:t>https://www.pso.gov.sb/index.php/resources/criminal-law/evidence-law-and-advocacy/151-evidence-law-and-advocacy-chapter-2-final-feb-2012/file.html</w:t>
        </w:r>
      </w:hyperlink>
      <w:r>
        <w:rPr>
          <w:rFonts w:ascii="Calibri" w:hAnsi="Calibri" w:cs="Calibri"/>
        </w:rPr>
        <w:t xml:space="preserve"> </w:t>
      </w:r>
      <w:r w:rsidR="000D2078">
        <w:rPr>
          <w:rFonts w:ascii="Calibri" w:hAnsi="Calibri" w:cs="Calibri"/>
        </w:rPr>
        <w:t>(acc</w:t>
      </w:r>
      <w:r w:rsidR="00AD2A06">
        <w:rPr>
          <w:rFonts w:ascii="Calibri" w:hAnsi="Calibri" w:cs="Calibri"/>
        </w:rPr>
        <w:t>essed 11.12.2025)</w:t>
      </w:r>
    </w:p>
    <w:p w14:paraId="54A4F836" w14:textId="325471E8" w:rsidR="0044471E" w:rsidRDefault="009837C3" w:rsidP="001E0A69">
      <w:pPr>
        <w:spacing w:line="276" w:lineRule="auto"/>
        <w:rPr>
          <w:rFonts w:ascii="Calibri" w:hAnsi="Calibri" w:cs="Calibri"/>
        </w:rPr>
      </w:pPr>
      <w:r>
        <w:rPr>
          <w:rFonts w:ascii="Calibri" w:hAnsi="Calibri" w:cs="Calibri"/>
        </w:rPr>
        <w:t>Sentencingcouncil</w:t>
      </w:r>
      <w:r w:rsidR="0044471E">
        <w:rPr>
          <w:rFonts w:ascii="Calibri" w:hAnsi="Calibri" w:cs="Calibri"/>
        </w:rPr>
        <w:t xml:space="preserve"> (</w:t>
      </w:r>
      <w:r>
        <w:rPr>
          <w:rFonts w:ascii="Calibri" w:hAnsi="Calibri" w:cs="Calibri"/>
        </w:rPr>
        <w:t xml:space="preserve">2019). Conditional bail. Available </w:t>
      </w:r>
      <w:r w:rsidR="0089215E">
        <w:rPr>
          <w:rFonts w:ascii="Calibri" w:hAnsi="Calibri" w:cs="Calibri"/>
        </w:rPr>
        <w:t>at:</w:t>
      </w:r>
    </w:p>
    <w:p w14:paraId="4B009038" w14:textId="77777777" w:rsidR="0089215E" w:rsidRDefault="0089215E" w:rsidP="001E0A69">
      <w:pPr>
        <w:spacing w:line="276" w:lineRule="auto"/>
        <w:rPr>
          <w:rFonts w:ascii="Calibri" w:hAnsi="Calibri" w:cs="Calibri"/>
        </w:rPr>
      </w:pPr>
      <w:hyperlink r:id="rId18" w:history="1">
        <w:r w:rsidRPr="00410F27">
          <w:rPr>
            <w:rStyle w:val="Hyperlink"/>
            <w:rFonts w:ascii="Calibri" w:hAnsi="Calibri" w:cs="Calibri"/>
          </w:rPr>
          <w:t>https://sentencingcouncil.org.uk/pronouncement-builder/conditional-bail/</w:t>
        </w:r>
      </w:hyperlink>
      <w:r>
        <w:rPr>
          <w:rFonts w:ascii="Calibri" w:hAnsi="Calibri" w:cs="Calibri"/>
        </w:rPr>
        <w:t xml:space="preserve"> </w:t>
      </w:r>
    </w:p>
    <w:p w14:paraId="340DA9A8" w14:textId="461FBF74" w:rsidR="0089215E" w:rsidRDefault="0089215E" w:rsidP="001E0A69">
      <w:pPr>
        <w:spacing w:line="276" w:lineRule="auto"/>
        <w:rPr>
          <w:rFonts w:ascii="Calibri" w:hAnsi="Calibri" w:cs="Calibri"/>
        </w:rPr>
      </w:pPr>
      <w:r>
        <w:rPr>
          <w:rFonts w:ascii="Calibri" w:hAnsi="Calibri" w:cs="Calibri"/>
        </w:rPr>
        <w:t>(accessed: 25.12.2025)</w:t>
      </w:r>
    </w:p>
    <w:p w14:paraId="2F5BEA5C" w14:textId="77777777" w:rsidR="00807B58" w:rsidRDefault="00807B58" w:rsidP="001E0A69">
      <w:pPr>
        <w:spacing w:line="276" w:lineRule="auto"/>
        <w:rPr>
          <w:rFonts w:ascii="Calibri" w:hAnsi="Calibri" w:cs="Calibri"/>
        </w:rPr>
      </w:pPr>
    </w:p>
    <w:p w14:paraId="056D74D9" w14:textId="17190407" w:rsidR="00807B58" w:rsidRDefault="00807B58" w:rsidP="001E0A69">
      <w:pPr>
        <w:spacing w:line="276" w:lineRule="auto"/>
        <w:rPr>
          <w:rFonts w:ascii="Calibri" w:hAnsi="Calibri" w:cs="Calibri"/>
        </w:rPr>
      </w:pPr>
      <w:r>
        <w:rPr>
          <w:rFonts w:ascii="Calibri" w:hAnsi="Calibri" w:cs="Calibri"/>
        </w:rPr>
        <w:t>SGC (2007)</w:t>
      </w:r>
      <w:r w:rsidR="00814C44">
        <w:rPr>
          <w:rFonts w:ascii="Calibri" w:hAnsi="Calibri" w:cs="Calibri"/>
        </w:rPr>
        <w:t>. S G C Fail to Surrender to Bail</w:t>
      </w:r>
      <w:r w:rsidR="00490464">
        <w:rPr>
          <w:rFonts w:ascii="Calibri" w:hAnsi="Calibri" w:cs="Calibri"/>
        </w:rPr>
        <w:t xml:space="preserve"> Fail to Surrender to Bail Definitive Guideline. Available at:</w:t>
      </w:r>
    </w:p>
    <w:p w14:paraId="130CF3FF" w14:textId="7D4CB8B9" w:rsidR="00490464" w:rsidRDefault="00B54571" w:rsidP="001E0A69">
      <w:pPr>
        <w:spacing w:line="276" w:lineRule="auto"/>
        <w:rPr>
          <w:rFonts w:ascii="Calibri" w:hAnsi="Calibri" w:cs="Calibri"/>
        </w:rPr>
      </w:pPr>
      <w:hyperlink r:id="rId19" w:history="1">
        <w:r w:rsidRPr="00410F27">
          <w:rPr>
            <w:rStyle w:val="Hyperlink"/>
            <w:rFonts w:ascii="Calibri" w:hAnsi="Calibri" w:cs="Calibri"/>
          </w:rPr>
          <w:t>https://sentencingcouncil.org.uk/media/erxj4kkw/web_fail_to_surrender_to_bail.pdf</w:t>
        </w:r>
      </w:hyperlink>
    </w:p>
    <w:p w14:paraId="3A0BC093" w14:textId="0E527630" w:rsidR="00B876A0" w:rsidRPr="008F6B7F" w:rsidRDefault="00B54571" w:rsidP="001E0A69">
      <w:pPr>
        <w:spacing w:line="276" w:lineRule="auto"/>
        <w:rPr>
          <w:rFonts w:ascii="Calibri" w:hAnsi="Calibri" w:cs="Calibri"/>
        </w:rPr>
      </w:pPr>
      <w:r>
        <w:rPr>
          <w:rFonts w:ascii="Calibri" w:hAnsi="Calibri" w:cs="Calibri"/>
        </w:rPr>
        <w:t>(accessed 18.12.2025)</w:t>
      </w:r>
    </w:p>
    <w:p w14:paraId="67D617B9" w14:textId="5CC56983" w:rsidR="00387655" w:rsidRPr="00387655" w:rsidRDefault="00387655" w:rsidP="005734E2">
      <w:pPr>
        <w:pStyle w:val="ListParagraph"/>
        <w:spacing w:line="288" w:lineRule="atLeast"/>
        <w:outlineLvl w:val="0"/>
        <w:rPr>
          <w:rFonts w:ascii="Roboto" w:eastAsia="Times New Roman" w:hAnsi="Roboto" w:cs="Times New Roman"/>
          <w:color w:val="1E1E1E"/>
          <w:kern w:val="36"/>
          <w:sz w:val="46"/>
          <w:szCs w:val="46"/>
          <w:lang w:eastAsia="en-GB"/>
          <w14:ligatures w14:val="none"/>
        </w:rPr>
      </w:pPr>
    </w:p>
    <w:p w14:paraId="0F2E70E0" w14:textId="77777777" w:rsidR="00E07FAE" w:rsidRPr="00E0555C" w:rsidRDefault="00E07FAE" w:rsidP="00E0555C">
      <w:pPr>
        <w:rPr>
          <w:rFonts w:ascii="Calibri" w:hAnsi="Calibri" w:cs="Calibri"/>
          <w:b/>
          <w:bCs/>
        </w:rPr>
      </w:pPr>
    </w:p>
    <w:sectPr w:rsidR="00E07FAE" w:rsidRPr="00E0555C">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C9845" w14:textId="77777777" w:rsidR="00746C5A" w:rsidRDefault="00746C5A" w:rsidP="00E0555C">
      <w:r>
        <w:separator/>
      </w:r>
    </w:p>
  </w:endnote>
  <w:endnote w:type="continuationSeparator" w:id="0">
    <w:p w14:paraId="04C29D20" w14:textId="77777777" w:rsidR="00746C5A" w:rsidRDefault="00746C5A" w:rsidP="00E05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CF921" w14:textId="77777777" w:rsidR="00746C5A" w:rsidRDefault="00746C5A" w:rsidP="00E0555C">
      <w:r>
        <w:separator/>
      </w:r>
    </w:p>
  </w:footnote>
  <w:footnote w:type="continuationSeparator" w:id="0">
    <w:p w14:paraId="2C6EF905" w14:textId="77777777" w:rsidR="00746C5A" w:rsidRDefault="00746C5A" w:rsidP="00E055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6F80E" w14:textId="77777777" w:rsidR="00E0555C" w:rsidRPr="00D625DE" w:rsidRDefault="00E0555C" w:rsidP="00E0555C">
    <w:pPr>
      <w:pStyle w:val="Header"/>
      <w:rPr>
        <w:rFonts w:ascii="Calibri" w:hAnsi="Calibri" w:cs="Calibri"/>
      </w:rPr>
    </w:pPr>
    <w:r w:rsidRPr="00D625DE">
      <w:rPr>
        <w:rFonts w:ascii="Calibri" w:hAnsi="Calibri" w:cs="Calibri"/>
      </w:rPr>
      <w:t xml:space="preserve">Diana Demeterova                                                      Principle of Professional Legal Practice                       </w:t>
    </w:r>
  </w:p>
  <w:p w14:paraId="3FF6FB91" w14:textId="77777777" w:rsidR="00E0555C" w:rsidRPr="00D625DE" w:rsidRDefault="00E0555C" w:rsidP="00E0555C">
    <w:pPr>
      <w:pStyle w:val="Header"/>
      <w:rPr>
        <w:rFonts w:ascii="Calibri" w:hAnsi="Calibri" w:cs="Calibri"/>
      </w:rPr>
    </w:pPr>
    <w:r w:rsidRPr="00D625DE">
      <w:rPr>
        <w:rFonts w:ascii="Calibri" w:hAnsi="Calibri" w:cs="Calibri"/>
      </w:rPr>
      <w:t xml:space="preserve">2314066                                            </w:t>
    </w:r>
    <w:r>
      <w:rPr>
        <w:rFonts w:ascii="Calibri" w:hAnsi="Calibri" w:cs="Calibri"/>
      </w:rPr>
      <w:t xml:space="preserve">      </w:t>
    </w:r>
    <w:r w:rsidRPr="00D625DE">
      <w:rPr>
        <w:rFonts w:ascii="Calibri" w:hAnsi="Calibri" w:cs="Calibri"/>
      </w:rPr>
      <w:t xml:space="preserve"> Advocacy assessment : Bail Application to District Judge </w:t>
    </w:r>
  </w:p>
  <w:p w14:paraId="47072DA3" w14:textId="77777777" w:rsidR="00E0555C" w:rsidRDefault="00E055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60E1"/>
    <w:multiLevelType w:val="multilevel"/>
    <w:tmpl w:val="BDC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D26141"/>
    <w:multiLevelType w:val="hybridMultilevel"/>
    <w:tmpl w:val="A496B8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4220B1"/>
    <w:multiLevelType w:val="hybridMultilevel"/>
    <w:tmpl w:val="BCAC9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E15237"/>
    <w:multiLevelType w:val="hybridMultilevel"/>
    <w:tmpl w:val="94724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DE36CF"/>
    <w:multiLevelType w:val="hybridMultilevel"/>
    <w:tmpl w:val="207237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A02358"/>
    <w:multiLevelType w:val="hybridMultilevel"/>
    <w:tmpl w:val="527E2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0C5831"/>
    <w:multiLevelType w:val="hybridMultilevel"/>
    <w:tmpl w:val="19009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889133D"/>
    <w:multiLevelType w:val="hybridMultilevel"/>
    <w:tmpl w:val="5F4C765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A034211"/>
    <w:multiLevelType w:val="hybridMultilevel"/>
    <w:tmpl w:val="8F48698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E017062"/>
    <w:multiLevelType w:val="hybridMultilevel"/>
    <w:tmpl w:val="77F6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591CC4"/>
    <w:multiLevelType w:val="multilevel"/>
    <w:tmpl w:val="9D203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7170A21"/>
    <w:multiLevelType w:val="hybridMultilevel"/>
    <w:tmpl w:val="8F6ED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4A2B56"/>
    <w:multiLevelType w:val="multilevel"/>
    <w:tmpl w:val="7406A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7633C6"/>
    <w:multiLevelType w:val="hybridMultilevel"/>
    <w:tmpl w:val="C1A09E3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81C190F"/>
    <w:multiLevelType w:val="hybridMultilevel"/>
    <w:tmpl w:val="220ECF8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9071CB"/>
    <w:multiLevelType w:val="hybridMultilevel"/>
    <w:tmpl w:val="96DAA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9476EF"/>
    <w:multiLevelType w:val="multilevel"/>
    <w:tmpl w:val="0148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256D5C"/>
    <w:multiLevelType w:val="multilevel"/>
    <w:tmpl w:val="3E747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0B71D9"/>
    <w:multiLevelType w:val="hybridMultilevel"/>
    <w:tmpl w:val="CD280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BF668A"/>
    <w:multiLevelType w:val="hybridMultilevel"/>
    <w:tmpl w:val="33081C4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4935F5D"/>
    <w:multiLevelType w:val="hybridMultilevel"/>
    <w:tmpl w:val="7A1AB1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4D40BA8"/>
    <w:multiLevelType w:val="multilevel"/>
    <w:tmpl w:val="C1EC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E3541B"/>
    <w:multiLevelType w:val="hybridMultilevel"/>
    <w:tmpl w:val="A48E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84F28CB"/>
    <w:multiLevelType w:val="multilevel"/>
    <w:tmpl w:val="4658E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C911DF"/>
    <w:multiLevelType w:val="hybridMultilevel"/>
    <w:tmpl w:val="A356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423CEF"/>
    <w:multiLevelType w:val="hybridMultilevel"/>
    <w:tmpl w:val="D1983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3E3462C"/>
    <w:multiLevelType w:val="multilevel"/>
    <w:tmpl w:val="8572D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834325"/>
    <w:multiLevelType w:val="hybridMultilevel"/>
    <w:tmpl w:val="43A0A4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95955CC"/>
    <w:multiLevelType w:val="hybridMultilevel"/>
    <w:tmpl w:val="7C9A9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C3E6027"/>
    <w:multiLevelType w:val="hybridMultilevel"/>
    <w:tmpl w:val="0060CE6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F880431"/>
    <w:multiLevelType w:val="hybridMultilevel"/>
    <w:tmpl w:val="DDD61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2A039E5"/>
    <w:multiLevelType w:val="hybridMultilevel"/>
    <w:tmpl w:val="52CE1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19468B"/>
    <w:multiLevelType w:val="hybridMultilevel"/>
    <w:tmpl w:val="E878EC4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63936A2"/>
    <w:multiLevelType w:val="multilevel"/>
    <w:tmpl w:val="4E42A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7182CDE"/>
    <w:multiLevelType w:val="hybridMultilevel"/>
    <w:tmpl w:val="D29A1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6433C1"/>
    <w:multiLevelType w:val="multilevel"/>
    <w:tmpl w:val="517C5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CCB3D6D"/>
    <w:multiLevelType w:val="hybridMultilevel"/>
    <w:tmpl w:val="971CA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CDB4503"/>
    <w:multiLevelType w:val="multilevel"/>
    <w:tmpl w:val="7DE2C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F63503"/>
    <w:multiLevelType w:val="hybridMultilevel"/>
    <w:tmpl w:val="DDACCA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D700DB0"/>
    <w:multiLevelType w:val="multilevel"/>
    <w:tmpl w:val="9F2A7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492F3C"/>
    <w:multiLevelType w:val="hybridMultilevel"/>
    <w:tmpl w:val="75D02B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4AE62F7"/>
    <w:multiLevelType w:val="hybridMultilevel"/>
    <w:tmpl w:val="80C44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3740EE"/>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56900A90"/>
    <w:multiLevelType w:val="hybridMultilevel"/>
    <w:tmpl w:val="CCC89F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6C763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5707744F"/>
    <w:multiLevelType w:val="multilevel"/>
    <w:tmpl w:val="0809001F"/>
    <w:styleLink w:val="CurrentList3"/>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59096D52"/>
    <w:multiLevelType w:val="multilevel"/>
    <w:tmpl w:val="69988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4B4B5B"/>
    <w:multiLevelType w:val="hybridMultilevel"/>
    <w:tmpl w:val="3FFC2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4F3EE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5C073E31"/>
    <w:multiLevelType w:val="hybridMultilevel"/>
    <w:tmpl w:val="2F6EF4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D902EC2"/>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5DB82B10"/>
    <w:multiLevelType w:val="multilevel"/>
    <w:tmpl w:val="67FCB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615158"/>
    <w:multiLevelType w:val="multilevel"/>
    <w:tmpl w:val="CE563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12D3965"/>
    <w:multiLevelType w:val="hybridMultilevel"/>
    <w:tmpl w:val="1E74C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22279DD"/>
    <w:multiLevelType w:val="hybridMultilevel"/>
    <w:tmpl w:val="5980E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7F025B5"/>
    <w:multiLevelType w:val="hybridMultilevel"/>
    <w:tmpl w:val="A39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D1B0621"/>
    <w:multiLevelType w:val="multilevel"/>
    <w:tmpl w:val="9CDA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3C5539"/>
    <w:multiLevelType w:val="hybridMultilevel"/>
    <w:tmpl w:val="4544CDB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8" w15:restartNumberingAfterBreak="0">
    <w:nsid w:val="6E643905"/>
    <w:multiLevelType w:val="multilevel"/>
    <w:tmpl w:val="4A121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2E1218"/>
    <w:multiLevelType w:val="hybridMultilevel"/>
    <w:tmpl w:val="8C82F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67E042D"/>
    <w:multiLevelType w:val="multilevel"/>
    <w:tmpl w:val="C582A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571828"/>
    <w:multiLevelType w:val="hybridMultilevel"/>
    <w:tmpl w:val="FD9E2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7AD00B2"/>
    <w:multiLevelType w:val="hybridMultilevel"/>
    <w:tmpl w:val="CB90F3F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A3F092E"/>
    <w:multiLevelType w:val="hybridMultilevel"/>
    <w:tmpl w:val="B964ABE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7351162">
    <w:abstractNumId w:val="54"/>
  </w:num>
  <w:num w:numId="2" w16cid:durableId="712995549">
    <w:abstractNumId w:val="44"/>
  </w:num>
  <w:num w:numId="3" w16cid:durableId="1817258761">
    <w:abstractNumId w:val="22"/>
  </w:num>
  <w:num w:numId="4" w16cid:durableId="989674623">
    <w:abstractNumId w:val="3"/>
  </w:num>
  <w:num w:numId="5" w16cid:durableId="1777014676">
    <w:abstractNumId w:val="35"/>
  </w:num>
  <w:num w:numId="6" w16cid:durableId="1412118361">
    <w:abstractNumId w:val="17"/>
  </w:num>
  <w:num w:numId="7" w16cid:durableId="1629972363">
    <w:abstractNumId w:val="9"/>
  </w:num>
  <w:num w:numId="8" w16cid:durableId="82385424">
    <w:abstractNumId w:val="2"/>
  </w:num>
  <w:num w:numId="9" w16cid:durableId="443235218">
    <w:abstractNumId w:val="26"/>
  </w:num>
  <w:num w:numId="10" w16cid:durableId="1175262093">
    <w:abstractNumId w:val="28"/>
  </w:num>
  <w:num w:numId="11" w16cid:durableId="1663855920">
    <w:abstractNumId w:val="15"/>
  </w:num>
  <w:num w:numId="12" w16cid:durableId="1841194129">
    <w:abstractNumId w:val="49"/>
  </w:num>
  <w:num w:numId="13" w16cid:durableId="1748572773">
    <w:abstractNumId w:val="38"/>
  </w:num>
  <w:num w:numId="14" w16cid:durableId="869104367">
    <w:abstractNumId w:val="59"/>
  </w:num>
  <w:num w:numId="15" w16cid:durableId="1346975713">
    <w:abstractNumId w:val="52"/>
  </w:num>
  <w:num w:numId="16" w16cid:durableId="2085108831">
    <w:abstractNumId w:val="31"/>
  </w:num>
  <w:num w:numId="17" w16cid:durableId="1503668522">
    <w:abstractNumId w:val="56"/>
  </w:num>
  <w:num w:numId="18" w16cid:durableId="1295988217">
    <w:abstractNumId w:val="51"/>
  </w:num>
  <w:num w:numId="19" w16cid:durableId="708336560">
    <w:abstractNumId w:val="42"/>
  </w:num>
  <w:num w:numId="20" w16cid:durableId="1985041016">
    <w:abstractNumId w:val="50"/>
  </w:num>
  <w:num w:numId="21" w16cid:durableId="1504584318">
    <w:abstractNumId w:val="45"/>
  </w:num>
  <w:num w:numId="22" w16cid:durableId="416751400">
    <w:abstractNumId w:val="4"/>
  </w:num>
  <w:num w:numId="23" w16cid:durableId="1147169310">
    <w:abstractNumId w:val="23"/>
  </w:num>
  <w:num w:numId="24" w16cid:durableId="1609118688">
    <w:abstractNumId w:val="36"/>
  </w:num>
  <w:num w:numId="25" w16cid:durableId="838427677">
    <w:abstractNumId w:val="58"/>
  </w:num>
  <w:num w:numId="26" w16cid:durableId="1298531948">
    <w:abstractNumId w:val="0"/>
  </w:num>
  <w:num w:numId="27" w16cid:durableId="433673226">
    <w:abstractNumId w:val="41"/>
  </w:num>
  <w:num w:numId="28" w16cid:durableId="2138796139">
    <w:abstractNumId w:val="16"/>
  </w:num>
  <w:num w:numId="29" w16cid:durableId="1524171231">
    <w:abstractNumId w:val="61"/>
  </w:num>
  <w:num w:numId="30" w16cid:durableId="1332445179">
    <w:abstractNumId w:val="39"/>
  </w:num>
  <w:num w:numId="31" w16cid:durableId="1065568376">
    <w:abstractNumId w:val="21"/>
  </w:num>
  <w:num w:numId="32" w16cid:durableId="2018117304">
    <w:abstractNumId w:val="53"/>
  </w:num>
  <w:num w:numId="33" w16cid:durableId="371923076">
    <w:abstractNumId w:val="34"/>
  </w:num>
  <w:num w:numId="34" w16cid:durableId="1057707017">
    <w:abstractNumId w:val="60"/>
  </w:num>
  <w:num w:numId="35" w16cid:durableId="856311399">
    <w:abstractNumId w:val="11"/>
  </w:num>
  <w:num w:numId="36" w16cid:durableId="1038317284">
    <w:abstractNumId w:val="46"/>
  </w:num>
  <w:num w:numId="37" w16cid:durableId="90930870">
    <w:abstractNumId w:val="43"/>
  </w:num>
  <w:num w:numId="38" w16cid:durableId="1194150446">
    <w:abstractNumId w:val="5"/>
  </w:num>
  <w:num w:numId="39" w16cid:durableId="2112385473">
    <w:abstractNumId w:val="30"/>
  </w:num>
  <w:num w:numId="40" w16cid:durableId="1063792095">
    <w:abstractNumId w:val="1"/>
  </w:num>
  <w:num w:numId="41" w16cid:durableId="1172337795">
    <w:abstractNumId w:val="6"/>
  </w:num>
  <w:num w:numId="42" w16cid:durableId="2016683773">
    <w:abstractNumId w:val="57"/>
  </w:num>
  <w:num w:numId="43" w16cid:durableId="1411851149">
    <w:abstractNumId w:val="18"/>
  </w:num>
  <w:num w:numId="44" w16cid:durableId="1483308353">
    <w:abstractNumId w:val="55"/>
  </w:num>
  <w:num w:numId="45" w16cid:durableId="833106392">
    <w:abstractNumId w:val="10"/>
  </w:num>
  <w:num w:numId="46" w16cid:durableId="314335207">
    <w:abstractNumId w:val="63"/>
  </w:num>
  <w:num w:numId="47" w16cid:durableId="1030029960">
    <w:abstractNumId w:val="40"/>
  </w:num>
  <w:num w:numId="48" w16cid:durableId="539441779">
    <w:abstractNumId w:val="12"/>
  </w:num>
  <w:num w:numId="49" w16cid:durableId="1464883053">
    <w:abstractNumId w:val="32"/>
  </w:num>
  <w:num w:numId="50" w16cid:durableId="17590693">
    <w:abstractNumId w:val="25"/>
  </w:num>
  <w:num w:numId="51" w16cid:durableId="1537038143">
    <w:abstractNumId w:val="48"/>
  </w:num>
  <w:num w:numId="52" w16cid:durableId="1390418963">
    <w:abstractNumId w:val="33"/>
  </w:num>
  <w:num w:numId="53" w16cid:durableId="1273630661">
    <w:abstractNumId w:val="37"/>
  </w:num>
  <w:num w:numId="54" w16cid:durableId="1589534723">
    <w:abstractNumId w:val="13"/>
  </w:num>
  <w:num w:numId="55" w16cid:durableId="534731568">
    <w:abstractNumId w:val="14"/>
  </w:num>
  <w:num w:numId="56" w16cid:durableId="2125074383">
    <w:abstractNumId w:val="29"/>
  </w:num>
  <w:num w:numId="57" w16cid:durableId="1880195059">
    <w:abstractNumId w:val="47"/>
  </w:num>
  <w:num w:numId="58" w16cid:durableId="1132554817">
    <w:abstractNumId w:val="7"/>
  </w:num>
  <w:num w:numId="59" w16cid:durableId="995261341">
    <w:abstractNumId w:val="8"/>
  </w:num>
  <w:num w:numId="60" w16cid:durableId="2094086837">
    <w:abstractNumId w:val="62"/>
  </w:num>
  <w:num w:numId="61" w16cid:durableId="1169174508">
    <w:abstractNumId w:val="20"/>
  </w:num>
  <w:num w:numId="62" w16cid:durableId="905646528">
    <w:abstractNumId w:val="27"/>
  </w:num>
  <w:num w:numId="63" w16cid:durableId="1268199854">
    <w:abstractNumId w:val="24"/>
  </w:num>
  <w:num w:numId="64" w16cid:durableId="8187702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5C"/>
    <w:rsid w:val="0000405E"/>
    <w:rsid w:val="0000495C"/>
    <w:rsid w:val="00006AE3"/>
    <w:rsid w:val="00015665"/>
    <w:rsid w:val="00020E9F"/>
    <w:rsid w:val="000222B3"/>
    <w:rsid w:val="00026A44"/>
    <w:rsid w:val="000471B3"/>
    <w:rsid w:val="0005241A"/>
    <w:rsid w:val="00053380"/>
    <w:rsid w:val="00057062"/>
    <w:rsid w:val="00075137"/>
    <w:rsid w:val="00086AE3"/>
    <w:rsid w:val="000879BC"/>
    <w:rsid w:val="000905F1"/>
    <w:rsid w:val="00090BE2"/>
    <w:rsid w:val="00096AAE"/>
    <w:rsid w:val="0009704D"/>
    <w:rsid w:val="000A4307"/>
    <w:rsid w:val="000A77BC"/>
    <w:rsid w:val="000B040F"/>
    <w:rsid w:val="000B6EFD"/>
    <w:rsid w:val="000C0304"/>
    <w:rsid w:val="000C7A53"/>
    <w:rsid w:val="000D037C"/>
    <w:rsid w:val="000D2078"/>
    <w:rsid w:val="000D23CB"/>
    <w:rsid w:val="000D4E9B"/>
    <w:rsid w:val="000D55DD"/>
    <w:rsid w:val="000F667D"/>
    <w:rsid w:val="00120C29"/>
    <w:rsid w:val="00124648"/>
    <w:rsid w:val="00126FC9"/>
    <w:rsid w:val="001301B7"/>
    <w:rsid w:val="00131C57"/>
    <w:rsid w:val="00135F9F"/>
    <w:rsid w:val="00142F9E"/>
    <w:rsid w:val="00147156"/>
    <w:rsid w:val="001532AB"/>
    <w:rsid w:val="00154252"/>
    <w:rsid w:val="0015759A"/>
    <w:rsid w:val="00157AC1"/>
    <w:rsid w:val="00157DD5"/>
    <w:rsid w:val="00161FDE"/>
    <w:rsid w:val="00172662"/>
    <w:rsid w:val="0017284D"/>
    <w:rsid w:val="00180B26"/>
    <w:rsid w:val="00185928"/>
    <w:rsid w:val="0019115C"/>
    <w:rsid w:val="00196820"/>
    <w:rsid w:val="001A6699"/>
    <w:rsid w:val="001B288E"/>
    <w:rsid w:val="001B587C"/>
    <w:rsid w:val="001B7CD7"/>
    <w:rsid w:val="001C005C"/>
    <w:rsid w:val="001C34FF"/>
    <w:rsid w:val="001C5699"/>
    <w:rsid w:val="001C59BF"/>
    <w:rsid w:val="001D5E92"/>
    <w:rsid w:val="001D5EAE"/>
    <w:rsid w:val="001E0A69"/>
    <w:rsid w:val="002012CB"/>
    <w:rsid w:val="00210FCD"/>
    <w:rsid w:val="00214A83"/>
    <w:rsid w:val="00214AB7"/>
    <w:rsid w:val="00216907"/>
    <w:rsid w:val="00223073"/>
    <w:rsid w:val="0022389F"/>
    <w:rsid w:val="00223B20"/>
    <w:rsid w:val="002329CF"/>
    <w:rsid w:val="00240678"/>
    <w:rsid w:val="00240F01"/>
    <w:rsid w:val="00245A35"/>
    <w:rsid w:val="00250059"/>
    <w:rsid w:val="0025030C"/>
    <w:rsid w:val="00253AB4"/>
    <w:rsid w:val="00256705"/>
    <w:rsid w:val="002656D2"/>
    <w:rsid w:val="00271457"/>
    <w:rsid w:val="00271985"/>
    <w:rsid w:val="00275F55"/>
    <w:rsid w:val="00277336"/>
    <w:rsid w:val="0028315A"/>
    <w:rsid w:val="002A231C"/>
    <w:rsid w:val="002B6797"/>
    <w:rsid w:val="002C3BCC"/>
    <w:rsid w:val="002D2005"/>
    <w:rsid w:val="002D4080"/>
    <w:rsid w:val="002D6821"/>
    <w:rsid w:val="002E622F"/>
    <w:rsid w:val="002E7D90"/>
    <w:rsid w:val="002F0FA3"/>
    <w:rsid w:val="00300402"/>
    <w:rsid w:val="003007E9"/>
    <w:rsid w:val="00303BE2"/>
    <w:rsid w:val="0030559F"/>
    <w:rsid w:val="00315854"/>
    <w:rsid w:val="00322843"/>
    <w:rsid w:val="0032373F"/>
    <w:rsid w:val="0033226B"/>
    <w:rsid w:val="00345A95"/>
    <w:rsid w:val="003502EA"/>
    <w:rsid w:val="003505D4"/>
    <w:rsid w:val="003518FA"/>
    <w:rsid w:val="003539DD"/>
    <w:rsid w:val="00361BE6"/>
    <w:rsid w:val="00366874"/>
    <w:rsid w:val="00367E50"/>
    <w:rsid w:val="0037301E"/>
    <w:rsid w:val="00383F59"/>
    <w:rsid w:val="00385009"/>
    <w:rsid w:val="00386CF6"/>
    <w:rsid w:val="00387655"/>
    <w:rsid w:val="00387939"/>
    <w:rsid w:val="00391E9F"/>
    <w:rsid w:val="00393082"/>
    <w:rsid w:val="00393E24"/>
    <w:rsid w:val="003A5C20"/>
    <w:rsid w:val="003B0D4D"/>
    <w:rsid w:val="003B1D8D"/>
    <w:rsid w:val="003B5C3A"/>
    <w:rsid w:val="003C43A5"/>
    <w:rsid w:val="003C6B41"/>
    <w:rsid w:val="003E2F74"/>
    <w:rsid w:val="003E3E66"/>
    <w:rsid w:val="003E7961"/>
    <w:rsid w:val="003F1B43"/>
    <w:rsid w:val="003F5E87"/>
    <w:rsid w:val="003F6867"/>
    <w:rsid w:val="00406A87"/>
    <w:rsid w:val="0041046D"/>
    <w:rsid w:val="0041420C"/>
    <w:rsid w:val="00414805"/>
    <w:rsid w:val="00416693"/>
    <w:rsid w:val="004225F9"/>
    <w:rsid w:val="00425D1C"/>
    <w:rsid w:val="00433B77"/>
    <w:rsid w:val="00442C76"/>
    <w:rsid w:val="0044471E"/>
    <w:rsid w:val="00450273"/>
    <w:rsid w:val="0045084F"/>
    <w:rsid w:val="00453155"/>
    <w:rsid w:val="004568EA"/>
    <w:rsid w:val="00465CBF"/>
    <w:rsid w:val="004709FE"/>
    <w:rsid w:val="004802C5"/>
    <w:rsid w:val="004839F3"/>
    <w:rsid w:val="00487F06"/>
    <w:rsid w:val="00490464"/>
    <w:rsid w:val="00492946"/>
    <w:rsid w:val="004941C3"/>
    <w:rsid w:val="0049482C"/>
    <w:rsid w:val="004A02E3"/>
    <w:rsid w:val="004A7966"/>
    <w:rsid w:val="004B18DF"/>
    <w:rsid w:val="004B4065"/>
    <w:rsid w:val="004B7326"/>
    <w:rsid w:val="004C0CA7"/>
    <w:rsid w:val="004D214B"/>
    <w:rsid w:val="004D5BF8"/>
    <w:rsid w:val="004E4532"/>
    <w:rsid w:val="004E6CF0"/>
    <w:rsid w:val="004F15E8"/>
    <w:rsid w:val="004F4047"/>
    <w:rsid w:val="00505755"/>
    <w:rsid w:val="00514F34"/>
    <w:rsid w:val="00521E5F"/>
    <w:rsid w:val="00527952"/>
    <w:rsid w:val="00535727"/>
    <w:rsid w:val="005470F1"/>
    <w:rsid w:val="0054742F"/>
    <w:rsid w:val="005476E0"/>
    <w:rsid w:val="00550EB9"/>
    <w:rsid w:val="00556139"/>
    <w:rsid w:val="00556EFE"/>
    <w:rsid w:val="00564430"/>
    <w:rsid w:val="005734E2"/>
    <w:rsid w:val="005830B4"/>
    <w:rsid w:val="005A4690"/>
    <w:rsid w:val="005A4D9B"/>
    <w:rsid w:val="005A5E18"/>
    <w:rsid w:val="005A6BFE"/>
    <w:rsid w:val="005B7B1E"/>
    <w:rsid w:val="005C0CCB"/>
    <w:rsid w:val="005C4796"/>
    <w:rsid w:val="005E2D04"/>
    <w:rsid w:val="005E396A"/>
    <w:rsid w:val="00602B15"/>
    <w:rsid w:val="00606586"/>
    <w:rsid w:val="0061180D"/>
    <w:rsid w:val="006303EF"/>
    <w:rsid w:val="006364C9"/>
    <w:rsid w:val="00641BB6"/>
    <w:rsid w:val="006445CA"/>
    <w:rsid w:val="0065047B"/>
    <w:rsid w:val="00653FB2"/>
    <w:rsid w:val="006563F3"/>
    <w:rsid w:val="006566D2"/>
    <w:rsid w:val="00672CD6"/>
    <w:rsid w:val="00675EDB"/>
    <w:rsid w:val="00675F5D"/>
    <w:rsid w:val="006852DE"/>
    <w:rsid w:val="006A3729"/>
    <w:rsid w:val="006A6203"/>
    <w:rsid w:val="006B0779"/>
    <w:rsid w:val="006C17BD"/>
    <w:rsid w:val="006C66A3"/>
    <w:rsid w:val="006D54AC"/>
    <w:rsid w:val="006E38D2"/>
    <w:rsid w:val="006E5179"/>
    <w:rsid w:val="006F48A9"/>
    <w:rsid w:val="006F7632"/>
    <w:rsid w:val="006F7F93"/>
    <w:rsid w:val="00700D89"/>
    <w:rsid w:val="0070115A"/>
    <w:rsid w:val="0070628C"/>
    <w:rsid w:val="00710985"/>
    <w:rsid w:val="0072413E"/>
    <w:rsid w:val="00746C5A"/>
    <w:rsid w:val="00747263"/>
    <w:rsid w:val="00767190"/>
    <w:rsid w:val="00770728"/>
    <w:rsid w:val="00787463"/>
    <w:rsid w:val="0079555C"/>
    <w:rsid w:val="007B3E62"/>
    <w:rsid w:val="007B3F96"/>
    <w:rsid w:val="007C2C64"/>
    <w:rsid w:val="007C57E0"/>
    <w:rsid w:val="007D1828"/>
    <w:rsid w:val="007D4ABC"/>
    <w:rsid w:val="0080145D"/>
    <w:rsid w:val="00802FEA"/>
    <w:rsid w:val="008041EB"/>
    <w:rsid w:val="00807293"/>
    <w:rsid w:val="00807B58"/>
    <w:rsid w:val="00812DFE"/>
    <w:rsid w:val="00814C44"/>
    <w:rsid w:val="00820D69"/>
    <w:rsid w:val="00825789"/>
    <w:rsid w:val="00834AA4"/>
    <w:rsid w:val="00856F86"/>
    <w:rsid w:val="00861925"/>
    <w:rsid w:val="00867C9C"/>
    <w:rsid w:val="00870EDF"/>
    <w:rsid w:val="00872816"/>
    <w:rsid w:val="008733AA"/>
    <w:rsid w:val="00877E3D"/>
    <w:rsid w:val="0088015E"/>
    <w:rsid w:val="00883630"/>
    <w:rsid w:val="00890D22"/>
    <w:rsid w:val="0089215E"/>
    <w:rsid w:val="00893DB7"/>
    <w:rsid w:val="00895FB3"/>
    <w:rsid w:val="008979A5"/>
    <w:rsid w:val="008B2B89"/>
    <w:rsid w:val="008B37FA"/>
    <w:rsid w:val="008B6005"/>
    <w:rsid w:val="008C0BDC"/>
    <w:rsid w:val="008D1952"/>
    <w:rsid w:val="008E37CE"/>
    <w:rsid w:val="008E7A87"/>
    <w:rsid w:val="008F2AD8"/>
    <w:rsid w:val="008F6B7F"/>
    <w:rsid w:val="00907F0F"/>
    <w:rsid w:val="00922DA1"/>
    <w:rsid w:val="009314F4"/>
    <w:rsid w:val="009361E0"/>
    <w:rsid w:val="00941BBE"/>
    <w:rsid w:val="00945311"/>
    <w:rsid w:val="00945F43"/>
    <w:rsid w:val="00950E89"/>
    <w:rsid w:val="00974A22"/>
    <w:rsid w:val="00975EE9"/>
    <w:rsid w:val="00980DA8"/>
    <w:rsid w:val="009828CA"/>
    <w:rsid w:val="009837C3"/>
    <w:rsid w:val="00985B97"/>
    <w:rsid w:val="009A056C"/>
    <w:rsid w:val="009A5C7D"/>
    <w:rsid w:val="009B69C0"/>
    <w:rsid w:val="009C3063"/>
    <w:rsid w:val="009C5512"/>
    <w:rsid w:val="009C7659"/>
    <w:rsid w:val="009D71C7"/>
    <w:rsid w:val="009F1024"/>
    <w:rsid w:val="009F6CB8"/>
    <w:rsid w:val="00A02F99"/>
    <w:rsid w:val="00A1355C"/>
    <w:rsid w:val="00A30774"/>
    <w:rsid w:val="00A616C6"/>
    <w:rsid w:val="00A64187"/>
    <w:rsid w:val="00A64CF5"/>
    <w:rsid w:val="00A86070"/>
    <w:rsid w:val="00A91938"/>
    <w:rsid w:val="00A93E8D"/>
    <w:rsid w:val="00AA0447"/>
    <w:rsid w:val="00AA723A"/>
    <w:rsid w:val="00AA7DC4"/>
    <w:rsid w:val="00AB2B58"/>
    <w:rsid w:val="00AB38F9"/>
    <w:rsid w:val="00AB3C01"/>
    <w:rsid w:val="00AB4BE8"/>
    <w:rsid w:val="00AC30D2"/>
    <w:rsid w:val="00AC3488"/>
    <w:rsid w:val="00AC66AB"/>
    <w:rsid w:val="00AD1E3C"/>
    <w:rsid w:val="00AD2A06"/>
    <w:rsid w:val="00AE2380"/>
    <w:rsid w:val="00AE2C6E"/>
    <w:rsid w:val="00AE2FBC"/>
    <w:rsid w:val="00AE35C2"/>
    <w:rsid w:val="00AE6595"/>
    <w:rsid w:val="00AF0D2E"/>
    <w:rsid w:val="00AF5C11"/>
    <w:rsid w:val="00AF758A"/>
    <w:rsid w:val="00B004AB"/>
    <w:rsid w:val="00B12C38"/>
    <w:rsid w:val="00B13530"/>
    <w:rsid w:val="00B1507F"/>
    <w:rsid w:val="00B225AB"/>
    <w:rsid w:val="00B2260B"/>
    <w:rsid w:val="00B2370D"/>
    <w:rsid w:val="00B26917"/>
    <w:rsid w:val="00B35B00"/>
    <w:rsid w:val="00B36C5C"/>
    <w:rsid w:val="00B43471"/>
    <w:rsid w:val="00B43D9B"/>
    <w:rsid w:val="00B51964"/>
    <w:rsid w:val="00B54571"/>
    <w:rsid w:val="00B679BC"/>
    <w:rsid w:val="00B72DB6"/>
    <w:rsid w:val="00B74BAD"/>
    <w:rsid w:val="00B851F2"/>
    <w:rsid w:val="00B876A0"/>
    <w:rsid w:val="00B87D95"/>
    <w:rsid w:val="00BA0E43"/>
    <w:rsid w:val="00BA52D9"/>
    <w:rsid w:val="00BB1EA3"/>
    <w:rsid w:val="00BB2AA3"/>
    <w:rsid w:val="00BB3F8F"/>
    <w:rsid w:val="00BB4188"/>
    <w:rsid w:val="00BC01C3"/>
    <w:rsid w:val="00BC7EEB"/>
    <w:rsid w:val="00BE47FD"/>
    <w:rsid w:val="00BF1D75"/>
    <w:rsid w:val="00BF723A"/>
    <w:rsid w:val="00C0434D"/>
    <w:rsid w:val="00C058B7"/>
    <w:rsid w:val="00C15A88"/>
    <w:rsid w:val="00C16D26"/>
    <w:rsid w:val="00C25661"/>
    <w:rsid w:val="00C40DF0"/>
    <w:rsid w:val="00C41C82"/>
    <w:rsid w:val="00C46743"/>
    <w:rsid w:val="00C46A6B"/>
    <w:rsid w:val="00C647F2"/>
    <w:rsid w:val="00C80B36"/>
    <w:rsid w:val="00C82560"/>
    <w:rsid w:val="00C8754F"/>
    <w:rsid w:val="00CB6703"/>
    <w:rsid w:val="00CC45A3"/>
    <w:rsid w:val="00CD42C8"/>
    <w:rsid w:val="00CD4B28"/>
    <w:rsid w:val="00CE1662"/>
    <w:rsid w:val="00CE3125"/>
    <w:rsid w:val="00CF030C"/>
    <w:rsid w:val="00CF08A7"/>
    <w:rsid w:val="00CF0C9A"/>
    <w:rsid w:val="00D00CBF"/>
    <w:rsid w:val="00D018E5"/>
    <w:rsid w:val="00D05E47"/>
    <w:rsid w:val="00D11055"/>
    <w:rsid w:val="00D14D2C"/>
    <w:rsid w:val="00D24944"/>
    <w:rsid w:val="00D32076"/>
    <w:rsid w:val="00D37E77"/>
    <w:rsid w:val="00D4250E"/>
    <w:rsid w:val="00D533C5"/>
    <w:rsid w:val="00D60E22"/>
    <w:rsid w:val="00D64BFA"/>
    <w:rsid w:val="00D66E93"/>
    <w:rsid w:val="00D71648"/>
    <w:rsid w:val="00D71C89"/>
    <w:rsid w:val="00D7494D"/>
    <w:rsid w:val="00D959F4"/>
    <w:rsid w:val="00D97673"/>
    <w:rsid w:val="00DB0098"/>
    <w:rsid w:val="00DB501C"/>
    <w:rsid w:val="00DB778C"/>
    <w:rsid w:val="00DC7D54"/>
    <w:rsid w:val="00DD0241"/>
    <w:rsid w:val="00DD6444"/>
    <w:rsid w:val="00DF3EA1"/>
    <w:rsid w:val="00E04215"/>
    <w:rsid w:val="00E0555C"/>
    <w:rsid w:val="00E0611C"/>
    <w:rsid w:val="00E079C1"/>
    <w:rsid w:val="00E07FAE"/>
    <w:rsid w:val="00E15FF1"/>
    <w:rsid w:val="00E218B2"/>
    <w:rsid w:val="00E26D64"/>
    <w:rsid w:val="00E42888"/>
    <w:rsid w:val="00E53E05"/>
    <w:rsid w:val="00E62946"/>
    <w:rsid w:val="00E65401"/>
    <w:rsid w:val="00E667AA"/>
    <w:rsid w:val="00E7280A"/>
    <w:rsid w:val="00E74098"/>
    <w:rsid w:val="00E74762"/>
    <w:rsid w:val="00E86EDB"/>
    <w:rsid w:val="00EA3F22"/>
    <w:rsid w:val="00EB4863"/>
    <w:rsid w:val="00EC261F"/>
    <w:rsid w:val="00EC7113"/>
    <w:rsid w:val="00EC72F6"/>
    <w:rsid w:val="00EC7D1E"/>
    <w:rsid w:val="00ED36FF"/>
    <w:rsid w:val="00ED49B5"/>
    <w:rsid w:val="00EE49A7"/>
    <w:rsid w:val="00EE55EB"/>
    <w:rsid w:val="00F00F4D"/>
    <w:rsid w:val="00F12DB4"/>
    <w:rsid w:val="00F13B79"/>
    <w:rsid w:val="00F145C8"/>
    <w:rsid w:val="00F1499C"/>
    <w:rsid w:val="00F27654"/>
    <w:rsid w:val="00F37ED4"/>
    <w:rsid w:val="00F41ECB"/>
    <w:rsid w:val="00F43E19"/>
    <w:rsid w:val="00F44A7D"/>
    <w:rsid w:val="00F46C70"/>
    <w:rsid w:val="00F50063"/>
    <w:rsid w:val="00F50D90"/>
    <w:rsid w:val="00F53D53"/>
    <w:rsid w:val="00F648F6"/>
    <w:rsid w:val="00F658EB"/>
    <w:rsid w:val="00F82BEA"/>
    <w:rsid w:val="00F84059"/>
    <w:rsid w:val="00F961A6"/>
    <w:rsid w:val="00F96520"/>
    <w:rsid w:val="00F978FD"/>
    <w:rsid w:val="00FB4780"/>
    <w:rsid w:val="00FB5052"/>
    <w:rsid w:val="00FB519D"/>
    <w:rsid w:val="00FC1F5F"/>
    <w:rsid w:val="00FC4FCE"/>
    <w:rsid w:val="00FE152D"/>
    <w:rsid w:val="00FE3BB2"/>
    <w:rsid w:val="00FF6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EAD8E"/>
  <w15:chartTrackingRefBased/>
  <w15:docId w15:val="{106FDA20-CA6C-574C-9C25-B91C2350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488"/>
  </w:style>
  <w:style w:type="paragraph" w:styleId="Heading1">
    <w:name w:val="heading 1"/>
    <w:basedOn w:val="Normal"/>
    <w:next w:val="Normal"/>
    <w:link w:val="Heading1Char"/>
    <w:uiPriority w:val="9"/>
    <w:qFormat/>
    <w:rsid w:val="00E05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05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05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5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5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555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555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555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555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05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05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55C"/>
    <w:rPr>
      <w:rFonts w:eastAsiaTheme="majorEastAsia" w:cstheme="majorBidi"/>
      <w:color w:val="272727" w:themeColor="text1" w:themeTint="D8"/>
    </w:rPr>
  </w:style>
  <w:style w:type="paragraph" w:styleId="Title">
    <w:name w:val="Title"/>
    <w:basedOn w:val="Normal"/>
    <w:next w:val="Normal"/>
    <w:link w:val="TitleChar"/>
    <w:uiPriority w:val="10"/>
    <w:qFormat/>
    <w:rsid w:val="00E0555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5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55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5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55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0555C"/>
    <w:rPr>
      <w:i/>
      <w:iCs/>
      <w:color w:val="404040" w:themeColor="text1" w:themeTint="BF"/>
    </w:rPr>
  </w:style>
  <w:style w:type="paragraph" w:styleId="ListParagraph">
    <w:name w:val="List Paragraph"/>
    <w:basedOn w:val="Normal"/>
    <w:uiPriority w:val="34"/>
    <w:qFormat/>
    <w:rsid w:val="00E0555C"/>
    <w:pPr>
      <w:ind w:left="720"/>
      <w:contextualSpacing/>
    </w:pPr>
  </w:style>
  <w:style w:type="character" w:styleId="IntenseEmphasis">
    <w:name w:val="Intense Emphasis"/>
    <w:basedOn w:val="DefaultParagraphFont"/>
    <w:uiPriority w:val="21"/>
    <w:qFormat/>
    <w:rsid w:val="00E0555C"/>
    <w:rPr>
      <w:i/>
      <w:iCs/>
      <w:color w:val="0F4761" w:themeColor="accent1" w:themeShade="BF"/>
    </w:rPr>
  </w:style>
  <w:style w:type="paragraph" w:styleId="IntenseQuote">
    <w:name w:val="Intense Quote"/>
    <w:basedOn w:val="Normal"/>
    <w:next w:val="Normal"/>
    <w:link w:val="IntenseQuoteChar"/>
    <w:uiPriority w:val="30"/>
    <w:qFormat/>
    <w:rsid w:val="00E05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555C"/>
    <w:rPr>
      <w:i/>
      <w:iCs/>
      <w:color w:val="0F4761" w:themeColor="accent1" w:themeShade="BF"/>
    </w:rPr>
  </w:style>
  <w:style w:type="character" w:styleId="IntenseReference">
    <w:name w:val="Intense Reference"/>
    <w:basedOn w:val="DefaultParagraphFont"/>
    <w:uiPriority w:val="32"/>
    <w:qFormat/>
    <w:rsid w:val="00E0555C"/>
    <w:rPr>
      <w:b/>
      <w:bCs/>
      <w:smallCaps/>
      <w:color w:val="0F4761" w:themeColor="accent1" w:themeShade="BF"/>
      <w:spacing w:val="5"/>
    </w:rPr>
  </w:style>
  <w:style w:type="paragraph" w:styleId="Header">
    <w:name w:val="header"/>
    <w:basedOn w:val="Normal"/>
    <w:link w:val="HeaderChar"/>
    <w:uiPriority w:val="99"/>
    <w:unhideWhenUsed/>
    <w:rsid w:val="00E0555C"/>
    <w:pPr>
      <w:tabs>
        <w:tab w:val="center" w:pos="4513"/>
        <w:tab w:val="right" w:pos="9026"/>
      </w:tabs>
    </w:pPr>
  </w:style>
  <w:style w:type="character" w:customStyle="1" w:styleId="HeaderChar">
    <w:name w:val="Header Char"/>
    <w:basedOn w:val="DefaultParagraphFont"/>
    <w:link w:val="Header"/>
    <w:uiPriority w:val="99"/>
    <w:rsid w:val="00E0555C"/>
  </w:style>
  <w:style w:type="paragraph" w:styleId="Footer">
    <w:name w:val="footer"/>
    <w:basedOn w:val="Normal"/>
    <w:link w:val="FooterChar"/>
    <w:uiPriority w:val="99"/>
    <w:unhideWhenUsed/>
    <w:rsid w:val="00E0555C"/>
    <w:pPr>
      <w:tabs>
        <w:tab w:val="center" w:pos="4513"/>
        <w:tab w:val="right" w:pos="9026"/>
      </w:tabs>
    </w:pPr>
  </w:style>
  <w:style w:type="character" w:customStyle="1" w:styleId="FooterChar">
    <w:name w:val="Footer Char"/>
    <w:basedOn w:val="DefaultParagraphFont"/>
    <w:link w:val="Footer"/>
    <w:uiPriority w:val="99"/>
    <w:rsid w:val="00E0555C"/>
  </w:style>
  <w:style w:type="paragraph" w:styleId="NormalWeb">
    <w:name w:val="Normal (Web)"/>
    <w:basedOn w:val="Normal"/>
    <w:uiPriority w:val="99"/>
    <w:semiHidden/>
    <w:unhideWhenUsed/>
    <w:rsid w:val="006A620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6A6203"/>
  </w:style>
  <w:style w:type="character" w:styleId="Hyperlink">
    <w:name w:val="Hyperlink"/>
    <w:basedOn w:val="DefaultParagraphFont"/>
    <w:uiPriority w:val="99"/>
    <w:unhideWhenUsed/>
    <w:rsid w:val="00F84059"/>
    <w:rPr>
      <w:color w:val="467886" w:themeColor="hyperlink"/>
      <w:u w:val="single"/>
    </w:rPr>
  </w:style>
  <w:style w:type="character" w:styleId="UnresolvedMention">
    <w:name w:val="Unresolved Mention"/>
    <w:basedOn w:val="DefaultParagraphFont"/>
    <w:uiPriority w:val="99"/>
    <w:semiHidden/>
    <w:unhideWhenUsed/>
    <w:rsid w:val="00F84059"/>
    <w:rPr>
      <w:color w:val="605E5C"/>
      <w:shd w:val="clear" w:color="auto" w:fill="E1DFDD"/>
    </w:rPr>
  </w:style>
  <w:style w:type="character" w:styleId="Strong">
    <w:name w:val="Strong"/>
    <w:basedOn w:val="DefaultParagraphFont"/>
    <w:uiPriority w:val="22"/>
    <w:qFormat/>
    <w:rsid w:val="00527952"/>
    <w:rPr>
      <w:b/>
      <w:bCs/>
    </w:rPr>
  </w:style>
  <w:style w:type="character" w:styleId="Emphasis">
    <w:name w:val="Emphasis"/>
    <w:basedOn w:val="DefaultParagraphFont"/>
    <w:uiPriority w:val="20"/>
    <w:qFormat/>
    <w:rsid w:val="0030559F"/>
    <w:rPr>
      <w:i/>
      <w:iCs/>
    </w:rPr>
  </w:style>
  <w:style w:type="numbering" w:customStyle="1" w:styleId="CurrentList1">
    <w:name w:val="Current List1"/>
    <w:uiPriority w:val="99"/>
    <w:rsid w:val="0072413E"/>
    <w:pPr>
      <w:numPr>
        <w:numId w:val="19"/>
      </w:numPr>
    </w:pPr>
  </w:style>
  <w:style w:type="numbering" w:customStyle="1" w:styleId="CurrentList2">
    <w:name w:val="Current List2"/>
    <w:uiPriority w:val="99"/>
    <w:rsid w:val="0072413E"/>
    <w:pPr>
      <w:numPr>
        <w:numId w:val="20"/>
      </w:numPr>
    </w:pPr>
  </w:style>
  <w:style w:type="numbering" w:customStyle="1" w:styleId="CurrentList3">
    <w:name w:val="Current List3"/>
    <w:uiPriority w:val="99"/>
    <w:rsid w:val="0072413E"/>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diciary.uk/wp-content/uploads/2014/05/r-v-crawley-others-21052014.pdf" TargetMode="External"/><Relationship Id="rId13" Type="http://schemas.openxmlformats.org/officeDocument/2006/relationships/hyperlink" Target="https://www.legislation.gov.uk/uksi/1981/552/contents" TargetMode="External"/><Relationship Id="rId18" Type="http://schemas.openxmlformats.org/officeDocument/2006/relationships/hyperlink" Target="https://sentencingcouncil.org.uk/pronouncement-builder/conditional-bai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ps.gov.uk/prosecution-guidance/bail" TargetMode="External"/><Relationship Id="rId12" Type="http://schemas.openxmlformats.org/officeDocument/2006/relationships/hyperlink" Target="https://www.legislation.gov.uk/ukpga/1976/63/section/4" TargetMode="External"/><Relationship Id="rId17" Type="http://schemas.openxmlformats.org/officeDocument/2006/relationships/hyperlink" Target="https://www.pso.gov.sb/index.php/resources/criminal-law/evidence-law-and-advocacy/151-evidence-law-and-advocacy-chapter-2-final-feb-2012/file.html" TargetMode="External"/><Relationship Id="rId2" Type="http://schemas.openxmlformats.org/officeDocument/2006/relationships/styles" Target="styles.xml"/><Relationship Id="rId16" Type="http://schemas.openxmlformats.org/officeDocument/2006/relationships/hyperlink" Target="https://publications.parliament.uk/pa/ld200708/ldjudgmt/jd081126/metro-1.htm"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1976/63/schedule/1" TargetMode="External"/><Relationship Id="rId5" Type="http://schemas.openxmlformats.org/officeDocument/2006/relationships/footnotes" Target="footnotes.xml"/><Relationship Id="rId15" Type="http://schemas.openxmlformats.org/officeDocument/2006/relationships/hyperlink" Target="https://www.lccsa.org.uk/r-v-nottingham-justices-ex-parte-davies-1980/" TargetMode="External"/><Relationship Id="rId10" Type="http://schemas.openxmlformats.org/officeDocument/2006/relationships/hyperlink" Target="https://www.slaterheelis.co.uk/articles/crime-category/the-difference-between-abh-and-gbh/" TargetMode="External"/><Relationship Id="rId19" Type="http://schemas.openxmlformats.org/officeDocument/2006/relationships/hyperlink" Target="https://sentencingcouncil.org.uk/media/erxj4kkw/web_fail_to_surrender_to_bail.pdf" TargetMode="External"/><Relationship Id="rId4" Type="http://schemas.openxmlformats.org/officeDocument/2006/relationships/webSettings" Target="webSettings.xml"/><Relationship Id="rId9" Type="http://schemas.openxmlformats.org/officeDocument/2006/relationships/hyperlink" Target="https://commonslibrary.parliament.uk/policing-and-protests/" TargetMode="External"/><Relationship Id="rId14" Type="http://schemas.openxmlformats.org/officeDocument/2006/relationships/hyperlink" Target="https://www.legislation.gov.uk/uksi/2025/909/rule/14.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341</TotalTime>
  <Pages>10</Pages>
  <Words>2515</Words>
  <Characters>14337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demeterova</dc:creator>
  <cp:keywords/>
  <dc:description/>
  <cp:lastModifiedBy>diana demeterova</cp:lastModifiedBy>
  <cp:revision>443</cp:revision>
  <dcterms:created xsi:type="dcterms:W3CDTF">2025-12-11T12:56:00Z</dcterms:created>
  <dcterms:modified xsi:type="dcterms:W3CDTF">2025-12-25T20:30:00Z</dcterms:modified>
</cp:coreProperties>
</file>