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105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57"/>
      </w:tblGrid>
      <w:tr w:rsidR="00F927A1" w:rsidRPr="005D3F07" w14:paraId="68CAA39D" w14:textId="77777777" w:rsidTr="00985A2E">
        <w:tc>
          <w:tcPr>
            <w:tcW w:w="11057" w:type="dxa"/>
            <w:shd w:val="clear" w:color="auto" w:fill="auto"/>
          </w:tcPr>
          <w:p w14:paraId="02F8EE88" w14:textId="69C48496"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C85F1E">
              <w:rPr>
                <w:rFonts w:ascii="Times New Roman" w:hAnsi="Times New Roman" w:cs="Times New Roman"/>
                <w:b/>
                <w:color w:val="auto"/>
                <w:sz w:val="48"/>
              </w:rPr>
              <w:t xml:space="preserve">Llinos </w:t>
            </w:r>
            <w:proofErr w:type="spellStart"/>
            <w:r w:rsidR="00C85F1E">
              <w:rPr>
                <w:rFonts w:ascii="Times New Roman" w:hAnsi="Times New Roman" w:cs="Times New Roman"/>
                <w:b/>
                <w:color w:val="auto"/>
                <w:sz w:val="48"/>
              </w:rPr>
              <w:t>Tegwen</w:t>
            </w:r>
            <w:proofErr w:type="spellEnd"/>
            <w:r w:rsidR="00C85F1E">
              <w:rPr>
                <w:rFonts w:ascii="Times New Roman" w:hAnsi="Times New Roman" w:cs="Times New Roman"/>
                <w:b/>
                <w:color w:val="auto"/>
                <w:sz w:val="48"/>
              </w:rPr>
              <w:t xml:space="preserve"> Jones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50C8BB8"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C85F1E">
              <w:rPr>
                <w:rFonts w:ascii="Times New Roman" w:hAnsi="Times New Roman" w:cs="Times New Roman"/>
                <w:b/>
                <w:color w:val="auto"/>
                <w:sz w:val="48"/>
              </w:rPr>
              <w:t xml:space="preserve"> llinos.jos@gmail.com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EEF6233"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985A2E">
              <w:rPr>
                <w:rFonts w:ascii="Times New Roman" w:hAnsi="Times New Roman" w:cs="Times New Roman"/>
                <w:b/>
                <w:color w:val="auto"/>
                <w:sz w:val="48"/>
              </w:rPr>
              <w:t xml:space="preserve"> </w:t>
            </w:r>
            <w:r w:rsidR="00985A2E" w:rsidRPr="00985A2E">
              <w:rPr>
                <w:rFonts w:ascii="Times New Roman" w:hAnsi="Times New Roman" w:cs="Times New Roman"/>
                <w:b/>
                <w:color w:val="auto"/>
                <w:sz w:val="48"/>
              </w:rPr>
              <w:t>2329427</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27048BA3" w14:textId="77777777" w:rsidR="00985A2E" w:rsidRDefault="00985A2E" w:rsidP="00FF7EBB">
            <w:pPr>
              <w:jc w:val="both"/>
              <w:rPr>
                <w:sz w:val="24"/>
                <w:szCs w:val="24"/>
              </w:rPr>
            </w:pPr>
          </w:p>
          <w:p w14:paraId="74EAC04E" w14:textId="77777777" w:rsidR="002D5984" w:rsidRDefault="002D5984" w:rsidP="002D5984">
            <w:pPr>
              <w:jc w:val="both"/>
              <w:rPr>
                <w:sz w:val="24"/>
                <w:szCs w:val="24"/>
              </w:rPr>
            </w:pPr>
            <w:r w:rsidRPr="002D5984">
              <w:rPr>
                <w:sz w:val="24"/>
                <w:szCs w:val="24"/>
              </w:rPr>
              <w:t xml:space="preserve">The Social Service and Wellbeing Act Wales (2014) offers the legal foundation for enhancing the welfare of those in need of assistance and care. Part 7 of the Act, which consists of 11 parts, focuses primarily for safeguarding. The Welsh Government has released statutory safeguarding guidance, Working Together to Safeguard People, in conjunction with the Act (The Welsh Government, 2019). </w:t>
            </w:r>
          </w:p>
          <w:p w14:paraId="27F5BC52" w14:textId="77777777" w:rsidR="00824188" w:rsidRPr="002D5984" w:rsidRDefault="00824188" w:rsidP="002D5984">
            <w:pPr>
              <w:jc w:val="both"/>
              <w:rPr>
                <w:sz w:val="24"/>
                <w:szCs w:val="24"/>
              </w:rPr>
            </w:pPr>
          </w:p>
          <w:p w14:paraId="6CE0611A" w14:textId="77777777" w:rsidR="002D5984" w:rsidRDefault="002D5984" w:rsidP="002D5984">
            <w:pPr>
              <w:jc w:val="both"/>
              <w:rPr>
                <w:sz w:val="24"/>
                <w:szCs w:val="24"/>
              </w:rPr>
            </w:pPr>
            <w:r w:rsidRPr="002D5984">
              <w:rPr>
                <w:sz w:val="24"/>
                <w:szCs w:val="24"/>
              </w:rPr>
              <w:t xml:space="preserve">The SSWBA (2014) describes an adult at risk as ‘someone who is 18 or over, is experiencing or is at risk of abuse or neglect’ and if someone has care needs and is unable to protect themselves from abuse or neglect and are at risk of it. The SSWBA (2014) places a duty on all professionals to inform the local authority if they believe an adult is at risk. </w:t>
            </w:r>
          </w:p>
          <w:p w14:paraId="342B48A4" w14:textId="77777777" w:rsidR="00824188" w:rsidRPr="002D5984" w:rsidRDefault="00824188" w:rsidP="002D5984">
            <w:pPr>
              <w:jc w:val="both"/>
              <w:rPr>
                <w:sz w:val="24"/>
                <w:szCs w:val="24"/>
              </w:rPr>
            </w:pPr>
          </w:p>
          <w:p w14:paraId="76FA0A85" w14:textId="77777777" w:rsidR="002D5984" w:rsidRDefault="002D5984" w:rsidP="002D5984">
            <w:pPr>
              <w:jc w:val="both"/>
              <w:rPr>
                <w:sz w:val="24"/>
                <w:szCs w:val="24"/>
              </w:rPr>
            </w:pPr>
            <w:r w:rsidRPr="002D5984">
              <w:rPr>
                <w:sz w:val="24"/>
                <w:szCs w:val="24"/>
              </w:rPr>
              <w:t xml:space="preserve">The Wales Safeguarding Procedures are relevant to both adults and children who are at risk of neglect and abuse. They outline the crucial roles and duties that practitioners must fulfil to protect individuals who are vulnerable to abuse and neglect. </w:t>
            </w:r>
          </w:p>
          <w:p w14:paraId="2BF0C575" w14:textId="77777777" w:rsidR="00824188" w:rsidRPr="002D5984" w:rsidRDefault="00824188" w:rsidP="002D5984">
            <w:pPr>
              <w:jc w:val="both"/>
              <w:rPr>
                <w:sz w:val="24"/>
                <w:szCs w:val="24"/>
              </w:rPr>
            </w:pPr>
          </w:p>
          <w:p w14:paraId="717275B1" w14:textId="77777777" w:rsidR="002D5984" w:rsidRDefault="002D5984" w:rsidP="002D5984">
            <w:pPr>
              <w:jc w:val="both"/>
              <w:rPr>
                <w:sz w:val="24"/>
                <w:szCs w:val="24"/>
              </w:rPr>
            </w:pPr>
            <w:r w:rsidRPr="002D5984">
              <w:rPr>
                <w:sz w:val="24"/>
                <w:szCs w:val="24"/>
              </w:rPr>
              <w:t>The Wales Safeguarding procedures assist practitioners in implementing the SSWBA and the statutory safeguarding guidance ‘Working Together to Safeguard People’. The need to protect adults at risk of abuse and neglect, is reflected in the SSWBA alongside the safeguarding guidance Working Together to Safeguard People. The procedures are founded on the same principles that underpin the SSWBA, whether they are protecting children from abuse, neglect, and harm or protecting adults who are at risk of abuse and neglect.</w:t>
            </w:r>
          </w:p>
          <w:p w14:paraId="0DE8C104" w14:textId="77777777" w:rsidR="00824188" w:rsidRPr="002D5984" w:rsidRDefault="00824188" w:rsidP="002D5984">
            <w:pPr>
              <w:jc w:val="both"/>
              <w:rPr>
                <w:sz w:val="24"/>
                <w:szCs w:val="24"/>
              </w:rPr>
            </w:pPr>
          </w:p>
          <w:p w14:paraId="4F19FE5C" w14:textId="77777777" w:rsidR="002D5984" w:rsidRDefault="002D5984" w:rsidP="002D5984">
            <w:pPr>
              <w:jc w:val="both"/>
              <w:rPr>
                <w:sz w:val="24"/>
                <w:szCs w:val="24"/>
              </w:rPr>
            </w:pPr>
            <w:r w:rsidRPr="002D5984">
              <w:rPr>
                <w:sz w:val="24"/>
                <w:szCs w:val="24"/>
              </w:rPr>
              <w:t>The main goal of the Working together to safeguard people procedures are to improve person-centred outcomes for adults at risk of abuse and neglect. There are other laws and guidelines acknowledged in the procedures The Domestic Violence (Women's Violence), Domestic Abuse, and Sexual Violence (Wales) Act of 2015 are some examples.</w:t>
            </w:r>
          </w:p>
          <w:p w14:paraId="31464282" w14:textId="77777777" w:rsidR="00824188" w:rsidRPr="002D5984" w:rsidRDefault="00824188" w:rsidP="002D5984">
            <w:pPr>
              <w:jc w:val="both"/>
              <w:rPr>
                <w:sz w:val="24"/>
                <w:szCs w:val="24"/>
              </w:rPr>
            </w:pPr>
          </w:p>
          <w:p w14:paraId="33400164" w14:textId="77777777" w:rsidR="002D5984" w:rsidRPr="002D5984" w:rsidRDefault="002D5984" w:rsidP="002D5984">
            <w:pPr>
              <w:jc w:val="both"/>
              <w:rPr>
                <w:sz w:val="24"/>
                <w:szCs w:val="24"/>
              </w:rPr>
            </w:pPr>
            <w:r w:rsidRPr="002D5984">
              <w:rPr>
                <w:sz w:val="24"/>
                <w:szCs w:val="24"/>
              </w:rPr>
              <w:lastRenderedPageBreak/>
              <w:t xml:space="preserve">The Mental Capacity Act (2005) primary purpose is to promote, protect, and safeguard vulnerable people who may lack capacity to make certain decisions due to poor mental health. </w:t>
            </w:r>
          </w:p>
          <w:p w14:paraId="3982175F" w14:textId="77777777" w:rsidR="002D5984" w:rsidRDefault="002D5984" w:rsidP="002D5984">
            <w:pPr>
              <w:jc w:val="both"/>
              <w:rPr>
                <w:sz w:val="24"/>
                <w:szCs w:val="24"/>
              </w:rPr>
            </w:pPr>
            <w:r w:rsidRPr="002D5984">
              <w:rPr>
                <w:sz w:val="24"/>
                <w:szCs w:val="24"/>
              </w:rPr>
              <w:t xml:space="preserve">Other legislations that’s primary focus is to safeguard adults include The European Convention of Human Rights, particularly Articles 2,3,5,6 and 8. These are obligations that the governments </w:t>
            </w:r>
            <w:proofErr w:type="gramStart"/>
            <w:r w:rsidRPr="002D5984">
              <w:rPr>
                <w:sz w:val="24"/>
                <w:szCs w:val="24"/>
              </w:rPr>
              <w:t>have to</w:t>
            </w:r>
            <w:proofErr w:type="gramEnd"/>
            <w:r w:rsidRPr="002D5984">
              <w:rPr>
                <w:sz w:val="24"/>
                <w:szCs w:val="24"/>
              </w:rPr>
              <w:t xml:space="preserve"> protect people’s human rights and basic freedom (J. Dawson, 2024).</w:t>
            </w:r>
          </w:p>
          <w:p w14:paraId="484EC56D" w14:textId="77777777" w:rsidR="00824188" w:rsidRPr="002D5984" w:rsidRDefault="00824188" w:rsidP="002D5984">
            <w:pPr>
              <w:jc w:val="both"/>
              <w:rPr>
                <w:sz w:val="24"/>
                <w:szCs w:val="24"/>
              </w:rPr>
            </w:pPr>
          </w:p>
          <w:p w14:paraId="4EC75A46" w14:textId="77777777" w:rsidR="002D5984" w:rsidRDefault="002D5984" w:rsidP="002D5984">
            <w:pPr>
              <w:jc w:val="both"/>
              <w:rPr>
                <w:sz w:val="24"/>
                <w:szCs w:val="24"/>
              </w:rPr>
            </w:pPr>
            <w:r w:rsidRPr="002D5984">
              <w:rPr>
                <w:sz w:val="24"/>
                <w:szCs w:val="24"/>
              </w:rPr>
              <w:t xml:space="preserve">The Human Rights Act has 13 articles that outline people’s basic rights in law. However, there are 4 specific articles that are particular to safeguard vulnerable adults, article 2 protects the right to life. Article 3 is the freedom from inhumane treatment, article 5 is the right to liberty and security an article 8 is about the right to a private life. </w:t>
            </w:r>
          </w:p>
          <w:p w14:paraId="64FF8D22" w14:textId="77777777" w:rsidR="00824188" w:rsidRPr="002D5984" w:rsidRDefault="00824188" w:rsidP="002D5984">
            <w:pPr>
              <w:jc w:val="both"/>
              <w:rPr>
                <w:sz w:val="24"/>
                <w:szCs w:val="24"/>
              </w:rPr>
            </w:pPr>
          </w:p>
          <w:p w14:paraId="50DF0333" w14:textId="77777777" w:rsidR="002D5984" w:rsidRDefault="002D5984" w:rsidP="002D5984">
            <w:pPr>
              <w:jc w:val="both"/>
              <w:rPr>
                <w:sz w:val="24"/>
                <w:szCs w:val="24"/>
              </w:rPr>
            </w:pPr>
            <w:r w:rsidRPr="002D5984">
              <w:rPr>
                <w:sz w:val="24"/>
                <w:szCs w:val="24"/>
              </w:rPr>
              <w:t xml:space="preserve">The United Nations Principles of Older Persons includes 18 principles that can be grouped into 5 themes, these all help protect older persons: independence, dignity, participation, self-fulfilment and care. </w:t>
            </w:r>
          </w:p>
          <w:p w14:paraId="39ED5DF3" w14:textId="77777777" w:rsidR="00824188" w:rsidRPr="002D5984" w:rsidRDefault="00824188" w:rsidP="002D5984">
            <w:pPr>
              <w:jc w:val="both"/>
              <w:rPr>
                <w:sz w:val="24"/>
                <w:szCs w:val="24"/>
              </w:rPr>
            </w:pPr>
          </w:p>
          <w:p w14:paraId="322E7A71" w14:textId="168A9837" w:rsidR="00985A2E" w:rsidRDefault="002D5984" w:rsidP="002D5984">
            <w:pPr>
              <w:jc w:val="both"/>
              <w:rPr>
                <w:sz w:val="24"/>
                <w:szCs w:val="24"/>
              </w:rPr>
            </w:pPr>
            <w:r w:rsidRPr="002D5984">
              <w:rPr>
                <w:sz w:val="24"/>
                <w:szCs w:val="24"/>
              </w:rPr>
              <w:t>Welsh Language Standards and the “More than Just Words” Framework is important as part of the assessment process, giving people the opportunity to speak in their chosen language, it’s important that this is embedded in practice by all professionals, (Welsh Government, 2022).</w:t>
            </w:r>
          </w:p>
          <w:p w14:paraId="67AD7DD7" w14:textId="77777777" w:rsidR="00824188" w:rsidRDefault="00824188" w:rsidP="002D5984">
            <w:pPr>
              <w:jc w:val="both"/>
              <w:rPr>
                <w:sz w:val="24"/>
                <w:szCs w:val="24"/>
              </w:rPr>
            </w:pPr>
          </w:p>
          <w:p w14:paraId="6F229335" w14:textId="42BC068E" w:rsidR="00824188" w:rsidRDefault="00824188" w:rsidP="002D5984">
            <w:pPr>
              <w:jc w:val="both"/>
              <w:rPr>
                <w:sz w:val="24"/>
                <w:szCs w:val="24"/>
              </w:rPr>
            </w:pPr>
            <w:r>
              <w:rPr>
                <w:sz w:val="24"/>
                <w:szCs w:val="24"/>
              </w:rPr>
              <w:t>(Word count: 498)</w:t>
            </w:r>
          </w:p>
          <w:p w14:paraId="19B9D71C" w14:textId="77777777" w:rsidR="00985A2E" w:rsidRDefault="00985A2E" w:rsidP="00FF7EBB">
            <w:pPr>
              <w:jc w:val="both"/>
              <w:rPr>
                <w:sz w:val="24"/>
                <w:szCs w:val="24"/>
              </w:rPr>
            </w:pP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3E478028" w14:textId="77777777" w:rsidR="00985A2E" w:rsidRDefault="00985A2E" w:rsidP="00FC0334">
            <w:pPr>
              <w:jc w:val="both"/>
              <w:rPr>
                <w:i/>
                <w:sz w:val="24"/>
                <w:szCs w:val="24"/>
              </w:rPr>
            </w:pPr>
          </w:p>
          <w:p w14:paraId="6BA3DD84" w14:textId="6C6A1F81"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3C18DD79" w14:textId="77777777" w:rsidR="00824188" w:rsidRDefault="00824188" w:rsidP="00FC0334">
            <w:pPr>
              <w:jc w:val="both"/>
              <w:rPr>
                <w:i/>
                <w:sz w:val="24"/>
                <w:szCs w:val="24"/>
              </w:rPr>
            </w:pPr>
          </w:p>
          <w:p w14:paraId="569ACC8C" w14:textId="4EDB028B" w:rsidR="006F41C0" w:rsidRDefault="006F41C0" w:rsidP="006F41C0">
            <w:pPr>
              <w:jc w:val="both"/>
              <w:rPr>
                <w:iCs/>
                <w:sz w:val="24"/>
                <w:szCs w:val="24"/>
              </w:rPr>
            </w:pPr>
            <w:r w:rsidRPr="006F41C0">
              <w:rPr>
                <w:iCs/>
                <w:sz w:val="24"/>
                <w:szCs w:val="24"/>
              </w:rPr>
              <w:t xml:space="preserve">The legislative framework for adults and children in Wales is set by the Social Service and Well-being (Wales) Act 2014. The Working Together to Safeguard People procedures are founded on the same principles that underpin the SSWBA (2014), whether they are protecting children from abuse, neglect, and harm or protecting adults who are at risk of abuse and neglect. </w:t>
            </w:r>
          </w:p>
          <w:p w14:paraId="0D2B6D58" w14:textId="77777777" w:rsidR="0007170C" w:rsidRPr="006F41C0" w:rsidRDefault="0007170C" w:rsidP="006F41C0">
            <w:pPr>
              <w:jc w:val="both"/>
              <w:rPr>
                <w:iCs/>
                <w:sz w:val="24"/>
                <w:szCs w:val="24"/>
              </w:rPr>
            </w:pPr>
          </w:p>
          <w:p w14:paraId="0BA604EF" w14:textId="77777777" w:rsidR="006F41C0" w:rsidRDefault="006F41C0" w:rsidP="006F41C0">
            <w:pPr>
              <w:jc w:val="both"/>
              <w:rPr>
                <w:iCs/>
                <w:sz w:val="24"/>
                <w:szCs w:val="24"/>
              </w:rPr>
            </w:pPr>
            <w:r w:rsidRPr="006F41C0">
              <w:rPr>
                <w:iCs/>
                <w:sz w:val="24"/>
                <w:szCs w:val="24"/>
              </w:rPr>
              <w:t xml:space="preserve">The concept of safeguarding involves preventing people and children from being abused or neglected, and educating the people around them how to recognise the signs (Social Care Wales, 2022). </w:t>
            </w:r>
          </w:p>
          <w:p w14:paraId="33C8BAC2" w14:textId="77777777" w:rsidR="0007170C" w:rsidRPr="006F41C0" w:rsidRDefault="0007170C" w:rsidP="006F41C0">
            <w:pPr>
              <w:jc w:val="both"/>
              <w:rPr>
                <w:iCs/>
                <w:sz w:val="24"/>
                <w:szCs w:val="24"/>
              </w:rPr>
            </w:pPr>
          </w:p>
          <w:p w14:paraId="7B17F1C7" w14:textId="77777777" w:rsidR="006F41C0" w:rsidRDefault="006F41C0" w:rsidP="006F41C0">
            <w:pPr>
              <w:jc w:val="both"/>
              <w:rPr>
                <w:iCs/>
                <w:sz w:val="24"/>
                <w:szCs w:val="24"/>
              </w:rPr>
            </w:pPr>
            <w:r w:rsidRPr="006F41C0">
              <w:rPr>
                <w:iCs/>
                <w:sz w:val="24"/>
                <w:szCs w:val="24"/>
              </w:rPr>
              <w:t>Children and adults can experience abuse and harm, however the main difference in safeguarding Children and Adults are the right to make choices. Children are considered highly vulnerable, as they depend on adults to meet their basic needs and safeguard them, this is the case for some elderly people too, however many elderly can make their own decision about their life, children rely on adults (</w:t>
            </w:r>
            <w:proofErr w:type="spellStart"/>
            <w:r w:rsidRPr="006F41C0">
              <w:rPr>
                <w:iCs/>
                <w:sz w:val="24"/>
                <w:szCs w:val="24"/>
              </w:rPr>
              <w:t>Bagattini</w:t>
            </w:r>
            <w:proofErr w:type="spellEnd"/>
            <w:r w:rsidRPr="006F41C0">
              <w:rPr>
                <w:iCs/>
                <w:sz w:val="24"/>
                <w:szCs w:val="24"/>
              </w:rPr>
              <w:t xml:space="preserve">, 2019). This means that adults can give </w:t>
            </w:r>
            <w:r w:rsidRPr="006F41C0">
              <w:rPr>
                <w:iCs/>
                <w:sz w:val="24"/>
                <w:szCs w:val="24"/>
              </w:rPr>
              <w:lastRenderedPageBreak/>
              <w:t xml:space="preserve">consent, and children rely on adults to give consent on their behalf. Despite this, the same safeguarding principles should apply to both. </w:t>
            </w:r>
          </w:p>
          <w:p w14:paraId="02A9AB88" w14:textId="77777777" w:rsidR="0007170C" w:rsidRPr="006F41C0" w:rsidRDefault="0007170C" w:rsidP="006F41C0">
            <w:pPr>
              <w:jc w:val="both"/>
              <w:rPr>
                <w:iCs/>
                <w:sz w:val="24"/>
                <w:szCs w:val="24"/>
              </w:rPr>
            </w:pPr>
          </w:p>
          <w:p w14:paraId="60A35EE5" w14:textId="77777777" w:rsidR="006F41C0" w:rsidRDefault="006F41C0" w:rsidP="006F41C0">
            <w:pPr>
              <w:jc w:val="both"/>
              <w:rPr>
                <w:iCs/>
                <w:sz w:val="24"/>
                <w:szCs w:val="24"/>
              </w:rPr>
            </w:pPr>
            <w:r w:rsidRPr="006F41C0">
              <w:rPr>
                <w:iCs/>
                <w:sz w:val="24"/>
                <w:szCs w:val="24"/>
              </w:rPr>
              <w:t xml:space="preserve">All adults are assumed to have capacity to make decisions on their life under the Mental Capacity Act (2005). Young persons over the age of 16 are included under the Mental Capacity Act (2005) too. However, children are presumed as lacking capacity and require a person with parental responsibility to make decisions on their behalf (The Children Act 1989). </w:t>
            </w:r>
            <w:proofErr w:type="gramStart"/>
            <w:r w:rsidRPr="006F41C0">
              <w:rPr>
                <w:iCs/>
                <w:sz w:val="24"/>
                <w:szCs w:val="24"/>
              </w:rPr>
              <w:t>This being said, a</w:t>
            </w:r>
            <w:proofErr w:type="gramEnd"/>
            <w:r w:rsidRPr="006F41C0">
              <w:rPr>
                <w:iCs/>
                <w:sz w:val="24"/>
                <w:szCs w:val="24"/>
              </w:rPr>
              <w:t xml:space="preserve"> young person can make a decision on their behalf if they are Gillick Competence. This was a legal case in the 1980’s that looked at whether Doctors could give contraception or advice to 16-year-old girls without parental consent (NSPCC, 2024). </w:t>
            </w:r>
          </w:p>
          <w:p w14:paraId="0F55248B" w14:textId="77777777" w:rsidR="0007170C" w:rsidRPr="006F41C0" w:rsidRDefault="0007170C" w:rsidP="006F41C0">
            <w:pPr>
              <w:jc w:val="both"/>
              <w:rPr>
                <w:iCs/>
                <w:sz w:val="24"/>
                <w:szCs w:val="24"/>
              </w:rPr>
            </w:pPr>
          </w:p>
          <w:p w14:paraId="767C5DEA" w14:textId="77777777" w:rsidR="006F41C0" w:rsidRDefault="006F41C0" w:rsidP="006F41C0">
            <w:pPr>
              <w:jc w:val="both"/>
              <w:rPr>
                <w:iCs/>
                <w:sz w:val="24"/>
                <w:szCs w:val="24"/>
              </w:rPr>
            </w:pPr>
            <w:r w:rsidRPr="006F41C0">
              <w:rPr>
                <w:iCs/>
                <w:sz w:val="24"/>
                <w:szCs w:val="24"/>
              </w:rPr>
              <w:t xml:space="preserve">One of the main differences between adult and children safeguarding is that the guidance for children have set time frames and clear guidance in the legislation, policies and procedures, this is not the same for safeguarding adults. Despite both adults and children being protected from harm under the SSWBA. </w:t>
            </w:r>
          </w:p>
          <w:p w14:paraId="0669A6D8" w14:textId="77777777" w:rsidR="0007170C" w:rsidRPr="006F41C0" w:rsidRDefault="0007170C" w:rsidP="006F41C0">
            <w:pPr>
              <w:jc w:val="both"/>
              <w:rPr>
                <w:iCs/>
                <w:sz w:val="24"/>
                <w:szCs w:val="24"/>
              </w:rPr>
            </w:pPr>
          </w:p>
          <w:p w14:paraId="7D6B4B9F" w14:textId="1C2BDB56" w:rsidR="00824188" w:rsidRDefault="006F41C0" w:rsidP="006F41C0">
            <w:pPr>
              <w:jc w:val="both"/>
              <w:rPr>
                <w:iCs/>
                <w:sz w:val="24"/>
                <w:szCs w:val="24"/>
              </w:rPr>
            </w:pPr>
            <w:r w:rsidRPr="006F41C0">
              <w:rPr>
                <w:iCs/>
                <w:sz w:val="24"/>
                <w:szCs w:val="24"/>
              </w:rPr>
              <w:t>The SSWBA emphasise that it is the responsibility of the public and professionals to notify the local authority if they suspect a child is at risk of abuse or harm. The NSPCC (2003) also emphasis that everyone is responsible for safeguarding children. However, there is no such emphasis on this in terms of safeguarding adults, it states that it is the local authority’s responsibility if they suspect an adult is at risk of harm. This does not put any responsibility of other professionals to safeguard adults.</w:t>
            </w:r>
          </w:p>
          <w:p w14:paraId="41ECEC8D" w14:textId="77777777" w:rsidR="006F41C0" w:rsidRDefault="006F41C0" w:rsidP="006F41C0">
            <w:pPr>
              <w:jc w:val="both"/>
              <w:rPr>
                <w:iCs/>
                <w:sz w:val="24"/>
                <w:szCs w:val="24"/>
              </w:rPr>
            </w:pPr>
          </w:p>
          <w:p w14:paraId="4119076F" w14:textId="42753BBA" w:rsidR="006F41C0" w:rsidRPr="00824188" w:rsidRDefault="006F41C0" w:rsidP="006F41C0">
            <w:pPr>
              <w:jc w:val="both"/>
              <w:rPr>
                <w:iCs/>
                <w:sz w:val="24"/>
                <w:szCs w:val="24"/>
              </w:rPr>
            </w:pPr>
            <w:r>
              <w:rPr>
                <w:iCs/>
                <w:sz w:val="24"/>
                <w:szCs w:val="24"/>
              </w:rPr>
              <w:t>(word count: 421)</w:t>
            </w:r>
          </w:p>
          <w:p w14:paraId="697C6AA7" w14:textId="77777777" w:rsidR="00985A2E" w:rsidRDefault="00985A2E" w:rsidP="00FC0334">
            <w:pPr>
              <w:jc w:val="both"/>
              <w:rPr>
                <w:i/>
                <w:sz w:val="24"/>
                <w:szCs w:val="24"/>
              </w:rPr>
            </w:pPr>
          </w:p>
          <w:p w14:paraId="5BB1D446" w14:textId="77777777" w:rsidR="00985A2E" w:rsidRDefault="00985A2E" w:rsidP="00FC0334">
            <w:pPr>
              <w:jc w:val="both"/>
              <w:rPr>
                <w:i/>
                <w:sz w:val="24"/>
                <w:szCs w:val="24"/>
              </w:rPr>
            </w:pP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170C"/>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53324"/>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984"/>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41C0"/>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E2015"/>
    <w:rsid w:val="007F10BD"/>
    <w:rsid w:val="007F312E"/>
    <w:rsid w:val="007F3F7E"/>
    <w:rsid w:val="007F4BA4"/>
    <w:rsid w:val="00813CEC"/>
    <w:rsid w:val="0081534C"/>
    <w:rsid w:val="00816CE7"/>
    <w:rsid w:val="008171E4"/>
    <w:rsid w:val="008208EA"/>
    <w:rsid w:val="00822B44"/>
    <w:rsid w:val="00824188"/>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5A2E"/>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016"/>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58B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5F1E"/>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76A14"/>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1126</Words>
  <Characters>5982</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Llinos T. Jones</cp:lastModifiedBy>
  <cp:revision>8</cp:revision>
  <cp:lastPrinted>2020-02-11T19:20:00Z</cp:lastPrinted>
  <dcterms:created xsi:type="dcterms:W3CDTF">2025-02-11T22:27:00Z</dcterms:created>
  <dcterms:modified xsi:type="dcterms:W3CDTF">2025-02-16T17:59:00Z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