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7D6C" w:rsidRDefault="008E2517" w:rsidP="001C34DC">
      <w:pPr>
        <w:jc w:val="center"/>
        <w:rPr>
          <w:rFonts w:ascii="Times New Roman" w:hAnsi="Times New Roman" w:cs="Times New Roman"/>
          <w:b/>
          <w:sz w:val="32"/>
          <w:u w:val="single"/>
        </w:rPr>
      </w:pPr>
      <w:r>
        <w:rPr>
          <w:rFonts w:ascii="Times New Roman" w:hAnsi="Times New Roman" w:cs="Times New Roman"/>
          <w:b/>
          <w:sz w:val="32"/>
          <w:u w:val="single"/>
        </w:rPr>
        <w:t>How Does the Presentation of Persian Women Support Herodotus’ Overall Presentation of Persia</w:t>
      </w:r>
    </w:p>
    <w:p w:rsidR="008E2517" w:rsidRDefault="008E2517" w:rsidP="001C34DC">
      <w:pPr>
        <w:jc w:val="center"/>
        <w:rPr>
          <w:rFonts w:ascii="Times New Roman" w:hAnsi="Times New Roman" w:cs="Times New Roman"/>
          <w:b/>
          <w:sz w:val="32"/>
          <w:u w:val="single"/>
        </w:rPr>
      </w:pPr>
    </w:p>
    <w:p w:rsidR="00417672" w:rsidRDefault="00102862" w:rsidP="008E2517">
      <w:pPr>
        <w:rPr>
          <w:rFonts w:ascii="Times New Roman" w:hAnsi="Times New Roman" w:cs="Times New Roman"/>
          <w:sz w:val="24"/>
        </w:rPr>
      </w:pPr>
      <w:r>
        <w:rPr>
          <w:rFonts w:ascii="Times New Roman" w:hAnsi="Times New Roman" w:cs="Times New Roman"/>
          <w:sz w:val="24"/>
        </w:rPr>
        <w:t>Herodotus speaks often of Persia and the Persians in his Histories, however, he was often unclear of who he was speaking of, largely due to the fact that so often the Greeks enemies were simply classified as Persians, ‘</w:t>
      </w:r>
      <w:r w:rsidRPr="00102862">
        <w:rPr>
          <w:rFonts w:ascii="Times New Roman" w:hAnsi="Times New Roman" w:cs="Times New Roman"/>
          <w:sz w:val="24"/>
        </w:rPr>
        <w:t>In the Histories the Persians are sometimes not exactly distinguishable from other peoples of their empire, especially when the Greeks’ opp</w:t>
      </w:r>
      <w:r>
        <w:rPr>
          <w:rFonts w:ascii="Times New Roman" w:hAnsi="Times New Roman" w:cs="Times New Roman"/>
          <w:sz w:val="24"/>
        </w:rPr>
        <w:t xml:space="preserve">onents are simply qualified as </w:t>
      </w:r>
      <w:r w:rsidRPr="00102862">
        <w:rPr>
          <w:rFonts w:ascii="Times New Roman" w:hAnsi="Times New Roman" w:cs="Times New Roman"/>
          <w:sz w:val="24"/>
        </w:rPr>
        <w:t>Persians</w:t>
      </w:r>
      <w:r>
        <w:rPr>
          <w:rFonts w:ascii="Times New Roman" w:hAnsi="Times New Roman" w:cs="Times New Roman"/>
          <w:sz w:val="24"/>
        </w:rPr>
        <w:t>’ (Rollinger, R. 2003).</w:t>
      </w:r>
      <w:r w:rsidR="00D733CA">
        <w:rPr>
          <w:rFonts w:ascii="Times New Roman" w:hAnsi="Times New Roman" w:cs="Times New Roman"/>
          <w:sz w:val="24"/>
        </w:rPr>
        <w:t xml:space="preserve"> Very often, Herodotus would refer to both the Persians and the Medes as the same people, as he qualifies them both as an </w:t>
      </w:r>
      <w:r w:rsidR="00D733CA" w:rsidRPr="00D733CA">
        <w:rPr>
          <w:rFonts w:ascii="Times New Roman" w:hAnsi="Times New Roman" w:cs="Times New Roman"/>
          <w:sz w:val="24"/>
        </w:rPr>
        <w:t>éthnos</w:t>
      </w:r>
      <w:r w:rsidR="00D733CA">
        <w:rPr>
          <w:rFonts w:ascii="Times New Roman" w:hAnsi="Times New Roman" w:cs="Times New Roman"/>
          <w:sz w:val="24"/>
        </w:rPr>
        <w:t>, ‘</w:t>
      </w:r>
      <w:r w:rsidR="00D733CA" w:rsidRPr="00D733CA">
        <w:rPr>
          <w:rFonts w:ascii="Times New Roman" w:hAnsi="Times New Roman" w:cs="Times New Roman"/>
          <w:sz w:val="24"/>
        </w:rPr>
        <w:t>Both Medes and Persians are qualified by Herodotus as an éthnos</w:t>
      </w:r>
      <w:r w:rsidR="00D733CA">
        <w:rPr>
          <w:rFonts w:ascii="Times New Roman" w:hAnsi="Times New Roman" w:cs="Times New Roman"/>
          <w:sz w:val="24"/>
        </w:rPr>
        <w:t>’ (Rollinger, R. 2003).</w:t>
      </w:r>
      <w:r w:rsidR="00192F44">
        <w:rPr>
          <w:rFonts w:ascii="Times New Roman" w:hAnsi="Times New Roman" w:cs="Times New Roman"/>
          <w:sz w:val="24"/>
        </w:rPr>
        <w:t xml:space="preserve"> Herodotus believed that the Persians only gained a visible identity once Cyrus the Great came about, with Herodotus considering this to be the point at which Persia had become a part of history.</w:t>
      </w:r>
    </w:p>
    <w:p w:rsidR="00763618" w:rsidRDefault="00763618" w:rsidP="008E2517">
      <w:pPr>
        <w:rPr>
          <w:rFonts w:ascii="Times New Roman" w:hAnsi="Times New Roman" w:cs="Times New Roman"/>
          <w:sz w:val="24"/>
        </w:rPr>
      </w:pPr>
      <w:r>
        <w:rPr>
          <w:rFonts w:ascii="Times New Roman" w:hAnsi="Times New Roman" w:cs="Times New Roman"/>
          <w:sz w:val="24"/>
        </w:rPr>
        <w:t>Herodotus wrote extensively on the Persian Empire, having come from Halicarnassus, which was in his time, a part of the Persian Empire. He often described and compared the customs of the Persians to that of the Greeks, as which he identified. It appears that his view and attitude towards the Persian culture changed along with the subject matter on which he was currently writing about. However, it often appears that he looks more favourably upon the Persian customs, rather than those of the Greeks, even commending them for their readily acceptance and adoption of foreign customs and traditions.</w:t>
      </w:r>
      <w:r w:rsidR="00737B51">
        <w:rPr>
          <w:rFonts w:ascii="Times New Roman" w:hAnsi="Times New Roman" w:cs="Times New Roman"/>
          <w:sz w:val="24"/>
        </w:rPr>
        <w:t xml:space="preserve"> The Persians were seen to have readily adopted things from foreign nations such as garbing themselves in Medes dress, as they considered it to be of a superior quality to that of their own</w:t>
      </w:r>
      <w:r w:rsidR="00E75CEB">
        <w:rPr>
          <w:rFonts w:ascii="Times New Roman" w:hAnsi="Times New Roman" w:cs="Times New Roman"/>
          <w:sz w:val="24"/>
        </w:rPr>
        <w:t>. This acceptance can also be seen in their use of Egyptian breastpla</w:t>
      </w:r>
      <w:r w:rsidR="004C2BAF">
        <w:rPr>
          <w:rFonts w:ascii="Times New Roman" w:hAnsi="Times New Roman" w:cs="Times New Roman"/>
          <w:sz w:val="24"/>
        </w:rPr>
        <w:t>tes when they were going to war (Hdt. 1.131 – 135).</w:t>
      </w:r>
    </w:p>
    <w:p w:rsidR="00CC5DB1" w:rsidRDefault="00950C29" w:rsidP="008E2517">
      <w:pPr>
        <w:rPr>
          <w:rFonts w:ascii="Times New Roman" w:hAnsi="Times New Roman" w:cs="Times New Roman"/>
          <w:sz w:val="24"/>
        </w:rPr>
      </w:pPr>
      <w:r>
        <w:rPr>
          <w:rFonts w:ascii="Times New Roman" w:hAnsi="Times New Roman" w:cs="Times New Roman"/>
          <w:sz w:val="24"/>
        </w:rPr>
        <w:t>A common theme surrounding Herodotus’ Histories concerning Persian women is that of the suppression of their names.</w:t>
      </w:r>
      <w:r w:rsidR="00F852FF">
        <w:rPr>
          <w:rFonts w:ascii="Times New Roman" w:hAnsi="Times New Roman" w:cs="Times New Roman"/>
          <w:sz w:val="24"/>
        </w:rPr>
        <w:t xml:space="preserve"> This act of not naming the women involved in Herodotus’ Histories is prevalent in both the tales of </w:t>
      </w:r>
      <w:r w:rsidR="00F852FF" w:rsidRPr="00F852FF">
        <w:rPr>
          <w:rFonts w:ascii="Times New Roman" w:hAnsi="Times New Roman" w:cs="Times New Roman"/>
          <w:sz w:val="24"/>
        </w:rPr>
        <w:t>logoi of Kandaules and</w:t>
      </w:r>
      <w:r w:rsidR="00F852FF">
        <w:rPr>
          <w:rFonts w:ascii="Times New Roman" w:hAnsi="Times New Roman" w:cs="Times New Roman"/>
          <w:sz w:val="24"/>
        </w:rPr>
        <w:t xml:space="preserve"> the tale of</w:t>
      </w:r>
      <w:r w:rsidR="00F852FF" w:rsidRPr="00F852FF">
        <w:rPr>
          <w:rFonts w:ascii="Times New Roman" w:hAnsi="Times New Roman" w:cs="Times New Roman"/>
          <w:sz w:val="24"/>
        </w:rPr>
        <w:t xml:space="preserve"> Masistes</w:t>
      </w:r>
      <w:r w:rsidR="00F852FF">
        <w:rPr>
          <w:rFonts w:ascii="Times New Roman" w:hAnsi="Times New Roman" w:cs="Times New Roman"/>
          <w:sz w:val="24"/>
        </w:rPr>
        <w:t>. It is in this decision to not name the female characters in these tales which we can use in viewing Herodotus’ views of and the presentation of Persian women in his Histories, and their impact on his overall presentation of Persia.</w:t>
      </w:r>
      <w:r w:rsidR="00DE65D6">
        <w:rPr>
          <w:rFonts w:ascii="Times New Roman" w:hAnsi="Times New Roman" w:cs="Times New Roman"/>
          <w:sz w:val="24"/>
        </w:rPr>
        <w:t xml:space="preserve"> It would be easy to suggest that Herodotus’ decision to not name these female characters is out of disrespect, whether that be towards the Persians, Persian women, or just women in general. Perhaps Herodotus did not view these women worthy of name in his Histories because it was the male characters in the tales that are of importance to the story, or perhaps he deliberately left out these female characters names in order to remove and exonerate them from the tyrants that they were under, as a sign of respect towards them.</w:t>
      </w:r>
    </w:p>
    <w:p w:rsidR="00AE1B61" w:rsidRDefault="00501D3F">
      <w:pPr>
        <w:rPr>
          <w:rFonts w:ascii="Times New Roman" w:hAnsi="Times New Roman" w:cs="Times New Roman"/>
          <w:sz w:val="24"/>
        </w:rPr>
      </w:pPr>
      <w:r>
        <w:rPr>
          <w:rFonts w:ascii="Times New Roman" w:hAnsi="Times New Roman" w:cs="Times New Roman"/>
          <w:sz w:val="24"/>
        </w:rPr>
        <w:t xml:space="preserve">Often in Herodotus’ Histories, he finds himself </w:t>
      </w:r>
      <w:r w:rsidR="00481B90">
        <w:rPr>
          <w:rFonts w:ascii="Times New Roman" w:hAnsi="Times New Roman" w:cs="Times New Roman"/>
          <w:sz w:val="24"/>
        </w:rPr>
        <w:t xml:space="preserve">purposefully </w:t>
      </w:r>
      <w:r>
        <w:rPr>
          <w:rFonts w:ascii="Times New Roman" w:hAnsi="Times New Roman" w:cs="Times New Roman"/>
          <w:sz w:val="24"/>
        </w:rPr>
        <w:t>omitting details, something which he openly admitted himself to be guilty of doing.</w:t>
      </w:r>
      <w:r w:rsidR="00481B90">
        <w:rPr>
          <w:rFonts w:ascii="Times New Roman" w:hAnsi="Times New Roman" w:cs="Times New Roman"/>
          <w:sz w:val="24"/>
        </w:rPr>
        <w:t xml:space="preserve"> More often than not the details omitted were, as they are in this circumstance, names. Often though, the reason given for the deliberate suppression of detail is due to the fact that Herodotus was attempting to spare the reader of the gory details or of the names of disgraced men, ‘he occasionally does so, as Boedeker notes, in order to spare his audience gory detail or indecoro</w:t>
      </w:r>
      <w:r w:rsidR="006E795C">
        <w:rPr>
          <w:rFonts w:ascii="Times New Roman" w:hAnsi="Times New Roman" w:cs="Times New Roman"/>
          <w:sz w:val="24"/>
        </w:rPr>
        <w:t>us mention of men of ill repute’ (Larson, S. 2006).</w:t>
      </w:r>
      <w:r w:rsidR="00B03BF6">
        <w:rPr>
          <w:rFonts w:ascii="Times New Roman" w:hAnsi="Times New Roman" w:cs="Times New Roman"/>
          <w:sz w:val="24"/>
        </w:rPr>
        <w:t xml:space="preserve"> What Larson argues, however, is that the suppression of female </w:t>
      </w:r>
      <w:r w:rsidR="00B03BF6">
        <w:rPr>
          <w:rFonts w:ascii="Times New Roman" w:hAnsi="Times New Roman" w:cs="Times New Roman"/>
          <w:sz w:val="24"/>
        </w:rPr>
        <w:lastRenderedPageBreak/>
        <w:t>names in Herodotus’ Histories was not due to the same reason that many other names and detail were omitted, rather that they followed a different pattern altogether.</w:t>
      </w:r>
    </w:p>
    <w:p w:rsidR="006F6D44" w:rsidRDefault="00AE1B61">
      <w:pPr>
        <w:rPr>
          <w:rFonts w:ascii="Times New Roman" w:hAnsi="Times New Roman" w:cs="Times New Roman"/>
          <w:sz w:val="24"/>
        </w:rPr>
      </w:pPr>
      <w:r>
        <w:rPr>
          <w:rFonts w:ascii="Times New Roman" w:hAnsi="Times New Roman" w:cs="Times New Roman"/>
          <w:sz w:val="24"/>
        </w:rPr>
        <w:t>Herodotus openly mentions on a couple of occasions that he had learnt the name of every Spartan that perished alongside their king Leonidas, however, for one reason or another he decided that it was worthwhile omitting these names from his Histories</w:t>
      </w:r>
      <w:r w:rsidR="006B61BE">
        <w:rPr>
          <w:rFonts w:ascii="Times New Roman" w:hAnsi="Times New Roman" w:cs="Times New Roman"/>
          <w:sz w:val="24"/>
        </w:rPr>
        <w:t>, although he gives no reason as to why, of all people, he chose to supress their names</w:t>
      </w:r>
      <w:r w:rsidR="002803FC">
        <w:rPr>
          <w:rFonts w:ascii="Times New Roman" w:hAnsi="Times New Roman" w:cs="Times New Roman"/>
          <w:sz w:val="24"/>
        </w:rPr>
        <w:t>. What is considered to be the most reasonable suggestion as to Herodotus’ reasoning for the suppression of the names of the three humdred fallen Spartan names is that it was out of honour, and to the glory of the fallen Spartans.</w:t>
      </w:r>
      <w:r w:rsidR="006F6D44">
        <w:rPr>
          <w:rFonts w:ascii="Times New Roman" w:hAnsi="Times New Roman" w:cs="Times New Roman"/>
          <w:sz w:val="24"/>
        </w:rPr>
        <w:t xml:space="preserve"> However, it is still possible, however unlikely, that Herodotus was dishonest and simply could not remember all the names of all of those three hundred Spartans.</w:t>
      </w:r>
    </w:p>
    <w:p w:rsidR="005B4AAD" w:rsidRDefault="005B4AAD">
      <w:pPr>
        <w:rPr>
          <w:rFonts w:ascii="Times New Roman" w:hAnsi="Times New Roman" w:cs="Times New Roman"/>
          <w:sz w:val="24"/>
        </w:rPr>
      </w:pPr>
      <w:r>
        <w:rPr>
          <w:rFonts w:ascii="Times New Roman" w:hAnsi="Times New Roman" w:cs="Times New Roman"/>
          <w:sz w:val="24"/>
        </w:rPr>
        <w:t>There are two reasons Herodotus has given for the suppression of names in his work, ‘to preserve a sense of decorum, to pursue a narrative strategy, or to mark respect for unnamed characters involved in a narrative’ (Larson, S. 2006).</w:t>
      </w:r>
      <w:r w:rsidR="008F7EBF">
        <w:rPr>
          <w:rFonts w:ascii="Times New Roman" w:hAnsi="Times New Roman" w:cs="Times New Roman"/>
          <w:sz w:val="24"/>
        </w:rPr>
        <w:t xml:space="preserve"> It is these two reasons given that are likely interrelated and most likely involved in and are the reason for the suppression of the female names in the narratives of Kandaules’ and Masistes’ wives.</w:t>
      </w:r>
      <w:r w:rsidR="002A27BE">
        <w:rPr>
          <w:rFonts w:ascii="Times New Roman" w:hAnsi="Times New Roman" w:cs="Times New Roman"/>
          <w:sz w:val="24"/>
        </w:rPr>
        <w:t xml:space="preserve"> It was also a common practice in Athens to publically suppress </w:t>
      </w:r>
      <w:r w:rsidR="001C6560">
        <w:rPr>
          <w:rFonts w:ascii="Times New Roman" w:hAnsi="Times New Roman" w:cs="Times New Roman"/>
          <w:sz w:val="24"/>
        </w:rPr>
        <w:t xml:space="preserve">respectable </w:t>
      </w:r>
      <w:r w:rsidR="002A27BE">
        <w:rPr>
          <w:rFonts w:ascii="Times New Roman" w:hAnsi="Times New Roman" w:cs="Times New Roman"/>
          <w:sz w:val="24"/>
        </w:rPr>
        <w:t>women’s names. It could be considered that with the tales involving Kandaules’ and Masistes’ wives, Herodotus may have been influenced by this practice. If this theory is to be believed then this displays that Herodotus possessed a great respect for these female characters within his Histories.</w:t>
      </w:r>
    </w:p>
    <w:p w:rsidR="001C6560" w:rsidRDefault="001C6560">
      <w:pPr>
        <w:rPr>
          <w:rFonts w:ascii="Times New Roman" w:hAnsi="Times New Roman" w:cs="Times New Roman"/>
          <w:sz w:val="24"/>
        </w:rPr>
      </w:pPr>
      <w:r>
        <w:rPr>
          <w:rFonts w:ascii="Times New Roman" w:hAnsi="Times New Roman" w:cs="Times New Roman"/>
          <w:sz w:val="24"/>
        </w:rPr>
        <w:t>When looking at the tale of Xerxes and Masistes’ wife, and applying the above thought and theory, there can be questions asked of the reliability of this theory as to the reason for the suppression of Masistes’ wife. In this story Masistes’ wife is the only one whose name was omitted, whereas Xerxes wife and the woman for whom his affections were aimed at were both mentioned, and both being of a higher status than that of Masistes’ wife. This directly negates the Athenian tradition of suppressing the names of respectable women. However, it can be argued that due to the proceedings within this story that due to the actions of both of these named women, they subsequently lost their so called respectfulness, resulting with them, as far as the narrative is concerned, to be aligned even more so with the tyrants that the story is concerned with. This then allows for this theory to be true of the reasons for the suppression Masistes’ wife, as she was the victim of the Persian tyrant, and was as a result innocent of all the violence and hardship that was to fall her way, leading her to be seen in a better light than those women in the very same tale that were named.</w:t>
      </w:r>
    </w:p>
    <w:p w:rsidR="000726DD" w:rsidRDefault="000726DD">
      <w:pPr>
        <w:rPr>
          <w:rFonts w:ascii="Times New Roman" w:hAnsi="Times New Roman" w:cs="Times New Roman"/>
          <w:sz w:val="24"/>
        </w:rPr>
      </w:pPr>
      <w:r>
        <w:rPr>
          <w:rFonts w:ascii="Times New Roman" w:hAnsi="Times New Roman" w:cs="Times New Roman"/>
          <w:sz w:val="24"/>
        </w:rPr>
        <w:t>Herodotus has a habit of portraying women, not as they are, rather as a mere extension of the man that is in that particular story, whether that is a husband, a father or even a brother. This theme is prominent throughout Herodotus’ work, as it is rare that a female character is able to be approached as a character all of her own, and not be considered as merely an extension of another male character, with only three female characters throughout the whole of Herodotus’ Histories relying on motives of their and not those of their husbands or the other men in their lives, with these three women going directly against their husbands will.</w:t>
      </w:r>
      <w:r w:rsidR="005D7DDE">
        <w:rPr>
          <w:rFonts w:ascii="Times New Roman" w:hAnsi="Times New Roman" w:cs="Times New Roman"/>
          <w:sz w:val="24"/>
        </w:rPr>
        <w:t xml:space="preserve"> Whereas the majority of the women involved in any of Herodotus’s Histories are not made out to be their own person, with their base concerns surrounding their desire and attempts to not shame their family and the men of high regard within their families.</w:t>
      </w:r>
    </w:p>
    <w:p w:rsidR="0042771E" w:rsidRDefault="0042771E">
      <w:pPr>
        <w:rPr>
          <w:rFonts w:ascii="Times New Roman" w:hAnsi="Times New Roman" w:cs="Times New Roman"/>
          <w:sz w:val="24"/>
        </w:rPr>
      </w:pPr>
      <w:r>
        <w:rPr>
          <w:rFonts w:ascii="Times New Roman" w:hAnsi="Times New Roman" w:cs="Times New Roman"/>
          <w:sz w:val="24"/>
        </w:rPr>
        <w:t xml:space="preserve">Whereas it can be viewed that Herodotus looks kindly and favourably upon Persian women and their position within their society, and how he shows great respect towards them within </w:t>
      </w:r>
      <w:r>
        <w:rPr>
          <w:rFonts w:ascii="Times New Roman" w:hAnsi="Times New Roman" w:cs="Times New Roman"/>
          <w:sz w:val="24"/>
        </w:rPr>
        <w:lastRenderedPageBreak/>
        <w:t>his writing. It is also worth mentioning that these ideas of how Herodotus writes and perceives these women in his works are all theories of his writing method, and it is unreasonable to take these theories at face value, as this may not have been the case and this may not have been the opinion that Herodotus had.</w:t>
      </w:r>
      <w:r w:rsidR="00E54AFB">
        <w:rPr>
          <w:rFonts w:ascii="Times New Roman" w:hAnsi="Times New Roman" w:cs="Times New Roman"/>
          <w:sz w:val="24"/>
        </w:rPr>
        <w:t xml:space="preserve"> This inevitably causes problems when trying to interpret his views and opinions upon the subject of women, especially upon the subject of women in Persia.</w:t>
      </w:r>
    </w:p>
    <w:p w:rsidR="00E54AFB" w:rsidRDefault="00E54AFB">
      <w:pPr>
        <w:rPr>
          <w:rFonts w:ascii="Times New Roman" w:hAnsi="Times New Roman" w:cs="Times New Roman"/>
          <w:sz w:val="24"/>
        </w:rPr>
      </w:pPr>
      <w:r>
        <w:rPr>
          <w:rFonts w:ascii="Times New Roman" w:hAnsi="Times New Roman" w:cs="Times New Roman"/>
          <w:sz w:val="24"/>
        </w:rPr>
        <w:t>As much as it may seem at times that Herodotus may have looked quite fondly upon Persian women and Persia as a whole, it is also worth mentioning that throughout his Histories there have been mentions of the Persians being monstrous and as being slaves, with their women being perceived poorly, portraying them in a very bad light. However, these mentions appear to all be during conflicts between the Greeks and the Persians, which shows that there would have most likely been a biased skew to the story, resulting in Herodotus being less faithful to the truth than he may have wished to be.</w:t>
      </w:r>
      <w:r w:rsidR="00DD03EE">
        <w:rPr>
          <w:rFonts w:ascii="Times New Roman" w:hAnsi="Times New Roman" w:cs="Times New Roman"/>
          <w:sz w:val="24"/>
        </w:rPr>
        <w:t xml:space="preserve"> However, it has been noted that at the same time as these conflicts, the women in Persia had more freedom, power and rights than that of any Greek woman, even more than the Spartan women, whom which were glorified to have had more rights than any other woman in the known world.</w:t>
      </w:r>
    </w:p>
    <w:p w:rsidR="00417672" w:rsidRDefault="008225C0">
      <w:pPr>
        <w:rPr>
          <w:rFonts w:ascii="Times New Roman" w:hAnsi="Times New Roman" w:cs="Times New Roman"/>
          <w:sz w:val="24"/>
        </w:rPr>
      </w:pPr>
      <w:r>
        <w:rPr>
          <w:rFonts w:ascii="Times New Roman" w:hAnsi="Times New Roman" w:cs="Times New Roman"/>
          <w:sz w:val="24"/>
        </w:rPr>
        <w:t xml:space="preserve">In conclusion, it is inevitably difficult to judge </w:t>
      </w:r>
      <w:r w:rsidR="00EA1B98">
        <w:rPr>
          <w:rFonts w:ascii="Times New Roman" w:hAnsi="Times New Roman" w:cs="Times New Roman"/>
          <w:sz w:val="24"/>
        </w:rPr>
        <w:t>and presume Herodotus’ meanings and feelings towards that of either Persian women or Persia as a whole. It is clear, however, that in his Histories there is rather a lot of contradiction in many of his view points. It is, however, reasonable to state that Herodotus’ presentation of Persian women does support his overall view and presentation of Persia as a whole. It may not be in the traditional sense, rather in the sense that as a whole Herodotus, unfortunately, cycles through various feelings towards both Persia and Persian women, leading them to support one another. It is also reasonable to presume that as Herodotus changes his view upon Persia, his view upon Persian women inevitably changes along with it.</w:t>
      </w:r>
      <w:bookmarkStart w:id="0" w:name="_GoBack"/>
      <w:bookmarkEnd w:id="0"/>
      <w:r w:rsidR="00417672">
        <w:rPr>
          <w:rFonts w:ascii="Times New Roman" w:hAnsi="Times New Roman" w:cs="Times New Roman"/>
          <w:sz w:val="24"/>
        </w:rPr>
        <w:br w:type="page"/>
      </w:r>
    </w:p>
    <w:p w:rsidR="008E2517" w:rsidRDefault="00417672" w:rsidP="00417672">
      <w:pPr>
        <w:jc w:val="center"/>
        <w:rPr>
          <w:rFonts w:ascii="Times New Roman" w:hAnsi="Times New Roman" w:cs="Times New Roman"/>
          <w:b/>
          <w:sz w:val="32"/>
          <w:u w:val="single"/>
        </w:rPr>
      </w:pPr>
      <w:r>
        <w:rPr>
          <w:rFonts w:ascii="Times New Roman" w:hAnsi="Times New Roman" w:cs="Times New Roman"/>
          <w:b/>
          <w:sz w:val="32"/>
          <w:u w:val="single"/>
        </w:rPr>
        <w:lastRenderedPageBreak/>
        <w:t>Bibliography</w:t>
      </w:r>
    </w:p>
    <w:p w:rsidR="00417672" w:rsidRDefault="00417672" w:rsidP="00417672">
      <w:pPr>
        <w:jc w:val="center"/>
        <w:rPr>
          <w:rFonts w:ascii="Times New Roman" w:hAnsi="Times New Roman" w:cs="Times New Roman"/>
          <w:b/>
          <w:sz w:val="32"/>
          <w:u w:val="single"/>
        </w:rPr>
      </w:pPr>
    </w:p>
    <w:p w:rsidR="00D83028" w:rsidRDefault="00D83028" w:rsidP="00417672">
      <w:pPr>
        <w:rPr>
          <w:rFonts w:ascii="Times New Roman" w:hAnsi="Times New Roman" w:cs="Times New Roman"/>
          <w:sz w:val="24"/>
        </w:rPr>
      </w:pPr>
      <w:r w:rsidRPr="00D83028">
        <w:rPr>
          <w:rFonts w:ascii="Times New Roman" w:hAnsi="Times New Roman" w:cs="Times New Roman"/>
          <w:sz w:val="24"/>
        </w:rPr>
        <w:t>Carmen Soares. “DRESS AND UNDRESS IN HERODOTUS' HISTORIES.” Phoenix, vol. 68, no. 3/4, 2014, pp. 222–234. JSTOR, www.jstor.org/stable/10.7834/phoenix.68.3-4.0222.</w:t>
      </w:r>
    </w:p>
    <w:p w:rsidR="00D83028" w:rsidRDefault="00D83028" w:rsidP="00417672">
      <w:pPr>
        <w:rPr>
          <w:rFonts w:ascii="Times New Roman" w:hAnsi="Times New Roman" w:cs="Times New Roman"/>
          <w:sz w:val="24"/>
        </w:rPr>
      </w:pPr>
    </w:p>
    <w:p w:rsidR="00D83028" w:rsidRDefault="00D83028" w:rsidP="00417672">
      <w:pPr>
        <w:rPr>
          <w:rFonts w:ascii="Times New Roman" w:hAnsi="Times New Roman" w:cs="Times New Roman"/>
          <w:sz w:val="24"/>
        </w:rPr>
      </w:pPr>
      <w:r w:rsidRPr="00D83028">
        <w:rPr>
          <w:rFonts w:ascii="Times New Roman" w:hAnsi="Times New Roman" w:cs="Times New Roman"/>
          <w:sz w:val="24"/>
        </w:rPr>
        <w:t>Dewald, Carolyn. “Biology and Politics: Women in Herodotus' ‘Histories.’” Pacific Coast Philology, vol. 15, 1980, pp. 11–18. JSTOR, www.jstor.org/stable/1316610.</w:t>
      </w:r>
    </w:p>
    <w:p w:rsidR="00D83028" w:rsidRDefault="00D83028" w:rsidP="00417672">
      <w:pPr>
        <w:rPr>
          <w:rFonts w:ascii="Times New Roman" w:hAnsi="Times New Roman" w:cs="Times New Roman"/>
          <w:sz w:val="24"/>
        </w:rPr>
      </w:pPr>
    </w:p>
    <w:p w:rsidR="00D83028" w:rsidRDefault="00D83028" w:rsidP="00417672">
      <w:pPr>
        <w:rPr>
          <w:rFonts w:ascii="Times New Roman" w:hAnsi="Times New Roman" w:cs="Times New Roman"/>
          <w:sz w:val="24"/>
        </w:rPr>
      </w:pPr>
      <w:r w:rsidRPr="00D83028">
        <w:rPr>
          <w:rFonts w:ascii="Times New Roman" w:hAnsi="Times New Roman" w:cs="Times New Roman"/>
          <w:sz w:val="24"/>
        </w:rPr>
        <w:t>Dominick, Yancy Hughes. “Acting Other: Atossa and Instability in Herodotus.” The Classical Quarterly, vol. 57, no. 2, 2007, pp. 432–444. JSTOR, www.jstor.org/stable/27564087.</w:t>
      </w:r>
    </w:p>
    <w:p w:rsidR="00D83028" w:rsidRDefault="00D83028" w:rsidP="00417672">
      <w:pPr>
        <w:rPr>
          <w:rFonts w:ascii="Times New Roman" w:hAnsi="Times New Roman" w:cs="Times New Roman"/>
          <w:sz w:val="24"/>
        </w:rPr>
      </w:pPr>
    </w:p>
    <w:p w:rsidR="00D83028" w:rsidRDefault="00D83028" w:rsidP="00417672">
      <w:pPr>
        <w:rPr>
          <w:rFonts w:ascii="Times New Roman" w:hAnsi="Times New Roman" w:cs="Times New Roman"/>
          <w:sz w:val="24"/>
        </w:rPr>
      </w:pPr>
      <w:r w:rsidRPr="00D83028">
        <w:rPr>
          <w:rFonts w:ascii="Times New Roman" w:hAnsi="Times New Roman" w:cs="Times New Roman"/>
          <w:sz w:val="24"/>
        </w:rPr>
        <w:t>Grethlein, Jonas. “How Not to Do History: Xerxes in Herodotus' ‘Histories.’” The American Journal of Philology, vol. 130, no. 2, 2009, pp. 195–218. JSTOR, www.jstor.org/stable/20616180.</w:t>
      </w:r>
    </w:p>
    <w:p w:rsidR="00D83028" w:rsidRDefault="00D83028" w:rsidP="00417672">
      <w:pPr>
        <w:rPr>
          <w:rFonts w:ascii="Times New Roman" w:hAnsi="Times New Roman" w:cs="Times New Roman"/>
          <w:sz w:val="24"/>
        </w:rPr>
      </w:pPr>
    </w:p>
    <w:p w:rsidR="001D683F" w:rsidRDefault="001D683F" w:rsidP="00417672">
      <w:pPr>
        <w:rPr>
          <w:rFonts w:ascii="Times New Roman" w:hAnsi="Times New Roman" w:cs="Times New Roman"/>
          <w:sz w:val="24"/>
        </w:rPr>
      </w:pPr>
      <w:r w:rsidRPr="001D683F">
        <w:rPr>
          <w:rFonts w:ascii="Times New Roman" w:hAnsi="Times New Roman" w:cs="Times New Roman"/>
          <w:sz w:val="24"/>
        </w:rPr>
        <w:t>Herodotus. (20</w:t>
      </w:r>
      <w:r>
        <w:rPr>
          <w:rFonts w:ascii="Times New Roman" w:hAnsi="Times New Roman" w:cs="Times New Roman"/>
          <w:sz w:val="24"/>
        </w:rPr>
        <w:t>12, January 18). Herodotus: On t</w:t>
      </w:r>
      <w:r w:rsidRPr="001D683F">
        <w:rPr>
          <w:rFonts w:ascii="Times New Roman" w:hAnsi="Times New Roman" w:cs="Times New Roman"/>
          <w:sz w:val="24"/>
        </w:rPr>
        <w:t>he Customs of the Persians. Ancient History Encyclopedia. Retrieved from https://www.ancient.eu/article/149/</w:t>
      </w:r>
      <w:r>
        <w:rPr>
          <w:rFonts w:ascii="Times New Roman" w:hAnsi="Times New Roman" w:cs="Times New Roman"/>
          <w:sz w:val="24"/>
        </w:rPr>
        <w:t>.</w:t>
      </w:r>
    </w:p>
    <w:p w:rsidR="001D683F" w:rsidRDefault="001D683F" w:rsidP="00417672">
      <w:pPr>
        <w:rPr>
          <w:rFonts w:ascii="Times New Roman" w:hAnsi="Times New Roman" w:cs="Times New Roman"/>
          <w:sz w:val="24"/>
        </w:rPr>
      </w:pPr>
    </w:p>
    <w:p w:rsidR="006E795C" w:rsidRDefault="006E795C" w:rsidP="00417672">
      <w:pPr>
        <w:rPr>
          <w:rFonts w:ascii="Times New Roman" w:hAnsi="Times New Roman" w:cs="Times New Roman"/>
          <w:sz w:val="24"/>
        </w:rPr>
      </w:pPr>
      <w:r w:rsidRPr="006E795C">
        <w:rPr>
          <w:rFonts w:ascii="Times New Roman" w:hAnsi="Times New Roman" w:cs="Times New Roman"/>
          <w:sz w:val="24"/>
        </w:rPr>
        <w:t>Larson, Stephanie. “Kandaules' Wife, Masistes' Wife: Herodotus' Narrative Strategy in Suppressing Names of Women: (Hdt. 1.8-12 and 9.108-13).” The Classical Journal, vol. 101, no. 3, 2006, pp. 225–244. JSTOR, www.jstor.org/stable/30038053.</w:t>
      </w:r>
    </w:p>
    <w:p w:rsidR="006E795C" w:rsidRDefault="006E795C" w:rsidP="00417672">
      <w:pPr>
        <w:rPr>
          <w:rFonts w:ascii="Times New Roman" w:hAnsi="Times New Roman" w:cs="Times New Roman"/>
          <w:sz w:val="24"/>
        </w:rPr>
      </w:pPr>
    </w:p>
    <w:p w:rsidR="00D83028" w:rsidRDefault="00D83028" w:rsidP="00417672">
      <w:pPr>
        <w:rPr>
          <w:rFonts w:ascii="Times New Roman" w:hAnsi="Times New Roman" w:cs="Times New Roman"/>
          <w:sz w:val="24"/>
        </w:rPr>
      </w:pPr>
      <w:r w:rsidRPr="00D83028">
        <w:rPr>
          <w:rFonts w:ascii="Times New Roman" w:hAnsi="Times New Roman" w:cs="Times New Roman"/>
          <w:sz w:val="24"/>
        </w:rPr>
        <w:t>MUNSON, ROSARIA VlGNOLO. “Who Are Herodotus' Persians?” The Classical World, vol. 102, no. 4, 2009, pp. 457–470. JSTOR, www.jstor.org/stable/40599878.</w:t>
      </w:r>
    </w:p>
    <w:p w:rsidR="00D83028" w:rsidRDefault="00D83028" w:rsidP="00417672">
      <w:pPr>
        <w:rPr>
          <w:rFonts w:ascii="Times New Roman" w:hAnsi="Times New Roman" w:cs="Times New Roman"/>
          <w:sz w:val="24"/>
        </w:rPr>
      </w:pPr>
    </w:p>
    <w:p w:rsidR="00417672" w:rsidRPr="00417672" w:rsidRDefault="00374EBB" w:rsidP="00417672">
      <w:pPr>
        <w:rPr>
          <w:rFonts w:ascii="Times New Roman" w:hAnsi="Times New Roman" w:cs="Times New Roman"/>
          <w:sz w:val="24"/>
        </w:rPr>
      </w:pPr>
      <w:r>
        <w:rPr>
          <w:rFonts w:ascii="Times New Roman" w:hAnsi="Times New Roman" w:cs="Times New Roman"/>
          <w:sz w:val="24"/>
        </w:rPr>
        <w:t>Rollinger, R. 2003.’</w:t>
      </w:r>
      <w:r w:rsidRPr="00374EBB">
        <w:t xml:space="preserve"> </w:t>
      </w:r>
      <w:r>
        <w:rPr>
          <w:rFonts w:ascii="Times New Roman" w:hAnsi="Times New Roman" w:cs="Times New Roman"/>
          <w:sz w:val="24"/>
        </w:rPr>
        <w:t xml:space="preserve">Herodotus iii. Defining the Persians’ Iranicaonline. </w:t>
      </w:r>
      <w:r w:rsidRPr="00374EBB">
        <w:rPr>
          <w:rFonts w:ascii="Times New Roman" w:hAnsi="Times New Roman" w:cs="Times New Roman"/>
          <w:sz w:val="24"/>
        </w:rPr>
        <w:t>Available online at http://www.iranicaonline.org/articles/kadimi-zoroastrian-sect (a</w:t>
      </w:r>
      <w:r>
        <w:rPr>
          <w:rFonts w:ascii="Times New Roman" w:hAnsi="Times New Roman" w:cs="Times New Roman"/>
          <w:sz w:val="24"/>
        </w:rPr>
        <w:t>ccessed online at 08 March 2019</w:t>
      </w:r>
      <w:r w:rsidRPr="00374EBB">
        <w:rPr>
          <w:rFonts w:ascii="Times New Roman" w:hAnsi="Times New Roman" w:cs="Times New Roman"/>
          <w:sz w:val="24"/>
        </w:rPr>
        <w:t>).</w:t>
      </w:r>
    </w:p>
    <w:sectPr w:rsidR="00417672" w:rsidRPr="004176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7F8"/>
    <w:rsid w:val="000726DD"/>
    <w:rsid w:val="00102862"/>
    <w:rsid w:val="00192F44"/>
    <w:rsid w:val="001C34DC"/>
    <w:rsid w:val="001C6560"/>
    <w:rsid w:val="001D683F"/>
    <w:rsid w:val="002803FC"/>
    <w:rsid w:val="002A27BE"/>
    <w:rsid w:val="00374EBB"/>
    <w:rsid w:val="00417672"/>
    <w:rsid w:val="0042771E"/>
    <w:rsid w:val="00481B90"/>
    <w:rsid w:val="004C2BAF"/>
    <w:rsid w:val="00501D3F"/>
    <w:rsid w:val="005B4AAD"/>
    <w:rsid w:val="005D7DDE"/>
    <w:rsid w:val="006B61BE"/>
    <w:rsid w:val="006E795C"/>
    <w:rsid w:val="006F6D44"/>
    <w:rsid w:val="00727666"/>
    <w:rsid w:val="00737B51"/>
    <w:rsid w:val="007467F8"/>
    <w:rsid w:val="00763618"/>
    <w:rsid w:val="007D72DD"/>
    <w:rsid w:val="00803FC7"/>
    <w:rsid w:val="008225C0"/>
    <w:rsid w:val="008A5A65"/>
    <w:rsid w:val="008E2517"/>
    <w:rsid w:val="008F7EBF"/>
    <w:rsid w:val="008F7FD5"/>
    <w:rsid w:val="00950C29"/>
    <w:rsid w:val="00AE1B61"/>
    <w:rsid w:val="00B03BF6"/>
    <w:rsid w:val="00C57D6C"/>
    <w:rsid w:val="00CC5DB1"/>
    <w:rsid w:val="00D733CA"/>
    <w:rsid w:val="00D83028"/>
    <w:rsid w:val="00DD03EE"/>
    <w:rsid w:val="00DE65D6"/>
    <w:rsid w:val="00E54AFB"/>
    <w:rsid w:val="00E75CEB"/>
    <w:rsid w:val="00EA1B98"/>
    <w:rsid w:val="00F85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DDAB03-5D2B-4189-94C0-CFB070B7E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312</TotalTime>
  <Pages>4</Pages>
  <Words>1643</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Constable (1600782)</dc:creator>
  <cp:keywords/>
  <dc:description/>
  <cp:lastModifiedBy>Harry Constable (1600782)</cp:lastModifiedBy>
  <cp:revision>38</cp:revision>
  <dcterms:created xsi:type="dcterms:W3CDTF">2019-03-08T09:19:00Z</dcterms:created>
  <dcterms:modified xsi:type="dcterms:W3CDTF">2019-03-08T14:30:00Z</dcterms:modified>
</cp:coreProperties>
</file>