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16E6" w:rsidRDefault="00BC2741">
      <w:pPr>
        <w:jc w:val="center"/>
        <w:rPr>
          <w:b/>
        </w:rPr>
      </w:pPr>
      <w:bookmarkStart w:id="0" w:name="_GoBack"/>
      <w:bookmarkEnd w:id="0"/>
      <w:r>
        <w:rPr>
          <w:b/>
        </w:rPr>
        <w:t xml:space="preserve"> Discuss the significance of the Arabic script in Islamic art and </w:t>
      </w:r>
      <w:r w:rsidR="007D568A">
        <w:rPr>
          <w:b/>
        </w:rPr>
        <w:t>a</w:t>
      </w:r>
      <w:r>
        <w:rPr>
          <w:b/>
        </w:rPr>
        <w:t>rchitecture.</w:t>
      </w:r>
    </w:p>
    <w:p w:rsidR="007716E6" w:rsidRDefault="007716E6"/>
    <w:p w:rsidR="007716E6" w:rsidRDefault="00BC2741">
      <w:pPr>
        <w:rPr>
          <w:highlight w:val="white"/>
        </w:rPr>
      </w:pPr>
      <w:r>
        <w:t xml:space="preserve">The Arabic script is one of the most widespread writing systems in the world, and while originally it was used to write the Arabic language, it has been adapted to write several other languages such as Persian, Pashto and Urdu to name a few. The spread of this script could perhaps be linked to the spread of Islam, as the most common inscriptions found today are from after the birth of Islam. We are told by Ahmad that the Arabs before the time of Islam relied heavily upon oral tradition </w:t>
      </w:r>
      <w:proofErr w:type="gramStart"/>
      <w:r>
        <w:t>in order to</w:t>
      </w:r>
      <w:proofErr w:type="gramEnd"/>
      <w:r>
        <w:t xml:space="preserve"> retain </w:t>
      </w:r>
      <w:r w:rsidR="00DF65E1">
        <w:t>information. Despite</w:t>
      </w:r>
      <w:r>
        <w:t xml:space="preserve"> this reliance on oral tradition the Arabs of this time did have a writing system, however this script </w:t>
      </w:r>
      <w:proofErr w:type="gramStart"/>
      <w:r>
        <w:t>was seen as</w:t>
      </w:r>
      <w:proofErr w:type="gramEnd"/>
      <w:r>
        <w:t xml:space="preserve"> “rudimentary, ungainly and imperfect” </w:t>
      </w:r>
      <w:r>
        <w:rPr>
          <w:highlight w:val="white"/>
        </w:rPr>
        <w:t xml:space="preserve">(AHMAD, 1984: 119). From the beginning of Islam, the Arabs were driven to develop their script </w:t>
      </w:r>
      <w:proofErr w:type="gramStart"/>
      <w:r>
        <w:rPr>
          <w:highlight w:val="white"/>
        </w:rPr>
        <w:t>in order to</w:t>
      </w:r>
      <w:proofErr w:type="gramEnd"/>
      <w:r>
        <w:rPr>
          <w:highlight w:val="white"/>
        </w:rPr>
        <w:t xml:space="preserve"> record and hand down “every syllable of the Qur’an with exactitude” (AHMAD, 1984: 120) to the generations that came after them. From this need those within the community of Muslims, the people tied together by their religion and the words of the unlettered Prophet, Muhammad, became the greatest of Calligraphers, and produced masterpieces which Ahmad claims have never been surpassed or equalled. </w:t>
      </w:r>
    </w:p>
    <w:p w:rsidR="007716E6" w:rsidRDefault="007716E6">
      <w:pPr>
        <w:rPr>
          <w:highlight w:val="white"/>
        </w:rPr>
      </w:pPr>
    </w:p>
    <w:p w:rsidR="007716E6" w:rsidRDefault="00D62194">
      <w:pPr>
        <w:rPr>
          <w:highlight w:val="white"/>
        </w:rPr>
      </w:pPr>
      <w:r w:rsidRPr="00D62194">
        <w:rPr>
          <w:noProof/>
          <w:highlight w:val="white"/>
        </w:rPr>
        <mc:AlternateContent>
          <mc:Choice Requires="wps">
            <w:drawing>
              <wp:anchor distT="45720" distB="45720" distL="114300" distR="114300" simplePos="0" relativeHeight="251660288" behindDoc="0" locked="0" layoutInCell="1" allowOverlap="1">
                <wp:simplePos x="0" y="0"/>
                <wp:positionH relativeFrom="column">
                  <wp:posOffset>2406650</wp:posOffset>
                </wp:positionH>
                <wp:positionV relativeFrom="paragraph">
                  <wp:posOffset>4034790</wp:posOffset>
                </wp:positionV>
                <wp:extent cx="3070860" cy="1404620"/>
                <wp:effectExtent l="0" t="0" r="152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0860" cy="1404620"/>
                        </a:xfrm>
                        <a:prstGeom prst="rect">
                          <a:avLst/>
                        </a:prstGeom>
                        <a:solidFill>
                          <a:srgbClr val="FFFFFF"/>
                        </a:solidFill>
                        <a:ln w="9525">
                          <a:solidFill>
                            <a:srgbClr val="000000"/>
                          </a:solidFill>
                          <a:miter lim="800000"/>
                          <a:headEnd/>
                          <a:tailEnd/>
                        </a:ln>
                      </wps:spPr>
                      <wps:txbx>
                        <w:txbxContent>
                          <w:p w:rsidR="00D62194" w:rsidRDefault="00D62194" w:rsidP="008208A0">
                            <w:pPr>
                              <w:jc w:val="center"/>
                            </w:pPr>
                            <w:r>
                              <w:t xml:space="preserve">Figure 1: </w:t>
                            </w:r>
                            <w:r w:rsidR="008208A0">
                              <w:t xml:space="preserve">Koran written in </w:t>
                            </w:r>
                            <w:proofErr w:type="spellStart"/>
                            <w:r w:rsidR="008208A0">
                              <w:t>Naskh</w:t>
                            </w:r>
                            <w:proofErr w:type="spellEnd"/>
                            <w:r w:rsidR="008208A0">
                              <w:t xml:space="preserve">, Iran. </w:t>
                            </w:r>
                            <w:r w:rsidR="008208A0">
                              <w:rPr>
                                <w:rStyle w:val="selectable"/>
                              </w:rPr>
                              <w:t>(The David Collection, 2018)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89.5pt;margin-top:317.7pt;width:241.8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">
                <v:textbox style="mso-fit-shape-to-text:t">
                  <w:txbxContent>
                    <w:p w:rsidR="00D62194" w:rsidRDefault="00D62194" w:rsidP="008208A0">
                      <w:pPr>
                        <w:jc w:val="center"/>
                      </w:pPr>
                      <w:r>
                        <w:t xml:space="preserve">Figure 1: </w:t>
                      </w:r>
                      <w:r w:rsidR="008208A0">
                        <w:t xml:space="preserve">Koran written in </w:t>
                      </w:r>
                      <w:proofErr w:type="spellStart"/>
                      <w:r w:rsidR="008208A0">
                        <w:t>Naskh</w:t>
                      </w:r>
                      <w:proofErr w:type="spellEnd"/>
                      <w:r w:rsidR="008208A0">
                        <w:t xml:space="preserve">, Iran. </w:t>
                      </w:r>
                      <w:r w:rsidR="008208A0">
                        <w:rPr>
                          <w:rStyle w:val="selectable"/>
                        </w:rPr>
                        <w:t>(The David Collection, 2018)</w:t>
                      </w:r>
                    </w:p>
                  </w:txbxContent>
                </v:textbox>
                <w10:wrap type="square"/>
              </v:shape>
            </w:pict>
          </mc:Fallback>
        </mc:AlternateContent>
      </w:r>
      <w:r>
        <w:rPr>
          <w:noProof/>
        </w:rPr>
        <w:drawing>
          <wp:anchor distT="0" distB="0" distL="114300" distR="114300" simplePos="0" relativeHeight="251654656" behindDoc="1" locked="0" layoutInCell="1" allowOverlap="1">
            <wp:simplePos x="0" y="0"/>
            <wp:positionH relativeFrom="column">
              <wp:posOffset>2165350</wp:posOffset>
            </wp:positionH>
            <wp:positionV relativeFrom="paragraph">
              <wp:posOffset>1357630</wp:posOffset>
            </wp:positionV>
            <wp:extent cx="3566795" cy="2733675"/>
            <wp:effectExtent l="0" t="0" r="0" b="9525"/>
            <wp:wrapTight wrapText="bothSides">
              <wp:wrapPolygon edited="0">
                <wp:start x="0" y="0"/>
                <wp:lineTo x="0" y="21525"/>
                <wp:lineTo x="21458" y="21525"/>
                <wp:lineTo x="214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oran].jpg"/>
                    <pic:cNvPicPr/>
                  </pic:nvPicPr>
                  <pic:blipFill>
                    <a:blip r:embed="rId7">
                      <a:extLst>
                        <a:ext uri="{28A0092B-C50C-407E-A947-70E740481C1C}">
                          <a14:useLocalDpi xmlns:a14="http://schemas.microsoft.com/office/drawing/2010/main" val="0"/>
                        </a:ext>
                      </a:extLst>
                    </a:blip>
                    <a:stretch>
                      <a:fillRect/>
                    </a:stretch>
                  </pic:blipFill>
                  <pic:spPr>
                    <a:xfrm>
                      <a:off x="0" y="0"/>
                      <a:ext cx="3566795" cy="2733675"/>
                    </a:xfrm>
                    <a:prstGeom prst="rect">
                      <a:avLst/>
                    </a:prstGeom>
                  </pic:spPr>
                </pic:pic>
              </a:graphicData>
            </a:graphic>
            <wp14:sizeRelH relativeFrom="margin">
              <wp14:pctWidth>0</wp14:pctWidth>
            </wp14:sizeRelH>
            <wp14:sizeRelV relativeFrom="margin">
              <wp14:pctHeight>0</wp14:pctHeight>
            </wp14:sizeRelV>
          </wp:anchor>
        </w:drawing>
      </w:r>
      <w:r w:rsidR="00BC2741">
        <w:rPr>
          <w:highlight w:val="white"/>
        </w:rPr>
        <w:t xml:space="preserve">The significance of the Arabic script within Islamic </w:t>
      </w:r>
      <w:r w:rsidR="007D568A">
        <w:rPr>
          <w:highlight w:val="white"/>
        </w:rPr>
        <w:t>a</w:t>
      </w:r>
      <w:r w:rsidR="00BC2741">
        <w:rPr>
          <w:highlight w:val="white"/>
        </w:rPr>
        <w:t xml:space="preserve">rt and </w:t>
      </w:r>
      <w:r w:rsidR="007D568A">
        <w:rPr>
          <w:highlight w:val="white"/>
        </w:rPr>
        <w:t>a</w:t>
      </w:r>
      <w:r w:rsidR="00BC2741">
        <w:rPr>
          <w:highlight w:val="white"/>
        </w:rPr>
        <w:t xml:space="preserve">rchitecture could be revealed to us through the study of the prestige to which writing holds within Islamic religion and how the script is applied to religious and everyday objects, and buildings, these are the topics to which I will be focusing on during this essay. Within the foreword of the book Calligraphy in the Arab and Islamic World (1999) we are informed of the fact that </w:t>
      </w:r>
      <w:r w:rsidR="00BC2741">
        <w:t xml:space="preserve">“Arabic calligraphy symbolizes the cultural culmination of a remote historical tradition whose origins are rooted in the history of the Near East” </w:t>
      </w:r>
      <w:r w:rsidR="00BC2741">
        <w:rPr>
          <w:highlight w:val="white"/>
        </w:rPr>
        <w:t xml:space="preserve">(Calligraphy in the Arab and Islamic world, 1999: 19), which is the region that is believed to be the birthplace of writing, a tool developed to record man’s memory and therefore his history. Arabic, like any other writing system began as a means to transmit a message, however it soon “developed into an art form in itself” (Calligraphy in the Arab and Islamic world, 1999: 20), this could be said to be due to the fact that with the advent of Islam, “which avoided </w:t>
      </w:r>
      <w:r w:rsidR="00A47BAB">
        <w:rPr>
          <w:highlight w:val="white"/>
        </w:rPr>
        <w:t>iconographical</w:t>
      </w:r>
      <w:r w:rsidR="00BC2741">
        <w:rPr>
          <w:highlight w:val="white"/>
        </w:rPr>
        <w:t xml:space="preserve"> representation” (Calligraphy in the Arab and Islamic world, 1999: 20), the people chose to illustrate the beauty of the message through words</w:t>
      </w:r>
      <w:r>
        <w:rPr>
          <w:highlight w:val="white"/>
        </w:rPr>
        <w:t>, this can been seen in figure 1</w:t>
      </w:r>
      <w:r w:rsidR="00BC2741">
        <w:rPr>
          <w:highlight w:val="white"/>
        </w:rPr>
        <w:t xml:space="preserve">. This </w:t>
      </w:r>
      <w:proofErr w:type="gramStart"/>
      <w:r w:rsidR="00BC2741">
        <w:rPr>
          <w:highlight w:val="white"/>
        </w:rPr>
        <w:t>in itself shows</w:t>
      </w:r>
      <w:proofErr w:type="gramEnd"/>
      <w:r w:rsidR="00BC2741">
        <w:rPr>
          <w:highlight w:val="white"/>
        </w:rPr>
        <w:t xml:space="preserve"> us the significance of the Arabic script within Islamic art, as writing became a form of art in order to embody the beauty of the message that Muhammad had presented to them.</w:t>
      </w:r>
    </w:p>
    <w:p w:rsidR="00D62194" w:rsidRDefault="00D62194">
      <w:pPr>
        <w:rPr>
          <w:highlight w:val="white"/>
        </w:rPr>
      </w:pPr>
    </w:p>
    <w:p w:rsidR="007716E6" w:rsidRDefault="007716E6">
      <w:pPr>
        <w:rPr>
          <w:highlight w:val="white"/>
        </w:rPr>
      </w:pPr>
    </w:p>
    <w:p w:rsidR="007716E6" w:rsidRDefault="00BC2741">
      <w:pPr>
        <w:rPr>
          <w:highlight w:val="white"/>
        </w:rPr>
      </w:pPr>
      <w:r>
        <w:rPr>
          <w:highlight w:val="white"/>
        </w:rPr>
        <w:lastRenderedPageBreak/>
        <w:t xml:space="preserve">Although Islam is not the only culture to incorporate writing within art, it is the only culture that features writing as “the main, and sometimes the only, element of decoration” (Esposito, 1999: 222). This was not always the case however, and the fundamental change was brought about due to the “pivotal role of writing in religion” (Esposito, 1999: 223), this is illustrated through a pair of verses that tell us of “two noble recording angels” (Esposito, 1999: 223) that sit on the shoulders of every person to record their every action and thought. One angel records the good deeds, while the other records the evil and these “will be tallied for the final accounting in the Book of Reckoning” (Esposito, 1999: 223). It is no surprise then that writing has become so important within Islamic culture, as from this point books and their production became a considerable art form. At the same time as the Quran was presented in Arabic, the language then became the lingua franca for the region, “uniting the vast area” (Esposito, 1999: 223). </w:t>
      </w:r>
    </w:p>
    <w:p w:rsidR="007716E6" w:rsidRDefault="007716E6">
      <w:pPr>
        <w:rPr>
          <w:highlight w:val="white"/>
        </w:rPr>
      </w:pPr>
    </w:p>
    <w:p w:rsidR="008208A0" w:rsidRDefault="00D31604">
      <w:pPr>
        <w:rPr>
          <w:highlight w:val="white"/>
        </w:rPr>
      </w:pPr>
      <w:r w:rsidRPr="008208A0">
        <w:rPr>
          <w:noProof/>
          <w:highlight w:val="white"/>
        </w:rPr>
        <mc:AlternateContent>
          <mc:Choice Requires="wps">
            <w:drawing>
              <wp:anchor distT="45720" distB="45720" distL="114300" distR="114300" simplePos="0" relativeHeight="251623936" behindDoc="0" locked="0" layoutInCell="1" allowOverlap="1">
                <wp:simplePos x="0" y="0"/>
                <wp:positionH relativeFrom="column">
                  <wp:posOffset>2303780</wp:posOffset>
                </wp:positionH>
                <wp:positionV relativeFrom="paragraph">
                  <wp:posOffset>2484755</wp:posOffset>
                </wp:positionV>
                <wp:extent cx="3390900" cy="1404620"/>
                <wp:effectExtent l="0" t="0" r="1905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1404620"/>
                        </a:xfrm>
                        <a:prstGeom prst="rect">
                          <a:avLst/>
                        </a:prstGeom>
                        <a:solidFill>
                          <a:srgbClr val="FFFFFF"/>
                        </a:solidFill>
                        <a:ln w="9525">
                          <a:solidFill>
                            <a:srgbClr val="000000"/>
                          </a:solidFill>
                          <a:miter lim="800000"/>
                          <a:headEnd/>
                          <a:tailEnd/>
                        </a:ln>
                      </wps:spPr>
                      <wps:txbx>
                        <w:txbxContent>
                          <w:p w:rsidR="008208A0" w:rsidRDefault="008208A0" w:rsidP="008208A0">
                            <w:pPr>
                              <w:jc w:val="center"/>
                            </w:pPr>
                            <w:r>
                              <w:t xml:space="preserve">Figure 2: The </w:t>
                            </w:r>
                            <w:proofErr w:type="spellStart"/>
                            <w:r>
                              <w:t>Kiswa</w:t>
                            </w:r>
                            <w:proofErr w:type="spellEnd"/>
                            <w:r>
                              <w:t xml:space="preserve">, Mecca. </w:t>
                            </w:r>
                            <w:r>
                              <w:rPr>
                                <w:rStyle w:val="selectable"/>
                              </w:rPr>
                              <w:t>(</w:t>
                            </w:r>
                            <w:proofErr w:type="spellStart"/>
                            <w:r>
                              <w:rPr>
                                <w:rStyle w:val="selectable"/>
                              </w:rPr>
                              <w:t>KiSuta</w:t>
                            </w:r>
                            <w:proofErr w:type="spellEnd"/>
                            <w:r>
                              <w:rPr>
                                <w:rStyle w:val="selectable"/>
                              </w:rPr>
                              <w:t>, 2012)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181.4pt;margin-top:195.65pt;width:267pt;height:110.6pt;z-index:251623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">
                <v:textbox style="mso-fit-shape-to-text:t">
                  <w:txbxContent>
                    <w:p w:rsidR="008208A0" w:rsidRDefault="008208A0" w:rsidP="008208A0">
                      <w:pPr>
                        <w:jc w:val="center"/>
                      </w:pPr>
                      <w:r>
                        <w:t xml:space="preserve">Figure 2: The </w:t>
                      </w:r>
                      <w:proofErr w:type="spellStart"/>
                      <w:r>
                        <w:t>Kiswa</w:t>
                      </w:r>
                      <w:proofErr w:type="spellEnd"/>
                      <w:r>
                        <w:t xml:space="preserve">, Mecca. </w:t>
                      </w:r>
                      <w:r>
                        <w:rPr>
                          <w:rStyle w:val="selectable"/>
                        </w:rPr>
                        <w:t>(</w:t>
                      </w:r>
                      <w:proofErr w:type="spellStart"/>
                      <w:r>
                        <w:rPr>
                          <w:rStyle w:val="selectable"/>
                        </w:rPr>
                        <w:t>KiSuta</w:t>
                      </w:r>
                      <w:proofErr w:type="spellEnd"/>
                      <w:r>
                        <w:rPr>
                          <w:rStyle w:val="selectable"/>
                        </w:rPr>
                        <w:t>, 2012)</w:t>
                      </w:r>
                    </w:p>
                  </w:txbxContent>
                </v:textbox>
                <w10:wrap type="square"/>
              </v:shape>
            </w:pict>
          </mc:Fallback>
        </mc:AlternateContent>
      </w:r>
      <w:r>
        <w:rPr>
          <w:noProof/>
        </w:rPr>
        <w:drawing>
          <wp:anchor distT="0" distB="0" distL="114300" distR="114300" simplePos="0" relativeHeight="251615744" behindDoc="1" locked="0" layoutInCell="1" allowOverlap="1">
            <wp:simplePos x="0" y="0"/>
            <wp:positionH relativeFrom="column">
              <wp:posOffset>2273935</wp:posOffset>
            </wp:positionH>
            <wp:positionV relativeFrom="paragraph">
              <wp:posOffset>627380</wp:posOffset>
            </wp:positionV>
            <wp:extent cx="3421380" cy="1847850"/>
            <wp:effectExtent l="0" t="0" r="7620" b="0"/>
            <wp:wrapTight wrapText="bothSides">
              <wp:wrapPolygon edited="0">
                <wp:start x="0" y="0"/>
                <wp:lineTo x="0" y="21377"/>
                <wp:lineTo x="21528" y="21377"/>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Kiswah.png"/>
                    <pic:cNvPicPr/>
                  </pic:nvPicPr>
                  <pic:blipFill>
                    <a:blip r:embed="rId8">
                      <a:extLst>
                        <a:ext uri="{28A0092B-C50C-407E-A947-70E740481C1C}">
                          <a14:useLocalDpi xmlns:a14="http://schemas.microsoft.com/office/drawing/2010/main" val="0"/>
                        </a:ext>
                      </a:extLst>
                    </a:blip>
                    <a:stretch>
                      <a:fillRect/>
                    </a:stretch>
                  </pic:blipFill>
                  <pic:spPr>
                    <a:xfrm>
                      <a:off x="0" y="0"/>
                      <a:ext cx="3421380" cy="1847850"/>
                    </a:xfrm>
                    <a:prstGeom prst="rect">
                      <a:avLst/>
                    </a:prstGeom>
                  </pic:spPr>
                </pic:pic>
              </a:graphicData>
            </a:graphic>
            <wp14:sizeRelH relativeFrom="margin">
              <wp14:pctWidth>0</wp14:pctWidth>
            </wp14:sizeRelH>
            <wp14:sizeRelV relativeFrom="margin">
              <wp14:pctHeight>0</wp14:pctHeight>
            </wp14:sizeRelV>
          </wp:anchor>
        </w:drawing>
      </w:r>
      <w:r>
        <w:rPr>
          <w:b/>
          <w:noProof/>
          <w:u w:val="single"/>
        </w:rPr>
        <w:drawing>
          <wp:anchor distT="0" distB="0" distL="114300" distR="114300" simplePos="0" relativeHeight="251649536" behindDoc="1" locked="0" layoutInCell="1" allowOverlap="1">
            <wp:simplePos x="0" y="0"/>
            <wp:positionH relativeFrom="column">
              <wp:posOffset>-635</wp:posOffset>
            </wp:positionH>
            <wp:positionV relativeFrom="paragraph">
              <wp:posOffset>3465830</wp:posOffset>
            </wp:positionV>
            <wp:extent cx="2009775" cy="2133600"/>
            <wp:effectExtent l="0" t="0" r="9525" b="0"/>
            <wp:wrapTight wrapText="bothSides">
              <wp:wrapPolygon edited="0">
                <wp:start x="0" y="0"/>
                <wp:lineTo x="0" y="21407"/>
                <wp:lineTo x="21498" y="21407"/>
                <wp:lineTo x="21498" y="0"/>
                <wp:lineTo x="0" y="0"/>
              </wp:wrapPolygon>
            </wp:wrapTight>
            <wp:docPr id="4" name="Picture 4" descr="A close up of a bell&#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 3 this.jpeg"/>
                    <pic:cNvPicPr/>
                  </pic:nvPicPr>
                  <pic:blipFill rotWithShape="1">
                    <a:blip r:embed="rId9" cstate="print">
                      <a:extLst>
                        <a:ext uri="{28A0092B-C50C-407E-A947-70E740481C1C}">
                          <a14:useLocalDpi xmlns:a14="http://schemas.microsoft.com/office/drawing/2010/main" val="0"/>
                        </a:ext>
                      </a:extLst>
                    </a:blip>
                    <a:srcRect l="17757" b="8854"/>
                    <a:stretch/>
                  </pic:blipFill>
                  <pic:spPr bwMode="auto">
                    <a:xfrm>
                      <a:off x="0" y="0"/>
                      <a:ext cx="2009775" cy="2133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31604">
        <w:rPr>
          <w:noProof/>
          <w:highlight w:val="white"/>
        </w:rPr>
        <mc:AlternateContent>
          <mc:Choice Requires="wps">
            <w:drawing>
              <wp:anchor distT="45720" distB="45720" distL="114300" distR="114300" simplePos="0" relativeHeight="251671040" behindDoc="0" locked="0" layoutInCell="1" allowOverlap="1">
                <wp:simplePos x="0" y="0"/>
                <wp:positionH relativeFrom="column">
                  <wp:posOffset>0</wp:posOffset>
                </wp:positionH>
                <wp:positionV relativeFrom="paragraph">
                  <wp:posOffset>5589905</wp:posOffset>
                </wp:positionV>
                <wp:extent cx="2000250" cy="83820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0250" cy="838200"/>
                        </a:xfrm>
                        <a:prstGeom prst="rect">
                          <a:avLst/>
                        </a:prstGeom>
                        <a:solidFill>
                          <a:srgbClr val="FFFFFF"/>
                        </a:solidFill>
                        <a:ln w="9525">
                          <a:solidFill>
                            <a:srgbClr val="000000"/>
                          </a:solidFill>
                          <a:miter lim="800000"/>
                          <a:headEnd/>
                          <a:tailEnd/>
                        </a:ln>
                      </wps:spPr>
                      <wps:txbx>
                        <w:txbxContent>
                          <w:p w:rsidR="00D31604" w:rsidRDefault="00D31604" w:rsidP="00D31604">
                            <w:r>
                              <w:t>Figure 3: Candlestick, 15</w:t>
                            </w:r>
                            <w:r w:rsidRPr="00D31604">
                              <w:rPr>
                                <w:vertAlign w:val="superscript"/>
                              </w:rPr>
                              <w:t>th</w:t>
                            </w:r>
                            <w:r>
                              <w:t xml:space="preserve"> century, Damascus</w:t>
                            </w:r>
                          </w:p>
                          <w:p w:rsidR="00D31604" w:rsidRDefault="00D31604" w:rsidP="00D31604">
                            <w:r>
                              <w:rPr>
                                <w:highlight w:val="white"/>
                              </w:rPr>
                              <w:t xml:space="preserve"> (Calligraphy in the Arab and Islamic world, 1999: 59)</w:t>
                            </w:r>
                          </w:p>
                          <w:p w:rsidR="00D31604" w:rsidRDefault="00D31604" w:rsidP="00D31604">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440.15pt;width:157.5pt;height:66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">
                <v:textbox>
                  <w:txbxContent>
                    <w:p w:rsidR="00D31604" w:rsidRDefault="00D31604" w:rsidP="00D31604">
                      <w:r>
                        <w:t>Figure 3: Candlestick, 15</w:t>
                      </w:r>
                      <w:r w:rsidRPr="00D31604">
                        <w:rPr>
                          <w:vertAlign w:val="superscript"/>
                        </w:rPr>
                        <w:t>th</w:t>
                      </w:r>
                      <w:r>
                        <w:t xml:space="preserve"> century, Damascus</w:t>
                      </w:r>
                    </w:p>
                    <w:p w:rsidR="00D31604" w:rsidRDefault="00D31604" w:rsidP="00D31604">
                      <w:r>
                        <w:rPr>
                          <w:highlight w:val="white"/>
                        </w:rPr>
                        <w:t xml:space="preserve"> (Calligraphy in the Arab and Islamic world, 1999: </w:t>
                      </w:r>
                      <w:r>
                        <w:rPr>
                          <w:highlight w:val="white"/>
                        </w:rPr>
                        <w:t>59)</w:t>
                      </w:r>
                    </w:p>
                    <w:p w:rsidR="00D31604" w:rsidRDefault="00D31604" w:rsidP="00D31604">
                      <w:pPr>
                        <w:jc w:val="center"/>
                      </w:pPr>
                    </w:p>
                  </w:txbxContent>
                </v:textbox>
                <w10:wrap type="square"/>
              </v:shape>
            </w:pict>
          </mc:Fallback>
        </mc:AlternateContent>
      </w:r>
      <w:r w:rsidR="00DF65E1">
        <w:rPr>
          <w:highlight w:val="white"/>
        </w:rPr>
        <w:t>It is possible to find inscriptions in any media or materi</w:t>
      </w:r>
      <w:r w:rsidR="00356F66">
        <w:rPr>
          <w:highlight w:val="white"/>
        </w:rPr>
        <w:t xml:space="preserve">al, and as Esposito tells us </w:t>
      </w:r>
      <w:proofErr w:type="gramStart"/>
      <w:r w:rsidR="00104A6E">
        <w:rPr>
          <w:highlight w:val="white"/>
        </w:rPr>
        <w:t>it’s</w:t>
      </w:r>
      <w:proofErr w:type="gramEnd"/>
      <w:r w:rsidR="00DF65E1">
        <w:rPr>
          <w:highlight w:val="white"/>
        </w:rPr>
        <w:t xml:space="preserve"> even possible to find inscriptions on mediums that have such technical limitations that it makes “it extremely difficult to incorporate a running text”</w:t>
      </w:r>
      <w:r w:rsidR="00DF65E1" w:rsidRPr="00DF65E1">
        <w:rPr>
          <w:highlight w:val="white"/>
        </w:rPr>
        <w:t xml:space="preserve"> </w:t>
      </w:r>
      <w:r w:rsidR="00DF65E1">
        <w:rPr>
          <w:highlight w:val="white"/>
        </w:rPr>
        <w:t xml:space="preserve">(Esposito, 1999: 224). For example, textiles would find this difficult, as although it could be said to be somewhat easy to be able to weave a symmetrical pattern on a loom, it would however be difficult to manoeuvre the loom </w:t>
      </w:r>
      <w:proofErr w:type="gramStart"/>
      <w:r w:rsidR="00DF65E1">
        <w:rPr>
          <w:highlight w:val="white"/>
        </w:rPr>
        <w:t>in order for</w:t>
      </w:r>
      <w:proofErr w:type="gramEnd"/>
      <w:r w:rsidR="00DF65E1">
        <w:rPr>
          <w:highlight w:val="white"/>
        </w:rPr>
        <w:t xml:space="preserve"> the directional design to read in one direction. </w:t>
      </w:r>
      <w:proofErr w:type="gramStart"/>
      <w:r w:rsidR="00DF65E1">
        <w:rPr>
          <w:highlight w:val="white"/>
        </w:rPr>
        <w:t>That being said, this</w:t>
      </w:r>
      <w:proofErr w:type="gramEnd"/>
      <w:r w:rsidR="00DF65E1">
        <w:rPr>
          <w:highlight w:val="white"/>
        </w:rPr>
        <w:t xml:space="preserve"> does not mean that within Islamic art they have not accomplished this feat. The </w:t>
      </w:r>
      <w:proofErr w:type="spellStart"/>
      <w:r w:rsidR="00DF65E1" w:rsidRPr="00DF65E1">
        <w:rPr>
          <w:i/>
          <w:highlight w:val="white"/>
        </w:rPr>
        <w:t>Kiswah</w:t>
      </w:r>
      <w:proofErr w:type="spellEnd"/>
      <w:r w:rsidR="00DF65E1">
        <w:rPr>
          <w:highlight w:val="white"/>
        </w:rPr>
        <w:t xml:space="preserve">, </w:t>
      </w:r>
      <w:r w:rsidR="00BC4CF5">
        <w:rPr>
          <w:highlight w:val="white"/>
        </w:rPr>
        <w:t xml:space="preserve">as seen in figure 2, </w:t>
      </w:r>
      <w:r w:rsidR="00DF65E1">
        <w:rPr>
          <w:highlight w:val="white"/>
        </w:rPr>
        <w:t>which it cou</w:t>
      </w:r>
      <w:r w:rsidR="00BC4CF5">
        <w:rPr>
          <w:highlight w:val="white"/>
        </w:rPr>
        <w:t>ld be said to be</w:t>
      </w:r>
      <w:r w:rsidR="00DF65E1">
        <w:rPr>
          <w:highlight w:val="white"/>
        </w:rPr>
        <w:t xml:space="preserve"> a r</w:t>
      </w:r>
      <w:r w:rsidR="00356F66">
        <w:rPr>
          <w:highlight w:val="white"/>
        </w:rPr>
        <w:t xml:space="preserve">eligious object, for example is </w:t>
      </w:r>
      <w:r w:rsidR="00DF65E1">
        <w:rPr>
          <w:highlight w:val="white"/>
        </w:rPr>
        <w:t xml:space="preserve">testament to this fact. The </w:t>
      </w:r>
      <w:proofErr w:type="spellStart"/>
      <w:r w:rsidR="00DF65E1" w:rsidRPr="00DF65E1">
        <w:rPr>
          <w:i/>
          <w:highlight w:val="white"/>
        </w:rPr>
        <w:t>Kiswah</w:t>
      </w:r>
      <w:proofErr w:type="spellEnd"/>
      <w:r w:rsidR="00DF65E1">
        <w:rPr>
          <w:highlight w:val="white"/>
        </w:rPr>
        <w:t xml:space="preserve"> is a black embroidered cloth that is placed over the Kaaba, a building that is significant within the Islamic religion, as well as art, by the fact that it is the location of Muslim pilgrimage within Mecca, and is the direction</w:t>
      </w:r>
      <w:r w:rsidR="004C195B">
        <w:rPr>
          <w:highlight w:val="white"/>
        </w:rPr>
        <w:t xml:space="preserve">, or </w:t>
      </w:r>
      <w:r w:rsidR="004C195B">
        <w:rPr>
          <w:i/>
          <w:highlight w:val="white"/>
        </w:rPr>
        <w:t>q</w:t>
      </w:r>
      <w:r w:rsidR="004C195B" w:rsidRPr="004C195B">
        <w:rPr>
          <w:i/>
          <w:highlight w:val="white"/>
        </w:rPr>
        <w:t>ibla</w:t>
      </w:r>
      <w:r w:rsidR="004C195B">
        <w:rPr>
          <w:highlight w:val="white"/>
        </w:rPr>
        <w:t xml:space="preserve">, </w:t>
      </w:r>
      <w:r w:rsidR="00DF65E1">
        <w:rPr>
          <w:highlight w:val="white"/>
        </w:rPr>
        <w:t xml:space="preserve">of the </w:t>
      </w:r>
      <w:r w:rsidR="00DF65E1">
        <w:rPr>
          <w:i/>
          <w:highlight w:val="white"/>
        </w:rPr>
        <w:t xml:space="preserve">Salat, </w:t>
      </w:r>
      <w:r w:rsidR="00DF65E1" w:rsidRPr="00DF65E1">
        <w:rPr>
          <w:highlight w:val="white"/>
        </w:rPr>
        <w:t>or five daily prayers performed by those who follow Islam.</w:t>
      </w:r>
      <w:r w:rsidR="004C195B">
        <w:rPr>
          <w:highlight w:val="white"/>
        </w:rPr>
        <w:t xml:space="preserve"> The Quranic verses are embroidered in gold, and in the calligraphic style of </w:t>
      </w:r>
      <w:proofErr w:type="spellStart"/>
      <w:r w:rsidR="004C195B">
        <w:rPr>
          <w:highlight w:val="white"/>
        </w:rPr>
        <w:t>Thuluth</w:t>
      </w:r>
      <w:proofErr w:type="spellEnd"/>
      <w:r w:rsidR="004C195B">
        <w:rPr>
          <w:highlight w:val="white"/>
        </w:rPr>
        <w:t xml:space="preserve"> meaning one third, which was developed in the 9</w:t>
      </w:r>
      <w:r w:rsidR="004C195B" w:rsidRPr="004C195B">
        <w:rPr>
          <w:highlight w:val="white"/>
          <w:vertAlign w:val="superscript"/>
        </w:rPr>
        <w:t>th</w:t>
      </w:r>
      <w:r w:rsidR="004C195B">
        <w:rPr>
          <w:highlight w:val="white"/>
        </w:rPr>
        <w:t xml:space="preserve"> century, </w:t>
      </w:r>
      <w:r w:rsidR="00D62194">
        <w:rPr>
          <w:highlight w:val="white"/>
        </w:rPr>
        <w:t xml:space="preserve">and is </w:t>
      </w:r>
      <w:r w:rsidR="004C195B">
        <w:rPr>
          <w:highlight w:val="white"/>
        </w:rPr>
        <w:t>so</w:t>
      </w:r>
      <w:r w:rsidR="00D62194">
        <w:rPr>
          <w:highlight w:val="white"/>
        </w:rPr>
        <w:t xml:space="preserve"> called</w:t>
      </w:r>
      <w:r w:rsidR="004C195B">
        <w:rPr>
          <w:highlight w:val="white"/>
        </w:rPr>
        <w:t xml:space="preserve"> for the fact that one third of each letter is sloping. This style of calligraphy is the longest surviving </w:t>
      </w:r>
      <w:r w:rsidR="00BC4CF5">
        <w:rPr>
          <w:highlight w:val="white"/>
        </w:rPr>
        <w:t xml:space="preserve">calligraphic style that </w:t>
      </w:r>
      <w:r w:rsidR="004C195B">
        <w:rPr>
          <w:highlight w:val="white"/>
        </w:rPr>
        <w:t xml:space="preserve">is still used today for “calligraphic inscriptions, titles, headings, and colophons” (Calligraphy in the Arab and Islamic world, 1999: 48). </w:t>
      </w:r>
      <w:r w:rsidR="008208A0">
        <w:rPr>
          <w:highlight w:val="white"/>
        </w:rPr>
        <w:t xml:space="preserve">The importance of the Arabic script can be seen from this example because the people mastered putting text on a textile, this could be due to the religious importance of the </w:t>
      </w:r>
      <w:proofErr w:type="spellStart"/>
      <w:r w:rsidR="008208A0">
        <w:rPr>
          <w:i/>
          <w:highlight w:val="white"/>
        </w:rPr>
        <w:t>Kiswah</w:t>
      </w:r>
      <w:proofErr w:type="spellEnd"/>
      <w:r w:rsidR="008208A0">
        <w:rPr>
          <w:highlight w:val="white"/>
        </w:rPr>
        <w:t xml:space="preserve">. Other than </w:t>
      </w:r>
      <w:proofErr w:type="gramStart"/>
      <w:r w:rsidR="008208A0">
        <w:rPr>
          <w:highlight w:val="white"/>
        </w:rPr>
        <w:t>that</w:t>
      </w:r>
      <w:proofErr w:type="gramEnd"/>
      <w:r w:rsidR="008208A0">
        <w:rPr>
          <w:highlight w:val="white"/>
        </w:rPr>
        <w:t xml:space="preserve"> the significance of the script is also illustrated by the fact that a new </w:t>
      </w:r>
      <w:proofErr w:type="spellStart"/>
      <w:r w:rsidR="008208A0" w:rsidRPr="008208A0">
        <w:rPr>
          <w:i/>
          <w:highlight w:val="white"/>
        </w:rPr>
        <w:t>Kiswah</w:t>
      </w:r>
      <w:proofErr w:type="spellEnd"/>
      <w:r w:rsidR="008208A0">
        <w:rPr>
          <w:i/>
          <w:highlight w:val="white"/>
        </w:rPr>
        <w:t xml:space="preserve"> </w:t>
      </w:r>
      <w:r w:rsidR="008208A0">
        <w:rPr>
          <w:highlight w:val="white"/>
        </w:rPr>
        <w:t xml:space="preserve">is made every year, with the tradition stretching back before the </w:t>
      </w:r>
      <w:r w:rsidR="008208A0">
        <w:rPr>
          <w:highlight w:val="white"/>
        </w:rPr>
        <w:lastRenderedPageBreak/>
        <w:t xml:space="preserve">time of the industrial revolution. </w:t>
      </w:r>
      <w:proofErr w:type="gramStart"/>
      <w:r w:rsidR="008208A0">
        <w:rPr>
          <w:highlight w:val="white"/>
        </w:rPr>
        <w:t>So</w:t>
      </w:r>
      <w:proofErr w:type="gramEnd"/>
      <w:r w:rsidR="008208A0">
        <w:rPr>
          <w:highlight w:val="white"/>
        </w:rPr>
        <w:t xml:space="preserve"> in order to have a new </w:t>
      </w:r>
      <w:proofErr w:type="spellStart"/>
      <w:r w:rsidR="008208A0">
        <w:rPr>
          <w:i/>
          <w:highlight w:val="white"/>
        </w:rPr>
        <w:t>Kiswah</w:t>
      </w:r>
      <w:proofErr w:type="spellEnd"/>
      <w:r w:rsidR="008208A0">
        <w:rPr>
          <w:i/>
          <w:highlight w:val="white"/>
        </w:rPr>
        <w:t xml:space="preserve"> </w:t>
      </w:r>
      <w:r w:rsidR="008208A0" w:rsidRPr="008208A0">
        <w:rPr>
          <w:highlight w:val="white"/>
        </w:rPr>
        <w:t>with the Quranic inscriptions embroidered on it every</w:t>
      </w:r>
      <w:r w:rsidR="008208A0">
        <w:rPr>
          <w:highlight w:val="white"/>
        </w:rPr>
        <w:t xml:space="preserve"> </w:t>
      </w:r>
      <w:r w:rsidR="008208A0" w:rsidRPr="008208A0">
        <w:rPr>
          <w:highlight w:val="white"/>
        </w:rPr>
        <w:t>year shows us the esteem to which the Islamic people</w:t>
      </w:r>
      <w:r w:rsidR="008208A0">
        <w:rPr>
          <w:highlight w:val="white"/>
        </w:rPr>
        <w:t xml:space="preserve"> hold Arabic script.</w:t>
      </w:r>
      <w:r w:rsidR="00D62194">
        <w:rPr>
          <w:highlight w:val="white"/>
        </w:rPr>
        <w:t xml:space="preserve"> Objects that are made from expensive materials, will most of the time have inscriptions that name the patron or the user who commissioned the objects. An example of this would be a candlestick that was donated to the mosque of the citadel of Damascus</w:t>
      </w:r>
      <w:r w:rsidR="0038068B">
        <w:rPr>
          <w:highlight w:val="white"/>
        </w:rPr>
        <w:t xml:space="preserve"> (Figure 3)</w:t>
      </w:r>
      <w:r w:rsidR="00D62194">
        <w:rPr>
          <w:highlight w:val="white"/>
        </w:rPr>
        <w:t xml:space="preserve"> as the </w:t>
      </w:r>
      <w:r w:rsidR="00EE7DEA">
        <w:rPr>
          <w:highlight w:val="white"/>
        </w:rPr>
        <w:t>inscription on</w:t>
      </w:r>
      <w:r w:rsidR="00D62194">
        <w:rPr>
          <w:highlight w:val="white"/>
        </w:rPr>
        <w:t xml:space="preserve"> the candlestick</w:t>
      </w:r>
      <w:r w:rsidR="00EE7DEA">
        <w:rPr>
          <w:highlight w:val="white"/>
        </w:rPr>
        <w:t xml:space="preserve">, written in </w:t>
      </w:r>
      <w:proofErr w:type="spellStart"/>
      <w:r w:rsidR="00EE7DEA">
        <w:rPr>
          <w:highlight w:val="white"/>
        </w:rPr>
        <w:t>Naskhi</w:t>
      </w:r>
      <w:proofErr w:type="spellEnd"/>
      <w:r w:rsidR="00EE7DEA">
        <w:rPr>
          <w:highlight w:val="white"/>
        </w:rPr>
        <w:t>,</w:t>
      </w:r>
      <w:r w:rsidR="00D62194">
        <w:rPr>
          <w:highlight w:val="white"/>
        </w:rPr>
        <w:t xml:space="preserve"> “lists the names and titles of the Patron: Jani Bey” (Calligraphy in the Arab and Islamic world, 1999: 59)</w:t>
      </w:r>
      <w:r w:rsidR="008208A0">
        <w:rPr>
          <w:highlight w:val="white"/>
        </w:rPr>
        <w:t xml:space="preserve">. </w:t>
      </w:r>
      <w:r w:rsidR="00EE7DEA">
        <w:rPr>
          <w:highlight w:val="white"/>
        </w:rPr>
        <w:t xml:space="preserve">This shows us that some within the Islamic community felt the need to mark objects as theirs or to show how generous they could be and the best way to do this was through inscriptions.  </w:t>
      </w:r>
    </w:p>
    <w:p w:rsidR="00EE7DEA" w:rsidRDefault="00EE7DEA">
      <w:pPr>
        <w:rPr>
          <w:highlight w:val="white"/>
        </w:rPr>
      </w:pPr>
    </w:p>
    <w:p w:rsidR="003219E4" w:rsidRDefault="00A90DF0">
      <w:pPr>
        <w:rPr>
          <w:highlight w:val="white"/>
        </w:rPr>
      </w:pPr>
      <w:r>
        <w:rPr>
          <w:noProof/>
        </w:rPr>
        <w:drawing>
          <wp:anchor distT="0" distB="0" distL="114300" distR="114300" simplePos="0" relativeHeight="251680256" behindDoc="1" locked="0" layoutInCell="1" allowOverlap="1">
            <wp:simplePos x="0" y="0"/>
            <wp:positionH relativeFrom="column">
              <wp:posOffset>3314700</wp:posOffset>
            </wp:positionH>
            <wp:positionV relativeFrom="paragraph">
              <wp:posOffset>42545</wp:posOffset>
            </wp:positionV>
            <wp:extent cx="2419350" cy="1986280"/>
            <wp:effectExtent l="0" t="0" r="0" b="0"/>
            <wp:wrapTight wrapText="bothSides">
              <wp:wrapPolygon edited="0">
                <wp:start x="0" y="0"/>
                <wp:lineTo x="0" y="21338"/>
                <wp:lineTo x="21430" y="21338"/>
                <wp:lineTo x="21430" y="0"/>
                <wp:lineTo x="0" y="0"/>
              </wp:wrapPolygon>
            </wp:wrapTight>
            <wp:docPr id="6" name="Picture 6" descr="A picture containing animal, invertebrate, tabl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g 4 this.jpeg"/>
                    <pic:cNvPicPr/>
                  </pic:nvPicPr>
                  <pic:blipFill rotWithShape="1">
                    <a:blip r:embed="rId10" cstate="print">
                      <a:extLst>
                        <a:ext uri="{28A0092B-C50C-407E-A947-70E740481C1C}">
                          <a14:useLocalDpi xmlns:a14="http://schemas.microsoft.com/office/drawing/2010/main" val="0"/>
                        </a:ext>
                      </a:extLst>
                    </a:blip>
                    <a:srcRect l="2658" t="41975"/>
                    <a:stretch/>
                  </pic:blipFill>
                  <pic:spPr bwMode="auto">
                    <a:xfrm>
                      <a:off x="0" y="0"/>
                      <a:ext cx="2419350" cy="1986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31604">
        <w:rPr>
          <w:noProof/>
        </w:rPr>
        <w:drawing>
          <wp:anchor distT="0" distB="0" distL="114300" distR="114300" simplePos="0" relativeHeight="251691520" behindDoc="1" locked="0" layoutInCell="1" allowOverlap="1">
            <wp:simplePos x="0" y="0"/>
            <wp:positionH relativeFrom="column">
              <wp:posOffset>0</wp:posOffset>
            </wp:positionH>
            <wp:positionV relativeFrom="paragraph">
              <wp:posOffset>3315335</wp:posOffset>
            </wp:positionV>
            <wp:extent cx="1578610" cy="2876550"/>
            <wp:effectExtent l="0" t="0" r="2540" b="0"/>
            <wp:wrapTight wrapText="bothSides">
              <wp:wrapPolygon edited="0">
                <wp:start x="0" y="0"/>
                <wp:lineTo x="0" y="21457"/>
                <wp:lineTo x="21374" y="21457"/>
                <wp:lineTo x="21374" y="0"/>
                <wp:lineTo x="0" y="0"/>
              </wp:wrapPolygon>
            </wp:wrapTight>
            <wp:docPr id="8" name="Picture 8" descr="A close up of a coi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g 5 this.jpeg"/>
                    <pic:cNvPicPr/>
                  </pic:nvPicPr>
                  <pic:blipFill rotWithShape="1">
                    <a:blip r:embed="rId11" cstate="print">
                      <a:extLst>
                        <a:ext uri="{28A0092B-C50C-407E-A947-70E740481C1C}">
                          <a14:useLocalDpi xmlns:a14="http://schemas.microsoft.com/office/drawing/2010/main" val="0"/>
                        </a:ext>
                      </a:extLst>
                    </a:blip>
                    <a:srcRect l="13230" t="3985" r="18474"/>
                    <a:stretch/>
                  </pic:blipFill>
                  <pic:spPr bwMode="auto">
                    <a:xfrm>
                      <a:off x="0" y="0"/>
                      <a:ext cx="1578610" cy="2876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31604" w:rsidRPr="00D31604">
        <w:rPr>
          <w:noProof/>
          <w:highlight w:val="white"/>
        </w:rPr>
        <mc:AlternateContent>
          <mc:Choice Requires="wps">
            <w:drawing>
              <wp:anchor distT="45720" distB="45720" distL="114300" distR="114300" simplePos="0" relativeHeight="251684352" behindDoc="0" locked="0" layoutInCell="1" allowOverlap="1">
                <wp:simplePos x="0" y="0"/>
                <wp:positionH relativeFrom="column">
                  <wp:posOffset>3324225</wp:posOffset>
                </wp:positionH>
                <wp:positionV relativeFrom="paragraph">
                  <wp:posOffset>2029460</wp:posOffset>
                </wp:positionV>
                <wp:extent cx="2385060" cy="1404620"/>
                <wp:effectExtent l="0" t="0" r="15240" b="1778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5060" cy="1404620"/>
                        </a:xfrm>
                        <a:prstGeom prst="rect">
                          <a:avLst/>
                        </a:prstGeom>
                        <a:solidFill>
                          <a:srgbClr val="FFFFFF"/>
                        </a:solidFill>
                        <a:ln w="9525">
                          <a:solidFill>
                            <a:srgbClr val="000000"/>
                          </a:solidFill>
                          <a:miter lim="800000"/>
                          <a:headEnd/>
                          <a:tailEnd/>
                        </a:ln>
                      </wps:spPr>
                      <wps:txbx>
                        <w:txbxContent>
                          <w:p w:rsidR="00D31604" w:rsidRDefault="00D31604" w:rsidP="00D31604">
                            <w:pPr>
                              <w:jc w:val="center"/>
                            </w:pPr>
                            <w:r>
                              <w:t>Figure 4: Food Container, 12</w:t>
                            </w:r>
                            <w:r w:rsidRPr="00D31604">
                              <w:rPr>
                                <w:vertAlign w:val="superscript"/>
                              </w:rPr>
                              <w:t>th</w:t>
                            </w:r>
                            <w:r>
                              <w:t xml:space="preserve"> century, Seljuk, Iran. </w:t>
                            </w:r>
                            <w:r>
                              <w:rPr>
                                <w:highlight w:val="white"/>
                              </w:rPr>
                              <w:t>(Calligraphy in the Arab and Islamic world, 1999: 40)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261.75pt;margin-top:159.8pt;width:187.8pt;height:110.6pt;z-index:251684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">
                <v:textbox style="mso-fit-shape-to-text:t">
                  <w:txbxContent>
                    <w:p w:rsidR="00D31604" w:rsidRDefault="00D31604" w:rsidP="00D31604">
                      <w:pPr>
                        <w:jc w:val="center"/>
                      </w:pPr>
                      <w:r>
                        <w:t>Figure 4: Food Container, 12</w:t>
                      </w:r>
                      <w:r w:rsidRPr="00D31604">
                        <w:rPr>
                          <w:vertAlign w:val="superscript"/>
                        </w:rPr>
                        <w:t>th</w:t>
                      </w:r>
                      <w:r>
                        <w:t xml:space="preserve"> century, Seljuk, Iran. </w:t>
                      </w:r>
                      <w:r>
                        <w:rPr>
                          <w:highlight w:val="white"/>
                        </w:rPr>
                        <w:t xml:space="preserve">(Calligraphy in the Arab and Islamic world, 1999: </w:t>
                      </w:r>
                      <w:r>
                        <w:rPr>
                          <w:highlight w:val="white"/>
                        </w:rPr>
                        <w:t>40)</w:t>
                      </w:r>
                    </w:p>
                  </w:txbxContent>
                </v:textbox>
                <w10:wrap type="square"/>
              </v:shape>
            </w:pict>
          </mc:Fallback>
        </mc:AlternateContent>
      </w:r>
      <w:r w:rsidR="00066DF7">
        <w:rPr>
          <w:highlight w:val="white"/>
        </w:rPr>
        <w:t>In the realm of the everyday it can be possible to deduce the significance of the Arabic script</w:t>
      </w:r>
      <w:r w:rsidR="00BC4CF5">
        <w:rPr>
          <w:highlight w:val="white"/>
        </w:rPr>
        <w:t xml:space="preserve"> within art, through its use within everyday objects such as food containers and coinage. When it comes to food containers, an example would be one that can be found within the Bassem Hajj Ali collection in Beirut. This 12</w:t>
      </w:r>
      <w:r w:rsidR="00BC4CF5" w:rsidRPr="00BC4CF5">
        <w:rPr>
          <w:highlight w:val="white"/>
          <w:vertAlign w:val="superscript"/>
        </w:rPr>
        <w:t>th</w:t>
      </w:r>
      <w:r w:rsidR="00BC4CF5">
        <w:rPr>
          <w:highlight w:val="white"/>
        </w:rPr>
        <w:t xml:space="preserve"> century object, which ca</w:t>
      </w:r>
      <w:r w:rsidR="0038068B">
        <w:rPr>
          <w:highlight w:val="white"/>
        </w:rPr>
        <w:t>n be seen in figure 4</w:t>
      </w:r>
      <w:r w:rsidR="00BC4CF5">
        <w:rPr>
          <w:highlight w:val="white"/>
        </w:rPr>
        <w:t>, is engraved with pseudo Kufic, which is an imitation of the calligraphic style Kufic which is thought to be “the oldest of the Arabic scripts</w:t>
      </w:r>
      <w:bookmarkStart w:id="1" w:name="_Hlk506325101"/>
      <w:r w:rsidR="00BC4CF5">
        <w:rPr>
          <w:highlight w:val="white"/>
        </w:rPr>
        <w:t>” (Calligraphy in the Arab and Islamic world, 1999: 39</w:t>
      </w:r>
      <w:bookmarkEnd w:id="1"/>
      <w:r w:rsidR="00BC4CF5">
        <w:rPr>
          <w:highlight w:val="white"/>
        </w:rPr>
        <w:t>). We are told that from the times of the Umayyad’s Islamic coins “have been decorated exclusively with writing” (Esposito, 1999: 223</w:t>
      </w:r>
      <w:r w:rsidR="003219E4">
        <w:rPr>
          <w:highlight w:val="white"/>
        </w:rPr>
        <w:t>), an example can be seen in figure</w:t>
      </w:r>
      <w:r w:rsidR="0038068B">
        <w:rPr>
          <w:highlight w:val="white"/>
        </w:rPr>
        <w:t xml:space="preserve"> 5</w:t>
      </w:r>
      <w:r w:rsidR="003219E4">
        <w:rPr>
          <w:highlight w:val="white"/>
        </w:rPr>
        <w:t xml:space="preserve">. Normally, on the front side of the dinar you can see that the centre is filled with a profession of faith that could possibly continue around the edge, with the rest of the space being filled with a verse from the Quran. On the other side of the dinar, it is </w:t>
      </w:r>
      <w:proofErr w:type="gramStart"/>
      <w:r w:rsidR="003219E4">
        <w:rPr>
          <w:highlight w:val="white"/>
        </w:rPr>
        <w:t>not uncommon</w:t>
      </w:r>
      <w:proofErr w:type="gramEnd"/>
      <w:r w:rsidR="003219E4">
        <w:rPr>
          <w:highlight w:val="white"/>
        </w:rPr>
        <w:t xml:space="preserve"> for the centre to be filled with a Quranic verse while the edge contains “the invocation, mint and date”</w:t>
      </w:r>
      <w:r w:rsidR="003219E4" w:rsidRPr="003219E4">
        <w:rPr>
          <w:highlight w:val="white"/>
        </w:rPr>
        <w:t xml:space="preserve"> </w:t>
      </w:r>
      <w:r w:rsidR="003219E4">
        <w:rPr>
          <w:highlight w:val="white"/>
        </w:rPr>
        <w:t xml:space="preserve">(Esposito, 1999: 224). These everyday objects that contain Arabic script illustrate to us its significance within not only art but within everyday life. These inscriptions are constantly seen, which in a way could </w:t>
      </w:r>
      <w:proofErr w:type="gramStart"/>
      <w:r w:rsidR="003219E4">
        <w:rPr>
          <w:highlight w:val="white"/>
        </w:rPr>
        <w:t>be seen as</w:t>
      </w:r>
      <w:proofErr w:type="gramEnd"/>
      <w:r w:rsidR="003219E4">
        <w:rPr>
          <w:highlight w:val="white"/>
        </w:rPr>
        <w:t xml:space="preserve"> the intent of the calligraphers, especially with those objects that contain Quranic text. </w:t>
      </w:r>
    </w:p>
    <w:p w:rsidR="003219E4" w:rsidRDefault="003219E4">
      <w:pPr>
        <w:rPr>
          <w:highlight w:val="white"/>
        </w:rPr>
      </w:pPr>
    </w:p>
    <w:p w:rsidR="003219E4" w:rsidRDefault="00A90DF0">
      <w:pPr>
        <w:rPr>
          <w:highlight w:val="white"/>
        </w:rPr>
      </w:pPr>
      <w:r w:rsidRPr="00D31604">
        <w:rPr>
          <w:noProof/>
          <w:highlight w:val="white"/>
        </w:rPr>
        <mc:AlternateContent>
          <mc:Choice Requires="wps">
            <w:drawing>
              <wp:anchor distT="45720" distB="45720" distL="114300" distR="114300" simplePos="0" relativeHeight="251692544" behindDoc="0" locked="0" layoutInCell="1" allowOverlap="1">
                <wp:simplePos x="0" y="0"/>
                <wp:positionH relativeFrom="column">
                  <wp:posOffset>-1675765</wp:posOffset>
                </wp:positionH>
                <wp:positionV relativeFrom="paragraph">
                  <wp:posOffset>1197610</wp:posOffset>
                </wp:positionV>
                <wp:extent cx="2228850" cy="69532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850" cy="695325"/>
                        </a:xfrm>
                        <a:prstGeom prst="rect">
                          <a:avLst/>
                        </a:prstGeom>
                        <a:solidFill>
                          <a:srgbClr val="FFFFFF"/>
                        </a:solidFill>
                        <a:ln w="9525">
                          <a:solidFill>
                            <a:srgbClr val="000000"/>
                          </a:solidFill>
                          <a:miter lim="800000"/>
                          <a:headEnd/>
                          <a:tailEnd/>
                        </a:ln>
                      </wps:spPr>
                      <wps:txbx>
                        <w:txbxContent>
                          <w:p w:rsidR="00D31604" w:rsidRDefault="00D31604" w:rsidP="00A90DF0">
                            <w:pPr>
                              <w:jc w:val="center"/>
                            </w:pPr>
                            <w:r>
                              <w:t>Figure 5: Gold Dina</w:t>
                            </w:r>
                            <w:r w:rsidR="00A90DF0">
                              <w:t xml:space="preserve">r, minted for the Umayyad caliph Abd al-Malik in 696. </w:t>
                            </w:r>
                            <w:r w:rsidR="00A90DF0">
                              <w:rPr>
                                <w:highlight w:val="white"/>
                              </w:rPr>
                              <w:t>(Esposito, 1999: 223)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31.95pt;margin-top:94.3pt;width:175.5pt;height:54.75pt;z-index:251692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">
                <v:textbox>
                  <w:txbxContent>
                    <w:p w:rsidR="00D31604" w:rsidRDefault="00D31604" w:rsidP="00A90DF0">
                      <w:pPr>
                        <w:jc w:val="center"/>
                      </w:pPr>
                      <w:r>
                        <w:t>Figure 5: Gold Dina</w:t>
                      </w:r>
                      <w:r w:rsidR="00A90DF0">
                        <w:t xml:space="preserve">r, minted for the Umayyad caliph Abd al-Malik in 696. </w:t>
                      </w:r>
                      <w:r w:rsidR="00A90DF0">
                        <w:rPr>
                          <w:highlight w:val="white"/>
                        </w:rPr>
                        <w:t>(Esposito, 1999: 223</w:t>
                      </w:r>
                      <w:r w:rsidR="00A90DF0">
                        <w:rPr>
                          <w:highlight w:val="white"/>
                        </w:rPr>
                        <w:t>)</w:t>
                      </w:r>
                    </w:p>
                  </w:txbxContent>
                </v:textbox>
                <w10:wrap type="square"/>
              </v:shape>
            </w:pict>
          </mc:Fallback>
        </mc:AlternateContent>
      </w:r>
      <w:r w:rsidR="003219E4">
        <w:rPr>
          <w:highlight w:val="white"/>
        </w:rPr>
        <w:t>The Arabic script has even moved beyond those small objects to become a part of more grandeur works of art and architecture. The earliest of which would be the Dome of the Rock in Jerusalem</w:t>
      </w:r>
      <w:r w:rsidR="0038068B">
        <w:rPr>
          <w:highlight w:val="white"/>
        </w:rPr>
        <w:t xml:space="preserve"> (Figure 6)</w:t>
      </w:r>
      <w:r w:rsidR="003219E4">
        <w:rPr>
          <w:highlight w:val="white"/>
        </w:rPr>
        <w:t>, which as Esposito claims, “shows a sophisticated use of inscriptions executed in glass mosaic” (Esposito, 1999: 226). Although the mosaics on the outside were replaced in the 16</w:t>
      </w:r>
      <w:r w:rsidR="003219E4" w:rsidRPr="003219E4">
        <w:rPr>
          <w:highlight w:val="white"/>
          <w:vertAlign w:val="superscript"/>
        </w:rPr>
        <w:t>th</w:t>
      </w:r>
      <w:r w:rsidR="003219E4">
        <w:rPr>
          <w:highlight w:val="white"/>
        </w:rPr>
        <w:t xml:space="preserve"> century, the interior has preserved the original mosaics</w:t>
      </w:r>
      <w:r w:rsidR="003F2778">
        <w:rPr>
          <w:highlight w:val="white"/>
        </w:rPr>
        <w:t xml:space="preserve">, which are the most lavish to have survived from ancient or medieval times. There are two long bands of inscription that are written in </w:t>
      </w:r>
      <w:r w:rsidR="003F2778">
        <w:rPr>
          <w:highlight w:val="white"/>
        </w:rPr>
        <w:lastRenderedPageBreak/>
        <w:t xml:space="preserve">gold letters on a blue background that encircles the </w:t>
      </w:r>
      <w:r>
        <w:rPr>
          <w:noProof/>
        </w:rPr>
        <w:drawing>
          <wp:anchor distT="0" distB="0" distL="114300" distR="114300" simplePos="0" relativeHeight="251698688" behindDoc="1" locked="0" layoutInCell="1" allowOverlap="1">
            <wp:simplePos x="0" y="0"/>
            <wp:positionH relativeFrom="column">
              <wp:posOffset>2933700</wp:posOffset>
            </wp:positionH>
            <wp:positionV relativeFrom="paragraph">
              <wp:posOffset>0</wp:posOffset>
            </wp:positionV>
            <wp:extent cx="2801620" cy="2105025"/>
            <wp:effectExtent l="0" t="0" r="0" b="9525"/>
            <wp:wrapTight wrapText="bothSides">
              <wp:wrapPolygon edited="0">
                <wp:start x="0" y="0"/>
                <wp:lineTo x="0" y="21502"/>
                <wp:lineTo x="21443" y="21502"/>
                <wp:lineTo x="21443" y="0"/>
                <wp:lineTo x="0" y="0"/>
              </wp:wrapPolygon>
            </wp:wrapTight>
            <wp:docPr id="10" name="Picture 10" descr="A close up of an old building&#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ig 6 this.jpeg"/>
                    <pic:cNvPicPr/>
                  </pic:nvPicPr>
                  <pic:blipFill rotWithShape="1">
                    <a:blip r:embed="rId12" cstate="print">
                      <a:extLst>
                        <a:ext uri="{28A0092B-C50C-407E-A947-70E740481C1C}">
                          <a14:useLocalDpi xmlns:a14="http://schemas.microsoft.com/office/drawing/2010/main" val="0"/>
                        </a:ext>
                      </a:extLst>
                    </a:blip>
                    <a:srcRect t="26504" b="19376"/>
                    <a:stretch/>
                  </pic:blipFill>
                  <pic:spPr bwMode="auto">
                    <a:xfrm>
                      <a:off x="0" y="0"/>
                      <a:ext cx="2801620" cy="2105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F2778">
        <w:rPr>
          <w:highlight w:val="white"/>
        </w:rPr>
        <w:t xml:space="preserve">octagonal </w:t>
      </w:r>
      <w:r>
        <w:rPr>
          <w:highlight w:val="white"/>
        </w:rPr>
        <w:t>arcade and</w:t>
      </w:r>
      <w:r w:rsidR="003F2778">
        <w:rPr>
          <w:highlight w:val="white"/>
        </w:rPr>
        <w:t xml:space="preserve"> are pious and Quranic in nature. </w:t>
      </w:r>
      <w:r>
        <w:rPr>
          <w:highlight w:val="white"/>
        </w:rPr>
        <w:t>Again,</w:t>
      </w:r>
      <w:r w:rsidR="003F2778">
        <w:rPr>
          <w:highlight w:val="white"/>
        </w:rPr>
        <w:t xml:space="preserve"> as they are written in Arabic script this highlights the scripts importance within Islamic art and architecture, as it is presented within one of Islam’s holiest places. Not only does the Arabic script hold significance within past Islamic art and architecture, it also holds importance within the modern sphere, as they are prominent within the mosque that </w:t>
      </w:r>
      <w:r w:rsidR="003F03A4">
        <w:rPr>
          <w:highlight w:val="white"/>
        </w:rPr>
        <w:t xml:space="preserve">was </w:t>
      </w:r>
      <w:r w:rsidR="003F2778">
        <w:rPr>
          <w:highlight w:val="white"/>
        </w:rPr>
        <w:t xml:space="preserve">“erected in 1984 at </w:t>
      </w:r>
      <w:r w:rsidRPr="00A90DF0">
        <w:rPr>
          <w:noProof/>
          <w:highlight w:val="white"/>
        </w:rPr>
        <mc:AlternateContent>
          <mc:Choice Requires="wps">
            <w:drawing>
              <wp:anchor distT="45720" distB="45720" distL="114300" distR="114300" simplePos="0" relativeHeight="251701760" behindDoc="0" locked="0" layoutInCell="1" allowOverlap="1">
                <wp:simplePos x="0" y="0"/>
                <wp:positionH relativeFrom="column">
                  <wp:posOffset>2952750</wp:posOffset>
                </wp:positionH>
                <wp:positionV relativeFrom="paragraph">
                  <wp:posOffset>2105025</wp:posOffset>
                </wp:positionV>
                <wp:extent cx="2752725" cy="1404620"/>
                <wp:effectExtent l="0" t="0" r="28575" b="2540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2725" cy="1404620"/>
                        </a:xfrm>
                        <a:prstGeom prst="rect">
                          <a:avLst/>
                        </a:prstGeom>
                        <a:solidFill>
                          <a:srgbClr val="FFFFFF"/>
                        </a:solidFill>
                        <a:ln w="9525">
                          <a:solidFill>
                            <a:srgbClr val="000000"/>
                          </a:solidFill>
                          <a:miter lim="800000"/>
                          <a:headEnd/>
                          <a:tailEnd/>
                        </a:ln>
                      </wps:spPr>
                      <wps:txbx>
                        <w:txbxContent>
                          <w:p w:rsidR="00A90DF0" w:rsidRDefault="00A90DF0" w:rsidP="00A90DF0">
                            <w:pPr>
                              <w:jc w:val="center"/>
                            </w:pPr>
                            <w:r>
                              <w:t>Figure 6: Dome of the Rock, Jerusalem. (</w:t>
                            </w:r>
                            <w:r>
                              <w:rPr>
                                <w:highlight w:val="white"/>
                              </w:rPr>
                              <w:t>Esposito, 1999: 226).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margin-left:232.5pt;margin-top:165.75pt;width:216.75pt;height:110.6pt;z-index:2517017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">
                <v:textbox style="mso-fit-shape-to-text:t">
                  <w:txbxContent>
                    <w:p w:rsidR="00A90DF0" w:rsidRDefault="00A90DF0" w:rsidP="00A90DF0">
                      <w:pPr>
                        <w:jc w:val="center"/>
                      </w:pPr>
                      <w:r>
                        <w:t>Figure 6: Dome of the Rock, Jerusalem. (</w:t>
                      </w:r>
                      <w:r>
                        <w:rPr>
                          <w:highlight w:val="white"/>
                        </w:rPr>
                        <w:t>Esposito, 1999: 226).</w:t>
                      </w:r>
                    </w:p>
                  </w:txbxContent>
                </v:textbox>
                <w10:wrap type="square"/>
              </v:shape>
            </w:pict>
          </mc:Fallback>
        </mc:AlternateContent>
      </w:r>
      <w:r w:rsidR="003F2778">
        <w:rPr>
          <w:highlight w:val="white"/>
        </w:rPr>
        <w:t>King Khalid International Airport in Riyadh, Saudi Arabia” (Esposito, 1999: 227)</w:t>
      </w:r>
      <w:r w:rsidR="0038068B">
        <w:rPr>
          <w:highlight w:val="white"/>
        </w:rPr>
        <w:t xml:space="preserve"> as seen in figure 7</w:t>
      </w:r>
      <w:r w:rsidR="003F2778">
        <w:rPr>
          <w:highlight w:val="white"/>
        </w:rPr>
        <w:t xml:space="preserve">. </w:t>
      </w:r>
      <w:proofErr w:type="gramStart"/>
      <w:r w:rsidR="003F2778">
        <w:rPr>
          <w:highlight w:val="white"/>
        </w:rPr>
        <w:t>Similar to</w:t>
      </w:r>
      <w:proofErr w:type="gramEnd"/>
      <w:r w:rsidR="003F2778">
        <w:rPr>
          <w:highlight w:val="white"/>
        </w:rPr>
        <w:t xml:space="preserve"> the </w:t>
      </w:r>
      <w:r w:rsidR="0038068B">
        <w:rPr>
          <w:highlight w:val="white"/>
        </w:rPr>
        <w:t xml:space="preserve">Dome of the Rock the text is inscribed in a large band that encircles the dome’s base, </w:t>
      </w:r>
      <w:r>
        <w:rPr>
          <w:noProof/>
        </w:rPr>
        <w:drawing>
          <wp:anchor distT="0" distB="0" distL="114300" distR="114300" simplePos="0" relativeHeight="251704832" behindDoc="1" locked="0" layoutInCell="1" allowOverlap="1">
            <wp:simplePos x="0" y="0"/>
            <wp:positionH relativeFrom="column">
              <wp:posOffset>0</wp:posOffset>
            </wp:positionH>
            <wp:positionV relativeFrom="paragraph">
              <wp:posOffset>3028950</wp:posOffset>
            </wp:positionV>
            <wp:extent cx="2141855" cy="2085975"/>
            <wp:effectExtent l="0" t="0" r="0" b="9525"/>
            <wp:wrapTight wrapText="bothSides">
              <wp:wrapPolygon edited="0">
                <wp:start x="0" y="0"/>
                <wp:lineTo x="0" y="21501"/>
                <wp:lineTo x="21325" y="21501"/>
                <wp:lineTo x="2132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ig 7 this.jpeg"/>
                    <pic:cNvPicPr/>
                  </pic:nvPicPr>
                  <pic:blipFill rotWithShape="1">
                    <a:blip r:embed="rId13" cstate="print">
                      <a:extLst>
                        <a:ext uri="{28A0092B-C50C-407E-A947-70E740481C1C}">
                          <a14:useLocalDpi xmlns:a14="http://schemas.microsoft.com/office/drawing/2010/main" val="0"/>
                        </a:ext>
                      </a:extLst>
                    </a:blip>
                    <a:srcRect l="6210" t="18041" r="3607" b="18170"/>
                    <a:stretch/>
                  </pic:blipFill>
                  <pic:spPr bwMode="auto">
                    <a:xfrm>
                      <a:off x="0" y="0"/>
                      <a:ext cx="2141855" cy="2085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8068B">
        <w:rPr>
          <w:highlight w:val="white"/>
        </w:rPr>
        <w:t xml:space="preserve">however the script “is entirely from the Quran” (Esposito, 1999: 227). Although the verses end with a statement that those who are more generous towards pious works will be rewarded. The emphasis of the writing within the large band </w:t>
      </w:r>
      <w:proofErr w:type="gramStart"/>
      <w:r w:rsidR="0038068B">
        <w:rPr>
          <w:highlight w:val="white"/>
        </w:rPr>
        <w:t>in itself can</w:t>
      </w:r>
      <w:proofErr w:type="gramEnd"/>
      <w:r w:rsidR="0038068B">
        <w:rPr>
          <w:highlight w:val="white"/>
        </w:rPr>
        <w:t xml:space="preserve"> illustrate its importance, however the statement at the end could be referring to the “motives of the patron in founding the mosque” (Esposito, 1999: 227), and the need to be presented as generous within the written record. </w:t>
      </w:r>
    </w:p>
    <w:p w:rsidR="006318BC" w:rsidRDefault="006318BC">
      <w:pPr>
        <w:rPr>
          <w:highlight w:val="white"/>
        </w:rPr>
      </w:pPr>
    </w:p>
    <w:p w:rsidR="006318BC" w:rsidRDefault="00A90DF0">
      <w:pPr>
        <w:rPr>
          <w:highlight w:val="white"/>
        </w:rPr>
      </w:pPr>
      <w:r w:rsidRPr="00A90DF0">
        <w:rPr>
          <w:noProof/>
          <w:highlight w:val="white"/>
        </w:rPr>
        <mc:AlternateContent>
          <mc:Choice Requires="wps">
            <w:drawing>
              <wp:anchor distT="45720" distB="45720" distL="114300" distR="114300" simplePos="0" relativeHeight="251706880" behindDoc="0" locked="0" layoutInCell="1" allowOverlap="1">
                <wp:simplePos x="0" y="0"/>
                <wp:positionH relativeFrom="column">
                  <wp:posOffset>-2228850</wp:posOffset>
                </wp:positionH>
                <wp:positionV relativeFrom="paragraph">
                  <wp:posOffset>598805</wp:posOffset>
                </wp:positionV>
                <wp:extent cx="2152650" cy="1404620"/>
                <wp:effectExtent l="0" t="0" r="19050" b="1778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1404620"/>
                        </a:xfrm>
                        <a:prstGeom prst="rect">
                          <a:avLst/>
                        </a:prstGeom>
                        <a:solidFill>
                          <a:srgbClr val="FFFFFF"/>
                        </a:solidFill>
                        <a:ln w="9525">
                          <a:solidFill>
                            <a:srgbClr val="000000"/>
                          </a:solidFill>
                          <a:miter lim="800000"/>
                          <a:headEnd/>
                          <a:tailEnd/>
                        </a:ln>
                      </wps:spPr>
                      <wps:txbx>
                        <w:txbxContent>
                          <w:p w:rsidR="00A90DF0" w:rsidRDefault="00A90DF0" w:rsidP="00A90DF0">
                            <w:pPr>
                              <w:jc w:val="center"/>
                            </w:pPr>
                            <w:r>
                              <w:t>Figure 7: The Dome of the mosque of King Khalid International Airport, Saudi Arabic. (</w:t>
                            </w:r>
                            <w:r>
                              <w:rPr>
                                <w:highlight w:val="white"/>
                              </w:rPr>
                              <w:t>Esposito, 1999: 227).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2" type="#_x0000_t202" style="position:absolute;margin-left:-175.5pt;margin-top:47.15pt;width:169.5pt;height:110.6pt;z-index:2517068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">
                <v:textbox style="mso-fit-shape-to-text:t">
                  <w:txbxContent>
                    <w:p w:rsidR="00A90DF0" w:rsidRDefault="00A90DF0" w:rsidP="00A90DF0">
                      <w:pPr>
                        <w:jc w:val="center"/>
                      </w:pPr>
                      <w:r>
                        <w:t>Figure 7: The Dome of the mosque of King Khalid International Airport, Saudi Arabic. (</w:t>
                      </w:r>
                      <w:r>
                        <w:rPr>
                          <w:highlight w:val="white"/>
                        </w:rPr>
                        <w:t>Esposito, 1999: 22</w:t>
                      </w:r>
                      <w:r>
                        <w:rPr>
                          <w:highlight w:val="white"/>
                        </w:rPr>
                        <w:t>7).</w:t>
                      </w:r>
                    </w:p>
                  </w:txbxContent>
                </v:textbox>
                <w10:wrap type="square"/>
              </v:shape>
            </w:pict>
          </mc:Fallback>
        </mc:AlternateContent>
      </w:r>
      <w:r w:rsidR="006318BC">
        <w:rPr>
          <w:highlight w:val="white"/>
        </w:rPr>
        <w:t>To conclude, as you can see there are many ways in which to interpret the importance of Arabic script within Islamic art and architecture, and I have only highlighted a few. Within the religious sphere it is illustrated through its use in the writing of the Quran, and the verses that highlight the importance of writing through the two angels. Moreover, the use of Arabic script in writing the Quranic v</w:t>
      </w:r>
      <w:r w:rsidR="00CF5075">
        <w:rPr>
          <w:highlight w:val="white"/>
        </w:rPr>
        <w:t xml:space="preserve">erses on the </w:t>
      </w:r>
      <w:proofErr w:type="spellStart"/>
      <w:r w:rsidR="00CF5075">
        <w:rPr>
          <w:i/>
          <w:highlight w:val="white"/>
        </w:rPr>
        <w:t>Kiswah</w:t>
      </w:r>
      <w:proofErr w:type="spellEnd"/>
      <w:r w:rsidR="006318BC">
        <w:rPr>
          <w:highlight w:val="white"/>
        </w:rPr>
        <w:t>, that</w:t>
      </w:r>
      <w:r w:rsidR="00CF5075">
        <w:rPr>
          <w:highlight w:val="white"/>
        </w:rPr>
        <w:t xml:space="preserve"> would have been difficult to produce but was otherwise mastered. Furthermore, the use of the Arabic script to mark things as property or as gifts, is an interesting point, </w:t>
      </w:r>
      <w:r w:rsidR="00C00CC2">
        <w:rPr>
          <w:highlight w:val="white"/>
        </w:rPr>
        <w:t xml:space="preserve">in that it </w:t>
      </w:r>
      <w:r w:rsidR="00CF5075">
        <w:rPr>
          <w:highlight w:val="white"/>
        </w:rPr>
        <w:t xml:space="preserve">does </w:t>
      </w:r>
      <w:r w:rsidR="00114A40">
        <w:rPr>
          <w:highlight w:val="white"/>
        </w:rPr>
        <w:t xml:space="preserve">exhibit the belief that the text will be believed and so embodies the significance of the script itself. This crosses over to the use of the script on everyday objects such as the food container and in the case of coinage. The food container will be seen every </w:t>
      </w:r>
      <w:proofErr w:type="gramStart"/>
      <w:r w:rsidR="00114A40">
        <w:rPr>
          <w:highlight w:val="white"/>
        </w:rPr>
        <w:t>day</w:t>
      </w:r>
      <w:proofErr w:type="gramEnd"/>
      <w:r w:rsidR="00114A40">
        <w:rPr>
          <w:highlight w:val="white"/>
        </w:rPr>
        <w:t xml:space="preserve"> so the message of the script will be seen many times, and for the coins, beyond the value of the metal, it could be said that the actual value of the coin is within the “invocation, mint and date” (Esposito, 1999: 224), this too highlights the value of the Arabic script. The use of the script on a grandiose scale could also be an indicator of its significance within Islamic art and architecture as it can be seen and read clearly by all who go to the locations that I have observed, but also to all other locations which have used the Arabic script within its architectural design. Lastly, although mentioned briefly, the different calligraphic scripts that can be used </w:t>
      </w:r>
      <w:proofErr w:type="gramStart"/>
      <w:r w:rsidR="00114A40">
        <w:rPr>
          <w:highlight w:val="white"/>
        </w:rPr>
        <w:t>in reference to</w:t>
      </w:r>
      <w:proofErr w:type="gramEnd"/>
      <w:r w:rsidR="00114A40">
        <w:rPr>
          <w:highlight w:val="white"/>
        </w:rPr>
        <w:t xml:space="preserve"> the Arabic script could also be seen to emphasise the significance of the Arabic script in that calligraphers over time have taken it upon themselves </w:t>
      </w:r>
      <w:r w:rsidR="00114A40">
        <w:rPr>
          <w:highlight w:val="white"/>
        </w:rPr>
        <w:lastRenderedPageBreak/>
        <w:t>to develop these styles in the hopes of making the Arabic script evermore beautiful within Islamic art and architecture.</w:t>
      </w:r>
    </w:p>
    <w:p w:rsidR="00066DF7" w:rsidRDefault="00066DF7">
      <w:pPr>
        <w:jc w:val="center"/>
        <w:rPr>
          <w:b/>
          <w:u w:val="single"/>
        </w:rPr>
      </w:pPr>
    </w:p>
    <w:p w:rsidR="00D31604" w:rsidRDefault="00D31604">
      <w:pPr>
        <w:jc w:val="center"/>
        <w:rPr>
          <w:b/>
          <w:u w:val="single"/>
        </w:rPr>
      </w:pPr>
    </w:p>
    <w:p w:rsidR="007716E6" w:rsidRDefault="00BC2741">
      <w:pPr>
        <w:jc w:val="center"/>
        <w:rPr>
          <w:b/>
          <w:u w:val="single"/>
        </w:rPr>
      </w:pPr>
      <w:r>
        <w:rPr>
          <w:b/>
          <w:u w:val="single"/>
        </w:rPr>
        <w:t>Bibliography</w:t>
      </w:r>
    </w:p>
    <w:p w:rsidR="007716E6" w:rsidRDefault="00BC2741">
      <w:pPr>
        <w:numPr>
          <w:ilvl w:val="0"/>
          <w:numId w:val="1"/>
        </w:numPr>
      </w:pPr>
      <w:r>
        <w:t xml:space="preserve">AHMAD, S. (1984). </w:t>
      </w:r>
      <w:r>
        <w:rPr>
          <w:i/>
        </w:rPr>
        <w:t>INTRODUCTION TO QUR'ANIC SCRIPT</w:t>
      </w:r>
      <w:r>
        <w:t>. London: Curzon Press LTD.</w:t>
      </w:r>
    </w:p>
    <w:p w:rsidR="007716E6" w:rsidRDefault="00BC2741">
      <w:pPr>
        <w:numPr>
          <w:ilvl w:val="0"/>
          <w:numId w:val="1"/>
        </w:numPr>
      </w:pPr>
      <w:r>
        <w:t>Calligraphy in the Arab and Islamic world. (1999). Beirut: The Society of the Friends of the A.U.B. Museum.</w:t>
      </w:r>
    </w:p>
    <w:p w:rsidR="007716E6" w:rsidRDefault="00BC2741">
      <w:pPr>
        <w:numPr>
          <w:ilvl w:val="0"/>
          <w:numId w:val="1"/>
        </w:numPr>
      </w:pPr>
      <w:r>
        <w:t xml:space="preserve">Esposito, J. (1999). </w:t>
      </w:r>
      <w:r>
        <w:rPr>
          <w:i/>
        </w:rPr>
        <w:t>The Oxford History of Islam</w:t>
      </w:r>
      <w:r>
        <w:t>. New York: Oxford University Press.</w:t>
      </w:r>
    </w:p>
    <w:p w:rsidR="007716E6" w:rsidRDefault="00BC2741">
      <w:pPr>
        <w:numPr>
          <w:ilvl w:val="0"/>
          <w:numId w:val="1"/>
        </w:numPr>
      </w:pPr>
      <w:r>
        <w:t xml:space="preserve">Lo, L. (1996). </w:t>
      </w:r>
      <w:r>
        <w:rPr>
          <w:i/>
        </w:rPr>
        <w:t>Ancient Scripts: Arabic</w:t>
      </w:r>
      <w:r>
        <w:t>. [online] Ancientscripts.com. Available at: http://www.ancientscripts.com/arabic.html [Accessed 29 Jan. 2018].</w:t>
      </w:r>
    </w:p>
    <w:p w:rsidR="008208A0" w:rsidRDefault="008208A0" w:rsidP="008208A0"/>
    <w:p w:rsidR="008208A0" w:rsidRDefault="008208A0" w:rsidP="008208A0">
      <w:pPr>
        <w:jc w:val="center"/>
        <w:rPr>
          <w:b/>
          <w:u w:val="single"/>
        </w:rPr>
      </w:pPr>
      <w:r>
        <w:rPr>
          <w:b/>
          <w:u w:val="single"/>
        </w:rPr>
        <w:t>Picture Bibliography</w:t>
      </w:r>
    </w:p>
    <w:p w:rsidR="00EE7DEA" w:rsidRDefault="00EE7DEA" w:rsidP="00EE7DEA">
      <w:pPr>
        <w:numPr>
          <w:ilvl w:val="0"/>
          <w:numId w:val="2"/>
        </w:numPr>
        <w:rPr>
          <w:rStyle w:val="selectable"/>
        </w:rPr>
      </w:pPr>
      <w:r>
        <w:t>Calligraphy in the Arab and Islamic world. (1999). Beirut: The Society of the Friends of the A.U.B. Museum.</w:t>
      </w:r>
    </w:p>
    <w:p w:rsidR="00EE7DEA" w:rsidRDefault="00EE7DEA" w:rsidP="00EE7DEA">
      <w:pPr>
        <w:numPr>
          <w:ilvl w:val="0"/>
          <w:numId w:val="2"/>
        </w:numPr>
      </w:pPr>
      <w:r>
        <w:t xml:space="preserve">Esposito, J. (1999). </w:t>
      </w:r>
      <w:r>
        <w:rPr>
          <w:i/>
        </w:rPr>
        <w:t>The Oxford History of Islam</w:t>
      </w:r>
      <w:r>
        <w:t>. New York: Oxford University Press.</w:t>
      </w:r>
    </w:p>
    <w:p w:rsidR="00EE7DEA" w:rsidRDefault="00EE7DEA" w:rsidP="008208A0">
      <w:pPr>
        <w:pStyle w:val="ListParagraph"/>
        <w:numPr>
          <w:ilvl w:val="0"/>
          <w:numId w:val="2"/>
        </w:numPr>
        <w:rPr>
          <w:rStyle w:val="selectable"/>
        </w:rPr>
      </w:pPr>
      <w:proofErr w:type="spellStart"/>
      <w:r>
        <w:rPr>
          <w:rStyle w:val="selectable"/>
        </w:rPr>
        <w:t>KiSuta</w:t>
      </w:r>
      <w:proofErr w:type="spellEnd"/>
      <w:r>
        <w:rPr>
          <w:rStyle w:val="selectable"/>
        </w:rPr>
        <w:t xml:space="preserve">. (2012). </w:t>
      </w:r>
      <w:proofErr w:type="spellStart"/>
      <w:r>
        <w:rPr>
          <w:rStyle w:val="selectable"/>
          <w:i/>
          <w:iCs/>
        </w:rPr>
        <w:t>Kiswah</w:t>
      </w:r>
      <w:proofErr w:type="spellEnd"/>
      <w:r>
        <w:rPr>
          <w:rStyle w:val="selectable"/>
          <w:i/>
          <w:iCs/>
        </w:rPr>
        <w:t xml:space="preserve">: </w:t>
      </w:r>
      <w:proofErr w:type="spellStart"/>
      <w:r>
        <w:rPr>
          <w:rStyle w:val="selectable"/>
          <w:i/>
          <w:iCs/>
        </w:rPr>
        <w:t>Selimbut</w:t>
      </w:r>
      <w:proofErr w:type="spellEnd"/>
      <w:r>
        <w:rPr>
          <w:rStyle w:val="selectable"/>
          <w:i/>
          <w:iCs/>
        </w:rPr>
        <w:t xml:space="preserve"> </w:t>
      </w:r>
      <w:proofErr w:type="spellStart"/>
      <w:r>
        <w:rPr>
          <w:rStyle w:val="selectable"/>
          <w:i/>
          <w:iCs/>
        </w:rPr>
        <w:t>Pelindung</w:t>
      </w:r>
      <w:proofErr w:type="spellEnd"/>
      <w:r>
        <w:rPr>
          <w:rStyle w:val="selectable"/>
          <w:i/>
          <w:iCs/>
        </w:rPr>
        <w:t xml:space="preserve"> </w:t>
      </w:r>
      <w:proofErr w:type="spellStart"/>
      <w:r>
        <w:rPr>
          <w:rStyle w:val="selectable"/>
          <w:i/>
          <w:iCs/>
        </w:rPr>
        <w:t>Ka’bah</w:t>
      </w:r>
      <w:proofErr w:type="spellEnd"/>
      <w:r>
        <w:rPr>
          <w:rStyle w:val="selectable"/>
        </w:rPr>
        <w:t>. [online] Available at: https://kisuta.wordpress.com/2012/12/13/kiswah-selimbut-pelindung-kabah/ [Accessed 13 Feb. 2018].</w:t>
      </w:r>
    </w:p>
    <w:p w:rsidR="008208A0" w:rsidRPr="008208A0" w:rsidRDefault="00EE7DEA" w:rsidP="00EE7DEA">
      <w:pPr>
        <w:pStyle w:val="ListParagraph"/>
        <w:numPr>
          <w:ilvl w:val="0"/>
          <w:numId w:val="2"/>
        </w:numPr>
      </w:pPr>
      <w:r>
        <w:rPr>
          <w:rStyle w:val="selectable"/>
        </w:rPr>
        <w:t xml:space="preserve">The David Collection. (2018). </w:t>
      </w:r>
      <w:proofErr w:type="spellStart"/>
      <w:r>
        <w:rPr>
          <w:rStyle w:val="selectable"/>
          <w:i/>
          <w:iCs/>
        </w:rPr>
        <w:t>Calligraohy</w:t>
      </w:r>
      <w:proofErr w:type="spellEnd"/>
      <w:r>
        <w:rPr>
          <w:rStyle w:val="selectable"/>
        </w:rPr>
        <w:t>. [online] Available at: https://www.davidmus.dk/en/collections/islamic/materials/calligraphy/art/9-2002 [Accessed 13 Feb. 2018].</w:t>
      </w:r>
    </w:p>
    <w:sectPr w:rsidR="008208A0" w:rsidRPr="008208A0">
      <w:headerReference w:type="default" r:id="rId14"/>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2151" w:rsidRDefault="00962151">
      <w:pPr>
        <w:spacing w:line="240" w:lineRule="auto"/>
      </w:pPr>
      <w:r>
        <w:separator/>
      </w:r>
    </w:p>
  </w:endnote>
  <w:endnote w:type="continuationSeparator" w:id="0">
    <w:p w:rsidR="00962151" w:rsidRDefault="009621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2151" w:rsidRDefault="00962151">
      <w:pPr>
        <w:spacing w:line="240" w:lineRule="auto"/>
      </w:pPr>
      <w:r>
        <w:separator/>
      </w:r>
    </w:p>
  </w:footnote>
  <w:footnote w:type="continuationSeparator" w:id="0">
    <w:p w:rsidR="00962151" w:rsidRDefault="009621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16E6" w:rsidRDefault="00BC2741">
    <w:pPr>
      <w:pStyle w:val="Heading1"/>
      <w:keepNext w:val="0"/>
      <w:keepLines w:val="0"/>
      <w:spacing w:before="480" w:line="264" w:lineRule="auto"/>
      <w:ind w:left="-220" w:right="-220"/>
      <w:rPr>
        <w:sz w:val="22"/>
        <w:szCs w:val="22"/>
      </w:rPr>
    </w:pPr>
    <w:bookmarkStart w:id="2" w:name="_9ug1dw57sxri" w:colFirst="0" w:colLast="0"/>
    <w:bookmarkEnd w:id="2"/>
    <w:r>
      <w:rPr>
        <w:sz w:val="22"/>
        <w:szCs w:val="22"/>
      </w:rPr>
      <w:t xml:space="preserve">AHAC5018: Art and Archaeology in Ancient Islam, 650-1566 </w:t>
    </w:r>
    <w:r>
      <w:rPr>
        <w:sz w:val="22"/>
        <w:szCs w:val="22"/>
      </w:rPr>
      <w:tab/>
    </w:r>
    <w:r>
      <w:rPr>
        <w:sz w:val="22"/>
        <w:szCs w:val="22"/>
      </w:rPr>
      <w:tab/>
      <w:t xml:space="preserve">       Tiarnach Leer 1600068</w:t>
    </w:r>
  </w:p>
  <w:p w:rsidR="007716E6" w:rsidRDefault="007716E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81481"/>
    <w:multiLevelType w:val="hybridMultilevel"/>
    <w:tmpl w:val="A704C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ED4E90"/>
    <w:multiLevelType w:val="multilevel"/>
    <w:tmpl w:val="7CBA62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716E6"/>
    <w:rsid w:val="00066DF7"/>
    <w:rsid w:val="00087BCA"/>
    <w:rsid w:val="00104A6E"/>
    <w:rsid w:val="00114A40"/>
    <w:rsid w:val="0025767B"/>
    <w:rsid w:val="002A233D"/>
    <w:rsid w:val="003219E4"/>
    <w:rsid w:val="00356F66"/>
    <w:rsid w:val="003730CD"/>
    <w:rsid w:val="0038068B"/>
    <w:rsid w:val="003F03A4"/>
    <w:rsid w:val="003F2778"/>
    <w:rsid w:val="004C195B"/>
    <w:rsid w:val="006318BC"/>
    <w:rsid w:val="007514B0"/>
    <w:rsid w:val="007716E6"/>
    <w:rsid w:val="007D568A"/>
    <w:rsid w:val="008208A0"/>
    <w:rsid w:val="00962151"/>
    <w:rsid w:val="00A47BAB"/>
    <w:rsid w:val="00A90DF0"/>
    <w:rsid w:val="00AA1370"/>
    <w:rsid w:val="00BC2741"/>
    <w:rsid w:val="00BC4CF5"/>
    <w:rsid w:val="00C00CC2"/>
    <w:rsid w:val="00C1351A"/>
    <w:rsid w:val="00CF5075"/>
    <w:rsid w:val="00D31604"/>
    <w:rsid w:val="00D62194"/>
    <w:rsid w:val="00DF65E1"/>
    <w:rsid w:val="00EE7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B9E3A9A-B429-4C9B-BF4C-F2B9D47D9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8208A0"/>
    <w:pPr>
      <w:ind w:left="720"/>
      <w:contextualSpacing/>
    </w:pPr>
  </w:style>
  <w:style w:type="character" w:customStyle="1" w:styleId="selectable">
    <w:name w:val="selectable"/>
    <w:basedOn w:val="DefaultParagraphFont"/>
    <w:rsid w:val="008208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5</Pages>
  <Words>1858</Words>
  <Characters>10593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Danielle Alexander</cp:lastModifiedBy>
  <cp:revision>15</cp:revision>
  <dcterms:created xsi:type="dcterms:W3CDTF">2018-02-13T17:43:00Z</dcterms:created>
  <dcterms:modified xsi:type="dcterms:W3CDTF">2018-02-13T23:07:00Z</dcterms:modified>
</cp:coreProperties>
</file>