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DFD7F2" w14:textId="2A09A9B6" w:rsidR="00194BE6" w:rsidRPr="00DC087B" w:rsidRDefault="000159E2" w:rsidP="00994F8C">
      <w:pPr>
        <w:ind w:left="720" w:hanging="360"/>
        <w:jc w:val="both"/>
        <w:rPr>
          <w:rFonts w:ascii="Helvetica Neue" w:hAnsi="Helvetica Neue"/>
          <w:sz w:val="28"/>
          <w:szCs w:val="28"/>
        </w:rPr>
      </w:pPr>
      <w:r w:rsidRPr="00DC087B">
        <w:rPr>
          <w:rFonts w:ascii="Helvetica Neue" w:hAnsi="Helvetica Neue"/>
          <w:sz w:val="28"/>
          <w:szCs w:val="28"/>
        </w:rPr>
        <w:t>Material Culture Studies, Materiality</w:t>
      </w:r>
      <w:r w:rsidR="00C07595" w:rsidRPr="00DC087B">
        <w:rPr>
          <w:rFonts w:ascii="Helvetica Neue" w:hAnsi="Helvetica Neue"/>
          <w:sz w:val="28"/>
          <w:szCs w:val="28"/>
        </w:rPr>
        <w:t>,</w:t>
      </w:r>
      <w:r w:rsidRPr="00DC087B">
        <w:rPr>
          <w:rFonts w:ascii="Helvetica Neue" w:hAnsi="Helvetica Neue"/>
          <w:sz w:val="28"/>
          <w:szCs w:val="28"/>
        </w:rPr>
        <w:t xml:space="preserve"> and the New Materialisms</w:t>
      </w:r>
      <w:r w:rsidR="00192EE9" w:rsidRPr="00DC087B">
        <w:rPr>
          <w:rFonts w:ascii="Helvetica Neue" w:hAnsi="Helvetica Neue"/>
          <w:sz w:val="28"/>
          <w:szCs w:val="28"/>
        </w:rPr>
        <w:t xml:space="preserve"> Glossary</w:t>
      </w:r>
    </w:p>
    <w:p w14:paraId="41D75419" w14:textId="77777777" w:rsidR="00194BE6" w:rsidRDefault="00194BE6" w:rsidP="00577BE7">
      <w:pPr>
        <w:ind w:left="720" w:hanging="360"/>
      </w:pPr>
    </w:p>
    <w:p w14:paraId="46E18987" w14:textId="68892D6F" w:rsidR="00A859D4" w:rsidRDefault="00A859D4">
      <w:pPr>
        <w:rPr>
          <w:rFonts w:ascii="Helvetica Neue" w:hAnsi="Helvetica Neue"/>
        </w:rPr>
      </w:pPr>
    </w:p>
    <w:tbl>
      <w:tblPr>
        <w:tblStyle w:val="TableGrid"/>
        <w:tblW w:w="11199"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2"/>
        <w:gridCol w:w="7427"/>
      </w:tblGrid>
      <w:tr w:rsidR="003B1DFE" w14:paraId="4FAE8684" w14:textId="77777777" w:rsidTr="003B1DFE">
        <w:tc>
          <w:tcPr>
            <w:tcW w:w="3545" w:type="dxa"/>
          </w:tcPr>
          <w:p w14:paraId="0E5F52A3" w14:textId="196400E5" w:rsidR="00A859D4" w:rsidRDefault="00A859D4" w:rsidP="007764F2">
            <w:pPr>
              <w:rPr>
                <w:rFonts w:ascii="Helvetica Neue" w:hAnsi="Helvetica Neue"/>
              </w:rPr>
            </w:pPr>
            <w:r w:rsidRPr="00994F8C">
              <w:rPr>
                <w:rFonts w:ascii="Helvetica Neue" w:hAnsi="Helvetica Neue"/>
                <w:b/>
                <w:bCs/>
              </w:rPr>
              <w:t>Actor Network Theory</w:t>
            </w:r>
            <w:r w:rsidR="00943F46" w:rsidRPr="00943F46">
              <w:rPr>
                <w:rFonts w:ascii="Helvetica Neue" w:hAnsi="Helvetica Neue"/>
              </w:rPr>
              <w:t>………</w:t>
            </w:r>
            <w:r w:rsidR="003B1DFE">
              <w:rPr>
                <w:rFonts w:ascii="Helvetica Neue" w:hAnsi="Helvetica Neue"/>
              </w:rPr>
              <w:t>.</w:t>
            </w:r>
            <w:r w:rsidR="00943F46" w:rsidRPr="00943F46">
              <w:rPr>
                <w:rFonts w:ascii="Helvetica Neue" w:hAnsi="Helvetica Neue"/>
              </w:rPr>
              <w:t>.</w:t>
            </w:r>
          </w:p>
        </w:tc>
        <w:tc>
          <w:tcPr>
            <w:tcW w:w="7654" w:type="dxa"/>
          </w:tcPr>
          <w:p w14:paraId="7963A0AB" w14:textId="297F6957" w:rsidR="00A859D4" w:rsidRDefault="00A859D4" w:rsidP="007764F2">
            <w:pPr>
              <w:rPr>
                <w:rFonts w:ascii="Helvetica Neue" w:hAnsi="Helvetica Neue"/>
              </w:rPr>
            </w:pPr>
            <w:r w:rsidRPr="00994F8C">
              <w:rPr>
                <w:rFonts w:ascii="Helvetica Neue" w:hAnsi="Helvetica Neue"/>
              </w:rPr>
              <w:t>ANT is an ontology meant to examine the relationships between people and things, focused on building upon the idea of object agency. Latour describes the Actor Network Theory as a web of reactions, emphasizing that humans and objects are nodes which are connected to make up a network of connections and relationships (2005, pp. 43-46). Humans and things are equal actants and they both influence, affect, encourage, and participate in their networks.</w:t>
            </w:r>
            <w:r w:rsidR="001C537F">
              <w:rPr>
                <w:rFonts w:ascii="Helvetica Neue" w:hAnsi="Helvetica Neue"/>
              </w:rPr>
              <w:t xml:space="preserve"> A network is made of actors or groups interacting and reacting with each other making connections. The nodes in networks are entities both human and non-human with agentive capabilities connected through the web or network. </w:t>
            </w:r>
          </w:p>
          <w:p w14:paraId="7E17B77A" w14:textId="77777777" w:rsidR="00817075" w:rsidRDefault="00817075" w:rsidP="00817075">
            <w:pPr>
              <w:keepNext/>
              <w:jc w:val="center"/>
            </w:pPr>
            <w:r>
              <w:fldChar w:fldCharType="begin"/>
            </w:r>
            <w:r>
              <w:instrText xml:space="preserve"> INCLUDEPICTURE "https://study.com/cimages/multimages/16/ant_diagram.png" \* MERGEFORMATINET </w:instrText>
            </w:r>
            <w:r>
              <w:fldChar w:fldCharType="separate"/>
            </w:r>
            <w:r>
              <w:rPr>
                <w:noProof/>
              </w:rPr>
              <w:drawing>
                <wp:inline distT="0" distB="0" distL="0" distR="0" wp14:anchorId="27F2E5E4" wp14:editId="2C6A2722">
                  <wp:extent cx="2604304" cy="2068484"/>
                  <wp:effectExtent l="0" t="0" r="0" b="1905"/>
                  <wp:docPr id="416984572" name="Picture 8" descr="Actor Network Theory | Diagram, Critiques &amp; Examples - Lesson | Stud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ctor Network Theory | Diagram, Critiques &amp; Examples - Lesson | Study.co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04304" cy="2068484"/>
                          </a:xfrm>
                          <a:prstGeom prst="rect">
                            <a:avLst/>
                          </a:prstGeom>
                          <a:noFill/>
                          <a:ln>
                            <a:noFill/>
                          </a:ln>
                        </pic:spPr>
                      </pic:pic>
                    </a:graphicData>
                  </a:graphic>
                </wp:inline>
              </w:drawing>
            </w:r>
            <w:r>
              <w:fldChar w:fldCharType="end"/>
            </w:r>
          </w:p>
          <w:p w14:paraId="79F1E36B" w14:textId="6EE6D128" w:rsidR="00817075" w:rsidRDefault="00817075" w:rsidP="00817075">
            <w:pPr>
              <w:jc w:val="center"/>
              <w:rPr>
                <w:rFonts w:ascii="Helvetica Neue" w:hAnsi="Helvetica Neue"/>
              </w:rPr>
            </w:pPr>
            <w:r w:rsidRPr="00DC087B">
              <w:rPr>
                <w:rFonts w:ascii="Helvetica Neue" w:hAnsi="Helvetica Neue"/>
                <w:sz w:val="18"/>
                <w:szCs w:val="18"/>
              </w:rPr>
              <w:t xml:space="preserve">Fig. </w:t>
            </w:r>
            <w:r w:rsidRPr="00DC087B">
              <w:rPr>
                <w:rFonts w:ascii="Helvetica Neue" w:hAnsi="Helvetica Neue"/>
                <w:sz w:val="18"/>
                <w:szCs w:val="18"/>
              </w:rPr>
              <w:fldChar w:fldCharType="begin"/>
            </w:r>
            <w:r w:rsidRPr="00DC087B">
              <w:rPr>
                <w:rFonts w:ascii="Helvetica Neue" w:hAnsi="Helvetica Neue"/>
                <w:sz w:val="18"/>
                <w:szCs w:val="18"/>
              </w:rPr>
              <w:instrText xml:space="preserve"> SEQ Fig._ \* ARABIC </w:instrText>
            </w:r>
            <w:r w:rsidRPr="00DC087B">
              <w:rPr>
                <w:rFonts w:ascii="Helvetica Neue" w:hAnsi="Helvetica Neue"/>
                <w:sz w:val="18"/>
                <w:szCs w:val="18"/>
              </w:rPr>
              <w:fldChar w:fldCharType="separate"/>
            </w:r>
            <w:r w:rsidRPr="00DC087B">
              <w:rPr>
                <w:rFonts w:ascii="Helvetica Neue" w:hAnsi="Helvetica Neue"/>
                <w:noProof/>
                <w:sz w:val="18"/>
                <w:szCs w:val="18"/>
              </w:rPr>
              <w:t>1</w:t>
            </w:r>
            <w:r w:rsidRPr="00DC087B">
              <w:rPr>
                <w:rFonts w:ascii="Helvetica Neue" w:hAnsi="Helvetica Neue"/>
                <w:sz w:val="18"/>
                <w:szCs w:val="18"/>
              </w:rPr>
              <w:fldChar w:fldCharType="end"/>
            </w:r>
            <w:r w:rsidRPr="00DC087B">
              <w:rPr>
                <w:rFonts w:ascii="Helvetica Neue" w:hAnsi="Helvetica Neue"/>
                <w:sz w:val="18"/>
                <w:szCs w:val="18"/>
              </w:rPr>
              <w:t>: Example diagram of a network. (</w:t>
            </w:r>
            <w:hyperlink r:id="rId7" w:history="1">
              <w:r w:rsidRPr="00DC087B">
                <w:rPr>
                  <w:rStyle w:val="Hyperlink"/>
                  <w:rFonts w:ascii="Helvetica Neue" w:hAnsi="Helvetica Neue"/>
                  <w:sz w:val="18"/>
                  <w:szCs w:val="18"/>
                </w:rPr>
                <w:t>https://study.com/academy/lesson/latours-actor-network-theory.html</w:t>
              </w:r>
            </w:hyperlink>
          </w:p>
        </w:tc>
      </w:tr>
      <w:tr w:rsidR="003B1DFE" w14:paraId="3636EF4D" w14:textId="77777777" w:rsidTr="003B1DFE">
        <w:tc>
          <w:tcPr>
            <w:tcW w:w="3545" w:type="dxa"/>
          </w:tcPr>
          <w:p w14:paraId="756B5F86" w14:textId="1405B3D7" w:rsidR="00A859D4" w:rsidRDefault="00817075" w:rsidP="007764F2">
            <w:pPr>
              <w:rPr>
                <w:rFonts w:ascii="Helvetica Neue" w:hAnsi="Helvetica Neue"/>
              </w:rPr>
            </w:pPr>
            <w:r>
              <w:rPr>
                <w:rFonts w:ascii="Helvetica Neue" w:hAnsi="Helvetica Neue"/>
                <w:b/>
                <w:bCs/>
              </w:rPr>
              <w:t>a</w:t>
            </w:r>
            <w:r w:rsidR="00A859D4" w:rsidRPr="00994F8C">
              <w:rPr>
                <w:rFonts w:ascii="Helvetica Neue" w:hAnsi="Helvetica Neue"/>
                <w:b/>
                <w:bCs/>
              </w:rPr>
              <w:t>gency</w:t>
            </w:r>
            <w:r w:rsidRPr="00F9043D">
              <w:rPr>
                <w:rFonts w:ascii="Helvetica Neue" w:hAnsi="Helvetica Neue"/>
              </w:rPr>
              <w:t>………</w:t>
            </w:r>
            <w:r w:rsidR="00943F46" w:rsidRPr="00F9043D">
              <w:rPr>
                <w:rFonts w:ascii="Helvetica Neue" w:hAnsi="Helvetica Neue"/>
              </w:rPr>
              <w:t>………………</w:t>
            </w:r>
            <w:r w:rsidR="00F9043D" w:rsidRPr="00F9043D">
              <w:rPr>
                <w:rFonts w:ascii="Helvetica Neue" w:hAnsi="Helvetica Neue"/>
              </w:rPr>
              <w:t>….</w:t>
            </w:r>
            <w:r w:rsidR="00F9043D">
              <w:rPr>
                <w:rFonts w:ascii="Helvetica Neue" w:hAnsi="Helvetica Neue"/>
              </w:rPr>
              <w:t>..</w:t>
            </w:r>
          </w:p>
        </w:tc>
        <w:tc>
          <w:tcPr>
            <w:tcW w:w="7654" w:type="dxa"/>
          </w:tcPr>
          <w:p w14:paraId="333C9543" w14:textId="7C2007EE" w:rsidR="00A859D4" w:rsidRDefault="00A859D4" w:rsidP="007764F2">
            <w:pPr>
              <w:rPr>
                <w:rFonts w:ascii="Helvetica Neue" w:hAnsi="Helvetica Neue"/>
              </w:rPr>
            </w:pPr>
            <w:r>
              <w:rPr>
                <w:rFonts w:ascii="Helvetica Neue" w:hAnsi="Helvetica Neue"/>
              </w:rPr>
              <w:t>Agency r</w:t>
            </w:r>
            <w:r w:rsidRPr="00994F8C">
              <w:rPr>
                <w:rFonts w:ascii="Helvetica Neue" w:hAnsi="Helvetica Neue"/>
              </w:rPr>
              <w:t>efers to the ability to act or affect something. In Material culture studies, this is most often discussed in relation to agency of objects, their ability to influence and affect their environments extant to humans giving them agency. The New Materialist approach recognizes that objects are not inert, but that they possess agency just as humans do. Both objects and humans possess agential capacities to influence, create, and mediate their social worlds.</w:t>
            </w:r>
          </w:p>
        </w:tc>
      </w:tr>
      <w:tr w:rsidR="003B1DFE" w14:paraId="0B2ACA5F" w14:textId="77777777" w:rsidTr="003B1DFE">
        <w:tc>
          <w:tcPr>
            <w:tcW w:w="3545" w:type="dxa"/>
          </w:tcPr>
          <w:p w14:paraId="74872D25" w14:textId="01D5419F" w:rsidR="00A859D4" w:rsidRDefault="00A859D4" w:rsidP="007764F2">
            <w:pPr>
              <w:rPr>
                <w:rFonts w:ascii="Helvetica Neue" w:hAnsi="Helvetica Neue"/>
              </w:rPr>
            </w:pPr>
            <w:r w:rsidRPr="00994F8C">
              <w:rPr>
                <w:rFonts w:ascii="Helvetica Neue" w:hAnsi="Helvetica Neue"/>
                <w:b/>
                <w:bCs/>
              </w:rPr>
              <w:t>agential realism</w:t>
            </w:r>
            <w:r w:rsidR="00817075" w:rsidRPr="003B1DFE">
              <w:rPr>
                <w:rFonts w:ascii="Helvetica Neue" w:hAnsi="Helvetica Neue"/>
              </w:rPr>
              <w:t>……………….</w:t>
            </w:r>
          </w:p>
        </w:tc>
        <w:tc>
          <w:tcPr>
            <w:tcW w:w="7654" w:type="dxa"/>
          </w:tcPr>
          <w:p w14:paraId="00DBCBEC" w14:textId="2F90F01A" w:rsidR="00A859D4" w:rsidRDefault="00A859D4" w:rsidP="007764F2">
            <w:pPr>
              <w:rPr>
                <w:rFonts w:ascii="Helvetica Neue" w:hAnsi="Helvetica Neue"/>
              </w:rPr>
            </w:pPr>
            <w:r w:rsidRPr="00994F8C">
              <w:rPr>
                <w:rFonts w:ascii="Helvetica Neue" w:hAnsi="Helvetica Neue"/>
              </w:rPr>
              <w:t>A</w:t>
            </w:r>
            <w:r>
              <w:rPr>
                <w:rFonts w:ascii="Helvetica Neue" w:hAnsi="Helvetica Neue"/>
              </w:rPr>
              <w:t>gential realism is a</w:t>
            </w:r>
            <w:r w:rsidRPr="00994F8C">
              <w:rPr>
                <w:rFonts w:ascii="Helvetica Neue" w:hAnsi="Helvetica Neue"/>
              </w:rPr>
              <w:t xml:space="preserve"> relational ontology developed by Karen Barad to question the Cartesian cut and focus attention on nonhumans, matter, materials. It is derived from Bohr’s theory of boundaries, and she suggests that “things do not have inherently determinate boundaries” (Barad, 2003, p. 813). A key part of agential realism is the emphasis on relationships, and intra-actions (see </w:t>
            </w:r>
            <w:r w:rsidRPr="00994F8C">
              <w:rPr>
                <w:rFonts w:ascii="Helvetica Neue" w:hAnsi="Helvetica Neue"/>
                <w:b/>
                <w:bCs/>
              </w:rPr>
              <w:t>intra-actions</w:t>
            </w:r>
            <w:r w:rsidRPr="00994F8C">
              <w:rPr>
                <w:rFonts w:ascii="Helvetica Neue" w:hAnsi="Helvetica Neue"/>
              </w:rPr>
              <w:t>), discussing the notion of things-in-phenomena and re-examining how we measure the world (Barad, 2003, p. 815-817) (Alberti &amp; Marshall, 2014, pp. 26-27).</w:t>
            </w:r>
          </w:p>
        </w:tc>
      </w:tr>
      <w:tr w:rsidR="003B1DFE" w14:paraId="25A848FD" w14:textId="77777777" w:rsidTr="003B1DFE">
        <w:tc>
          <w:tcPr>
            <w:tcW w:w="3545" w:type="dxa"/>
          </w:tcPr>
          <w:p w14:paraId="03A24362" w14:textId="2D7E898C" w:rsidR="00A859D4" w:rsidRDefault="00817075" w:rsidP="007764F2">
            <w:pPr>
              <w:rPr>
                <w:rFonts w:ascii="Helvetica Neue" w:hAnsi="Helvetica Neue"/>
              </w:rPr>
            </w:pPr>
            <w:r>
              <w:rPr>
                <w:rFonts w:ascii="Helvetica Neue" w:hAnsi="Helvetica Neue"/>
                <w:b/>
                <w:bCs/>
              </w:rPr>
              <w:lastRenderedPageBreak/>
              <w:t>a</w:t>
            </w:r>
            <w:r w:rsidR="00A859D4" w:rsidRPr="00994F8C">
              <w:rPr>
                <w:rFonts w:ascii="Helvetica Neue" w:hAnsi="Helvetica Neue"/>
                <w:b/>
                <w:bCs/>
              </w:rPr>
              <w:t>ssemblage</w:t>
            </w:r>
            <w:r w:rsidRPr="003B1DFE">
              <w:rPr>
                <w:rFonts w:ascii="Helvetica Neue" w:hAnsi="Helvetica Neue"/>
              </w:rPr>
              <w:t>……………………</w:t>
            </w:r>
            <w:r w:rsidR="003B1DFE">
              <w:rPr>
                <w:rFonts w:ascii="Helvetica Neue" w:hAnsi="Helvetica Neue"/>
              </w:rPr>
              <w:t>.</w:t>
            </w:r>
          </w:p>
        </w:tc>
        <w:tc>
          <w:tcPr>
            <w:tcW w:w="7654" w:type="dxa"/>
          </w:tcPr>
          <w:p w14:paraId="6607AED9" w14:textId="77777777" w:rsidR="00A859D4" w:rsidRDefault="00A859D4" w:rsidP="007764F2">
            <w:pPr>
              <w:rPr>
                <w:rFonts w:ascii="Helvetica Neue" w:hAnsi="Helvetica Neue"/>
              </w:rPr>
            </w:pPr>
            <w:r w:rsidRPr="00994F8C">
              <w:rPr>
                <w:rFonts w:ascii="Helvetica Neue" w:hAnsi="Helvetica Neue"/>
              </w:rPr>
              <w:t>There are two important definitions of assemblage within the scope of material culture studies, the first being the archaeological definition which is the ‘traditional’ definition, and there is the New Materialist definition. An archeological assemblage typically refers to an accumulation of things related by a typology or provenance. The more recently introduced definition refers back to the original French “agencement” coined by Deleuze and Guattari, meaning to come together. This concept of a “coming together” is a key part of New Materialist thought because it refocuses the meaning on the flow of matter and things rather than viewing assemblages as static entities (DeLanda, 2016, pp. 6-7) . Assemblages as active flows of matter in and out of them allows the items within them agency which is also a key part of New Materialism, and Bennett suggests they are living groupings instead of inert collections (2010, pp. 21-24).</w:t>
            </w:r>
          </w:p>
          <w:p w14:paraId="4FCBB94F" w14:textId="77777777" w:rsidR="00817075" w:rsidRDefault="00817075" w:rsidP="00817075">
            <w:pPr>
              <w:keepNext/>
              <w:jc w:val="center"/>
            </w:pPr>
            <w:r>
              <w:fldChar w:fldCharType="begin"/>
            </w:r>
            <w:r>
              <w:instrText xml:space="preserve"> INCLUDEPICTURE "https://filmlifestyle.com/wp-content/uploads/2023/04/474-Assemblage-in-Art.jpg" \* MERGEFORMATINET </w:instrText>
            </w:r>
            <w:r>
              <w:fldChar w:fldCharType="separate"/>
            </w:r>
            <w:r>
              <w:rPr>
                <w:noProof/>
              </w:rPr>
              <w:drawing>
                <wp:inline distT="0" distB="0" distL="0" distR="0" wp14:anchorId="36438875" wp14:editId="57D6B61C">
                  <wp:extent cx="2970335" cy="1979271"/>
                  <wp:effectExtent l="0" t="0" r="1905" b="2540"/>
                  <wp:docPr id="763016661" name="Picture 6" descr="Assemblage In Art: The Beauty of Bringing Together Found Ob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ssemblage In Art: The Beauty of Bringing Together Found Object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3616" cy="1988121"/>
                          </a:xfrm>
                          <a:prstGeom prst="rect">
                            <a:avLst/>
                          </a:prstGeom>
                          <a:noFill/>
                          <a:ln>
                            <a:noFill/>
                          </a:ln>
                        </pic:spPr>
                      </pic:pic>
                    </a:graphicData>
                  </a:graphic>
                </wp:inline>
              </w:drawing>
            </w:r>
            <w:r>
              <w:fldChar w:fldCharType="end"/>
            </w:r>
          </w:p>
          <w:p w14:paraId="02FFAD4E" w14:textId="5590FCEA" w:rsidR="00817075" w:rsidRDefault="00817075" w:rsidP="00817075">
            <w:pPr>
              <w:jc w:val="center"/>
              <w:rPr>
                <w:rFonts w:ascii="Helvetica Neue" w:hAnsi="Helvetica Neue"/>
              </w:rPr>
            </w:pPr>
            <w:r w:rsidRPr="00DC087B">
              <w:rPr>
                <w:rFonts w:ascii="Helvetica Neue" w:hAnsi="Helvetica Neue"/>
                <w:sz w:val="18"/>
                <w:szCs w:val="18"/>
              </w:rPr>
              <w:t xml:space="preserve">Fig. </w:t>
            </w:r>
            <w:r w:rsidRPr="00DC087B">
              <w:rPr>
                <w:rFonts w:ascii="Helvetica Neue" w:hAnsi="Helvetica Neue"/>
                <w:sz w:val="18"/>
                <w:szCs w:val="18"/>
              </w:rPr>
              <w:fldChar w:fldCharType="begin"/>
            </w:r>
            <w:r w:rsidRPr="00DC087B">
              <w:rPr>
                <w:rFonts w:ascii="Helvetica Neue" w:hAnsi="Helvetica Neue"/>
                <w:sz w:val="18"/>
                <w:szCs w:val="18"/>
              </w:rPr>
              <w:instrText xml:space="preserve"> SEQ Fig._ \* ARABIC </w:instrText>
            </w:r>
            <w:r w:rsidRPr="00DC087B">
              <w:rPr>
                <w:rFonts w:ascii="Helvetica Neue" w:hAnsi="Helvetica Neue"/>
                <w:sz w:val="18"/>
                <w:szCs w:val="18"/>
              </w:rPr>
              <w:fldChar w:fldCharType="separate"/>
            </w:r>
            <w:r w:rsidRPr="00DC087B">
              <w:rPr>
                <w:rFonts w:ascii="Helvetica Neue" w:hAnsi="Helvetica Neue"/>
                <w:noProof/>
                <w:sz w:val="18"/>
                <w:szCs w:val="18"/>
              </w:rPr>
              <w:t>2</w:t>
            </w:r>
            <w:r w:rsidRPr="00DC087B">
              <w:rPr>
                <w:rFonts w:ascii="Helvetica Neue" w:hAnsi="Helvetica Neue"/>
                <w:sz w:val="18"/>
                <w:szCs w:val="18"/>
              </w:rPr>
              <w:fldChar w:fldCharType="end"/>
            </w:r>
            <w:r w:rsidRPr="00DC087B">
              <w:rPr>
                <w:rFonts w:ascii="Helvetica Neue" w:hAnsi="Helvetica Neue"/>
                <w:sz w:val="18"/>
                <w:szCs w:val="18"/>
              </w:rPr>
              <w:t>: Assemblage Art. (</w:t>
            </w:r>
            <w:hyperlink r:id="rId9" w:history="1">
              <w:r w:rsidRPr="00DC087B">
                <w:rPr>
                  <w:rStyle w:val="Hyperlink"/>
                  <w:rFonts w:ascii="Helvetica Neue" w:hAnsi="Helvetica Neue"/>
                  <w:sz w:val="18"/>
                  <w:szCs w:val="18"/>
                </w:rPr>
                <w:t>https://filmlifestyle.com/assemblage-in-art/</w:t>
              </w:r>
            </w:hyperlink>
            <w:r w:rsidRPr="00DC087B">
              <w:rPr>
                <w:rFonts w:ascii="Helvetica Neue" w:hAnsi="Helvetica Neue"/>
                <w:sz w:val="18"/>
                <w:szCs w:val="18"/>
              </w:rPr>
              <w:t>).</w:t>
            </w:r>
          </w:p>
        </w:tc>
      </w:tr>
      <w:tr w:rsidR="003B1DFE" w14:paraId="3CCC4CF2" w14:textId="77777777" w:rsidTr="003B1DFE">
        <w:tc>
          <w:tcPr>
            <w:tcW w:w="3545" w:type="dxa"/>
          </w:tcPr>
          <w:p w14:paraId="4404E439" w14:textId="4B5EEAFE" w:rsidR="00A859D4" w:rsidRDefault="00A859D4" w:rsidP="007764F2">
            <w:pPr>
              <w:rPr>
                <w:rFonts w:ascii="Helvetica Neue" w:hAnsi="Helvetica Neue"/>
              </w:rPr>
            </w:pPr>
            <w:r w:rsidRPr="00994F8C">
              <w:rPr>
                <w:rFonts w:ascii="Helvetica Neue" w:hAnsi="Helvetica Neue"/>
                <w:b/>
                <w:bCs/>
              </w:rPr>
              <w:t>body schema</w:t>
            </w:r>
            <w:r w:rsidR="00817075" w:rsidRPr="003B1DFE">
              <w:rPr>
                <w:rFonts w:ascii="Helvetica Neue" w:hAnsi="Helvetica Neue"/>
              </w:rPr>
              <w:t>………………</w:t>
            </w:r>
            <w:r w:rsidR="003B1DFE" w:rsidRPr="003B1DFE">
              <w:rPr>
                <w:rFonts w:ascii="Helvetica Neue" w:hAnsi="Helvetica Neue"/>
              </w:rPr>
              <w:t>…...</w:t>
            </w:r>
          </w:p>
        </w:tc>
        <w:tc>
          <w:tcPr>
            <w:tcW w:w="7654" w:type="dxa"/>
          </w:tcPr>
          <w:p w14:paraId="70778D75" w14:textId="77777777" w:rsidR="00A859D4" w:rsidRDefault="00A859D4" w:rsidP="007764F2">
            <w:pPr>
              <w:rPr>
                <w:rFonts w:ascii="Helvetica Neue" w:hAnsi="Helvetica Neue"/>
              </w:rPr>
            </w:pPr>
            <w:r w:rsidRPr="00994F8C">
              <w:rPr>
                <w:rFonts w:ascii="Helvetica Neue" w:hAnsi="Helvetica Neue"/>
              </w:rPr>
              <w:t xml:space="preserve">A principle of Malafouris’ MET (see </w:t>
            </w:r>
            <w:r w:rsidRPr="00994F8C">
              <w:rPr>
                <w:rFonts w:ascii="Helvetica Neue" w:hAnsi="Helvetica Neue"/>
                <w:b/>
                <w:bCs/>
              </w:rPr>
              <w:t>Material Engagement Theory</w:t>
            </w:r>
            <w:r w:rsidRPr="00994F8C">
              <w:rPr>
                <w:rFonts w:ascii="Helvetica Neue" w:hAnsi="Helvetica Neue"/>
              </w:rPr>
              <w:t xml:space="preserve">) that describes the boundaries of the human body. Within the theory, it refers to the body schema being extended by tools and objects held or worn by the body, such as clothes or items wielded. The body schema softens the boundaries of the body otherwise considered discrete and impermeable by other lines of thought. Within the body schema, tools allow the person to do things it wouldn’t be able to do otherwise. </w:t>
            </w:r>
          </w:p>
          <w:p w14:paraId="357AC83A" w14:textId="77777777" w:rsidR="00817075" w:rsidRDefault="00817075" w:rsidP="00817075">
            <w:pPr>
              <w:keepNext/>
              <w:jc w:val="center"/>
            </w:pPr>
            <w:r>
              <w:lastRenderedPageBreak/>
              <w:fldChar w:fldCharType="begin"/>
            </w:r>
            <w:r>
              <w:instrText xml:space="preserve"> INCLUDEPICTURE "https://www.thenewatlantis.com/wp-content/uploads/2015/07/visuallyimpaired-900x853.gif" \* MERGEFORMATINET </w:instrText>
            </w:r>
            <w:r>
              <w:fldChar w:fldCharType="separate"/>
            </w:r>
            <w:r>
              <w:rPr>
                <w:noProof/>
              </w:rPr>
              <w:drawing>
                <wp:inline distT="0" distB="0" distL="0" distR="0" wp14:anchorId="7D380136" wp14:editId="6893818E">
                  <wp:extent cx="2789499" cy="2800350"/>
                  <wp:effectExtent l="0" t="0" r="5080" b="0"/>
                  <wp:docPr id="1106813112" name="Picture 5" descr="the blind man's stick — The New Atlan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blind man's stick — The New Atlanti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348" r="3284"/>
                          <a:stretch/>
                        </pic:blipFill>
                        <pic:spPr bwMode="auto">
                          <a:xfrm>
                            <a:off x="0" y="0"/>
                            <a:ext cx="2803609" cy="2814515"/>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0AB42A6D" w14:textId="42602353" w:rsidR="00817075" w:rsidRDefault="00817075" w:rsidP="00817075">
            <w:pPr>
              <w:jc w:val="center"/>
              <w:rPr>
                <w:rFonts w:ascii="Helvetica Neue" w:hAnsi="Helvetica Neue"/>
              </w:rPr>
            </w:pPr>
            <w:r w:rsidRPr="00DC087B">
              <w:rPr>
                <w:rFonts w:ascii="Helvetica Neue" w:hAnsi="Helvetica Neue"/>
                <w:sz w:val="18"/>
                <w:szCs w:val="18"/>
              </w:rPr>
              <w:t xml:space="preserve">Fig. </w:t>
            </w:r>
            <w:r w:rsidRPr="00DC087B">
              <w:rPr>
                <w:rFonts w:ascii="Helvetica Neue" w:hAnsi="Helvetica Neue"/>
                <w:sz w:val="18"/>
                <w:szCs w:val="18"/>
              </w:rPr>
              <w:fldChar w:fldCharType="begin"/>
            </w:r>
            <w:r w:rsidRPr="00DC087B">
              <w:rPr>
                <w:rFonts w:ascii="Helvetica Neue" w:hAnsi="Helvetica Neue"/>
                <w:sz w:val="18"/>
                <w:szCs w:val="18"/>
              </w:rPr>
              <w:instrText xml:space="preserve"> SEQ Fig._ \* ARABIC </w:instrText>
            </w:r>
            <w:r w:rsidRPr="00DC087B">
              <w:rPr>
                <w:rFonts w:ascii="Helvetica Neue" w:hAnsi="Helvetica Neue"/>
                <w:sz w:val="18"/>
                <w:szCs w:val="18"/>
              </w:rPr>
              <w:fldChar w:fldCharType="separate"/>
            </w:r>
            <w:r w:rsidRPr="00DC087B">
              <w:rPr>
                <w:rFonts w:ascii="Helvetica Neue" w:hAnsi="Helvetica Neue"/>
                <w:noProof/>
                <w:sz w:val="18"/>
                <w:szCs w:val="18"/>
              </w:rPr>
              <w:t>3</w:t>
            </w:r>
            <w:r w:rsidRPr="00DC087B">
              <w:rPr>
                <w:rFonts w:ascii="Helvetica Neue" w:hAnsi="Helvetica Neue"/>
                <w:sz w:val="18"/>
                <w:szCs w:val="18"/>
              </w:rPr>
              <w:fldChar w:fldCharType="end"/>
            </w:r>
            <w:r w:rsidRPr="00DC087B">
              <w:rPr>
                <w:rFonts w:ascii="Helvetica Neue" w:hAnsi="Helvetica Neue"/>
                <w:sz w:val="18"/>
                <w:szCs w:val="18"/>
              </w:rPr>
              <w:t>: The Blind Man’s Stick. (</w:t>
            </w:r>
            <w:hyperlink r:id="rId11" w:history="1">
              <w:r w:rsidRPr="00DC087B">
                <w:rPr>
                  <w:rStyle w:val="Hyperlink"/>
                  <w:rFonts w:ascii="Helvetica Neue" w:hAnsi="Helvetica Neue"/>
                  <w:sz w:val="18"/>
                  <w:szCs w:val="18"/>
                </w:rPr>
                <w:t>https://www.thenewatlantis.com/text-patterns/the-blind-mans-stick</w:t>
              </w:r>
            </w:hyperlink>
            <w:r w:rsidRPr="00DC087B">
              <w:rPr>
                <w:rFonts w:ascii="Helvetica Neue" w:hAnsi="Helvetica Neue"/>
                <w:sz w:val="18"/>
                <w:szCs w:val="18"/>
              </w:rPr>
              <w:t>)</w:t>
            </w:r>
            <w:r w:rsidRPr="00206588">
              <w:t>.</w:t>
            </w:r>
          </w:p>
        </w:tc>
      </w:tr>
      <w:tr w:rsidR="003B1DFE" w14:paraId="37EE600B" w14:textId="77777777" w:rsidTr="003B1DFE">
        <w:tc>
          <w:tcPr>
            <w:tcW w:w="3545" w:type="dxa"/>
          </w:tcPr>
          <w:p w14:paraId="04B0C658" w14:textId="3BC3C9DC" w:rsidR="00A859D4" w:rsidRDefault="00817075" w:rsidP="007764F2">
            <w:pPr>
              <w:rPr>
                <w:rFonts w:ascii="Helvetica Neue" w:hAnsi="Helvetica Neue"/>
              </w:rPr>
            </w:pPr>
            <w:r>
              <w:rPr>
                <w:rFonts w:ascii="Helvetica Neue" w:hAnsi="Helvetica Neue"/>
                <w:b/>
                <w:bCs/>
              </w:rPr>
              <w:lastRenderedPageBreak/>
              <w:t>e</w:t>
            </w:r>
            <w:r w:rsidR="00A859D4" w:rsidRPr="00994F8C">
              <w:rPr>
                <w:rFonts w:ascii="Helvetica Neue" w:hAnsi="Helvetica Neue"/>
                <w:b/>
                <w:bCs/>
              </w:rPr>
              <w:t>ntanglement</w:t>
            </w:r>
            <w:r w:rsidRPr="003B1DFE">
              <w:rPr>
                <w:rFonts w:ascii="Helvetica Neue" w:hAnsi="Helvetica Neue"/>
              </w:rPr>
              <w:t>………………….</w:t>
            </w:r>
            <w:r w:rsidR="003B1DFE">
              <w:rPr>
                <w:rFonts w:ascii="Helvetica Neue" w:hAnsi="Helvetica Neue"/>
              </w:rPr>
              <w:t>..</w:t>
            </w:r>
          </w:p>
        </w:tc>
        <w:tc>
          <w:tcPr>
            <w:tcW w:w="7654" w:type="dxa"/>
          </w:tcPr>
          <w:p w14:paraId="0CB5DD10" w14:textId="243AF129" w:rsidR="00A859D4" w:rsidRDefault="00A859D4" w:rsidP="007764F2">
            <w:pPr>
              <w:rPr>
                <w:rFonts w:ascii="Helvetica Neue" w:hAnsi="Helvetica Neue"/>
              </w:rPr>
            </w:pPr>
            <w:r w:rsidRPr="00994F8C">
              <w:rPr>
                <w:rFonts w:ascii="Helvetica Neue" w:hAnsi="Helvetica Neue"/>
              </w:rPr>
              <w:t>This refers to the ineffable relationships between people and things. People and things are connected through recursive relationships and both influence and are influences by each other to create their social worlds and environments.</w:t>
            </w:r>
          </w:p>
        </w:tc>
      </w:tr>
      <w:tr w:rsidR="003B1DFE" w14:paraId="42AB90F6" w14:textId="77777777" w:rsidTr="003B1DFE">
        <w:tc>
          <w:tcPr>
            <w:tcW w:w="3545" w:type="dxa"/>
          </w:tcPr>
          <w:p w14:paraId="4EE7466F" w14:textId="5C58524C" w:rsidR="00A859D4" w:rsidRDefault="00A859D4" w:rsidP="007764F2">
            <w:pPr>
              <w:rPr>
                <w:rFonts w:ascii="Helvetica Neue" w:hAnsi="Helvetica Neue"/>
              </w:rPr>
            </w:pPr>
            <w:r w:rsidRPr="00994F8C">
              <w:rPr>
                <w:rFonts w:ascii="Helvetica Neue" w:hAnsi="Helvetica Neue"/>
                <w:b/>
                <w:bCs/>
              </w:rPr>
              <w:t>Fragmentation Theory</w:t>
            </w:r>
            <w:r w:rsidR="00817075" w:rsidRPr="003B1DFE">
              <w:rPr>
                <w:rFonts w:ascii="Helvetica Neue" w:hAnsi="Helvetica Neue"/>
              </w:rPr>
              <w:t>……</w:t>
            </w:r>
            <w:r w:rsidR="003B1DFE">
              <w:rPr>
                <w:rFonts w:ascii="Helvetica Neue" w:hAnsi="Helvetica Neue"/>
              </w:rPr>
              <w:t>..</w:t>
            </w:r>
            <w:r w:rsidR="00817075" w:rsidRPr="003B1DFE">
              <w:rPr>
                <w:rFonts w:ascii="Helvetica Neue" w:hAnsi="Helvetica Neue"/>
              </w:rPr>
              <w:t>….</w:t>
            </w:r>
          </w:p>
        </w:tc>
        <w:tc>
          <w:tcPr>
            <w:tcW w:w="7654" w:type="dxa"/>
          </w:tcPr>
          <w:p w14:paraId="1985F242" w14:textId="2A23F737" w:rsidR="00A859D4" w:rsidRDefault="007764F2" w:rsidP="007764F2">
            <w:pPr>
              <w:rPr>
                <w:rFonts w:ascii="Helvetica Neue" w:hAnsi="Helvetica Neue"/>
              </w:rPr>
            </w:pPr>
            <w:r w:rsidRPr="00994F8C">
              <w:rPr>
                <w:rFonts w:ascii="Helvetica Neue" w:hAnsi="Helvetica Neue"/>
              </w:rPr>
              <w:t>Fragmentation Theory, developed by John Chapman, refers to the deliberate breaking of items. Fragmentation serves to explain or represent social relationships. Fragmented objects are imbued with memories and personhood of the people and places involved with the practice. Personhood is embedded within fragmented objects; people create relationships with objects, and they accumulate their own history and agency as their meanings are passed down through time. These objects can be used to mediate relationships between people, as well as link people to places.</w:t>
            </w:r>
          </w:p>
        </w:tc>
      </w:tr>
      <w:tr w:rsidR="003B1DFE" w14:paraId="6DFA3CD6" w14:textId="77777777" w:rsidTr="003B1DFE">
        <w:tc>
          <w:tcPr>
            <w:tcW w:w="3545" w:type="dxa"/>
          </w:tcPr>
          <w:p w14:paraId="4AE5160B" w14:textId="3E3ADDEC" w:rsidR="00A859D4" w:rsidRDefault="00817075" w:rsidP="007764F2">
            <w:pPr>
              <w:rPr>
                <w:rFonts w:ascii="Helvetica Neue" w:hAnsi="Helvetica Neue"/>
              </w:rPr>
            </w:pPr>
            <w:r>
              <w:rPr>
                <w:rFonts w:ascii="Helvetica Neue" w:hAnsi="Helvetica Neue"/>
                <w:b/>
                <w:bCs/>
              </w:rPr>
              <w:t>i</w:t>
            </w:r>
            <w:r w:rsidR="00A859D4" w:rsidRPr="00994F8C">
              <w:rPr>
                <w:rFonts w:ascii="Helvetica Neue" w:hAnsi="Helvetica Neue"/>
                <w:b/>
                <w:bCs/>
              </w:rPr>
              <w:t>nalienability</w:t>
            </w:r>
            <w:r w:rsidRPr="003B1DFE">
              <w:rPr>
                <w:rFonts w:ascii="Helvetica Neue" w:hAnsi="Helvetica Neue"/>
              </w:rPr>
              <w:t>……………………</w:t>
            </w:r>
            <w:r w:rsidR="003B1DFE">
              <w:rPr>
                <w:rFonts w:ascii="Helvetica Neue" w:hAnsi="Helvetica Neue"/>
              </w:rPr>
              <w:t>.</w:t>
            </w:r>
          </w:p>
        </w:tc>
        <w:tc>
          <w:tcPr>
            <w:tcW w:w="7654" w:type="dxa"/>
          </w:tcPr>
          <w:p w14:paraId="518B7452" w14:textId="1F6FB05E" w:rsidR="00A859D4" w:rsidRDefault="007764F2" w:rsidP="007764F2">
            <w:pPr>
              <w:rPr>
                <w:rFonts w:ascii="Helvetica Neue" w:hAnsi="Helvetica Neue"/>
              </w:rPr>
            </w:pPr>
            <w:r>
              <w:rPr>
                <w:rFonts w:ascii="Helvetica Neue" w:hAnsi="Helvetica Neue"/>
              </w:rPr>
              <w:t>Inalienability is p</w:t>
            </w:r>
            <w:r w:rsidRPr="00994F8C">
              <w:rPr>
                <w:rFonts w:ascii="Helvetica Neue" w:hAnsi="Helvetica Neue"/>
              </w:rPr>
              <w:t xml:space="preserve">art of Chapman’s fragmentation (see </w:t>
            </w:r>
            <w:r w:rsidRPr="00994F8C">
              <w:rPr>
                <w:rFonts w:ascii="Helvetica Neue" w:hAnsi="Helvetica Neue"/>
                <w:b/>
                <w:bCs/>
              </w:rPr>
              <w:t>Fragmentation Theory</w:t>
            </w:r>
            <w:r w:rsidRPr="00994F8C">
              <w:rPr>
                <w:rFonts w:ascii="Helvetica Neue" w:hAnsi="Helvetica Neue"/>
              </w:rPr>
              <w:t>); refers to the inability to detach something from a specific person or persons because of the personhood, memories, identities, etc. that have been associated and imbued into the object. Inalienable possessions are taken out of circulation and can have multiple subsequent owners which inherit the inalienability of the object upon associating themselves with it.</w:t>
            </w:r>
          </w:p>
        </w:tc>
      </w:tr>
      <w:tr w:rsidR="003B1DFE" w14:paraId="3ED20C4A" w14:textId="77777777" w:rsidTr="003B1DFE">
        <w:tc>
          <w:tcPr>
            <w:tcW w:w="3545" w:type="dxa"/>
          </w:tcPr>
          <w:p w14:paraId="33FCCFC9" w14:textId="1F1993C9" w:rsidR="00A859D4" w:rsidRDefault="00A859D4" w:rsidP="007764F2">
            <w:pPr>
              <w:rPr>
                <w:rFonts w:ascii="Helvetica Neue" w:hAnsi="Helvetica Neue"/>
              </w:rPr>
            </w:pPr>
            <w:r w:rsidRPr="00994F8C">
              <w:rPr>
                <w:rFonts w:ascii="Helvetica Neue" w:hAnsi="Helvetica Neue"/>
                <w:b/>
                <w:bCs/>
              </w:rPr>
              <w:t>intra-action</w:t>
            </w:r>
            <w:r w:rsidR="00817075" w:rsidRPr="003B1DFE">
              <w:rPr>
                <w:rFonts w:ascii="Helvetica Neue" w:hAnsi="Helvetica Neue"/>
              </w:rPr>
              <w:t>……………………</w:t>
            </w:r>
          </w:p>
        </w:tc>
        <w:tc>
          <w:tcPr>
            <w:tcW w:w="7654" w:type="dxa"/>
          </w:tcPr>
          <w:p w14:paraId="04BC172F" w14:textId="61907E35" w:rsidR="00A859D4" w:rsidRDefault="007764F2" w:rsidP="007764F2">
            <w:pPr>
              <w:rPr>
                <w:rFonts w:ascii="Helvetica Neue" w:hAnsi="Helvetica Neue"/>
              </w:rPr>
            </w:pPr>
            <w:r w:rsidRPr="00994F8C">
              <w:rPr>
                <w:rFonts w:ascii="Helvetica Neue" w:hAnsi="Helvetica Neue"/>
              </w:rPr>
              <w:t xml:space="preserve">Part of Barad’s theory of vibrant matter and agential realism. Intra-actions refer to the constant and continuous coming together, materialization, and flows of matter to co-produce the material world. Intra-actions serve to blur the boundaries between things and encourage re-examination of the relationships between matter. (See </w:t>
            </w:r>
            <w:r w:rsidRPr="00994F8C">
              <w:rPr>
                <w:rFonts w:ascii="Helvetica Neue" w:hAnsi="Helvetica Neue"/>
                <w:b/>
                <w:bCs/>
              </w:rPr>
              <w:t>agential realism</w:t>
            </w:r>
            <w:r w:rsidRPr="00994F8C">
              <w:rPr>
                <w:rFonts w:ascii="Helvetica Neue" w:hAnsi="Helvetica Neue"/>
              </w:rPr>
              <w:t>).</w:t>
            </w:r>
          </w:p>
        </w:tc>
      </w:tr>
      <w:tr w:rsidR="003B1DFE" w14:paraId="17B16F78" w14:textId="77777777" w:rsidTr="003B1DFE">
        <w:tc>
          <w:tcPr>
            <w:tcW w:w="3545" w:type="dxa"/>
          </w:tcPr>
          <w:p w14:paraId="1B2E3ECA" w14:textId="2E3C815C" w:rsidR="00A859D4" w:rsidRDefault="00817075" w:rsidP="007764F2">
            <w:pPr>
              <w:rPr>
                <w:rFonts w:ascii="Helvetica Neue" w:hAnsi="Helvetica Neue"/>
              </w:rPr>
            </w:pPr>
            <w:r>
              <w:rPr>
                <w:rFonts w:ascii="Helvetica Neue" w:hAnsi="Helvetica Neue"/>
                <w:b/>
                <w:bCs/>
              </w:rPr>
              <w:lastRenderedPageBreak/>
              <w:t>m</w:t>
            </w:r>
            <w:r w:rsidR="00A859D4" w:rsidRPr="00994F8C">
              <w:rPr>
                <w:rFonts w:ascii="Helvetica Neue" w:hAnsi="Helvetica Neue"/>
                <w:b/>
                <w:bCs/>
              </w:rPr>
              <w:t>aterial</w:t>
            </w:r>
            <w:r w:rsidRPr="003B1DFE">
              <w:rPr>
                <w:rFonts w:ascii="Helvetica Neue" w:hAnsi="Helvetica Neue"/>
              </w:rPr>
              <w:t>…………………………</w:t>
            </w:r>
            <w:r w:rsidR="003B1DFE">
              <w:rPr>
                <w:rFonts w:ascii="Helvetica Neue" w:hAnsi="Helvetica Neue"/>
              </w:rPr>
              <w:t>...</w:t>
            </w:r>
          </w:p>
        </w:tc>
        <w:tc>
          <w:tcPr>
            <w:tcW w:w="7654" w:type="dxa"/>
          </w:tcPr>
          <w:p w14:paraId="582B7EEF" w14:textId="50890DB4" w:rsidR="00A859D4" w:rsidRDefault="007764F2" w:rsidP="007764F2">
            <w:pPr>
              <w:rPr>
                <w:rFonts w:ascii="Helvetica Neue" w:hAnsi="Helvetica Neue"/>
              </w:rPr>
            </w:pPr>
            <w:r w:rsidRPr="00994F8C">
              <w:rPr>
                <w:rFonts w:ascii="Helvetica Neue" w:hAnsi="Helvetica Neue"/>
              </w:rPr>
              <w:t xml:space="preserve">A material refers to the elements that make up a physical item. Materials are made of </w:t>
            </w:r>
            <w:r w:rsidRPr="00994F8C">
              <w:rPr>
                <w:rFonts w:ascii="Helvetica Neue" w:hAnsi="Helvetica Neue"/>
                <w:b/>
                <w:bCs/>
              </w:rPr>
              <w:t>matter</w:t>
            </w:r>
            <w:r w:rsidRPr="00994F8C">
              <w:rPr>
                <w:rFonts w:ascii="Helvetica Neue" w:hAnsi="Helvetica Neue"/>
              </w:rPr>
              <w:t xml:space="preserve"> (see </w:t>
            </w:r>
            <w:r w:rsidRPr="00994F8C">
              <w:rPr>
                <w:rFonts w:ascii="Helvetica Neue" w:hAnsi="Helvetica Neue"/>
                <w:b/>
                <w:bCs/>
              </w:rPr>
              <w:t>matter</w:t>
            </w:r>
            <w:r w:rsidRPr="00994F8C">
              <w:rPr>
                <w:rFonts w:ascii="Helvetica Neue" w:hAnsi="Helvetica Neue"/>
              </w:rPr>
              <w:t>) and can exist alone as something or be combined with others to make something.</w:t>
            </w:r>
          </w:p>
        </w:tc>
      </w:tr>
      <w:tr w:rsidR="003B1DFE" w14:paraId="0C023BAE" w14:textId="77777777" w:rsidTr="003B1DFE">
        <w:tc>
          <w:tcPr>
            <w:tcW w:w="3545" w:type="dxa"/>
          </w:tcPr>
          <w:p w14:paraId="0D0DFD81" w14:textId="35C85E41" w:rsidR="00A859D4" w:rsidRDefault="00A859D4" w:rsidP="007764F2">
            <w:pPr>
              <w:rPr>
                <w:rFonts w:ascii="Helvetica Neue" w:hAnsi="Helvetica Neue"/>
              </w:rPr>
            </w:pPr>
            <w:r w:rsidRPr="00994F8C">
              <w:rPr>
                <w:rFonts w:ascii="Helvetica Neue" w:hAnsi="Helvetica Neue"/>
                <w:b/>
                <w:bCs/>
              </w:rPr>
              <w:t>material culture</w:t>
            </w:r>
            <w:r w:rsidR="00817075" w:rsidRPr="003B1DFE">
              <w:rPr>
                <w:rFonts w:ascii="Helvetica Neue" w:hAnsi="Helvetica Neue"/>
              </w:rPr>
              <w:t>………………</w:t>
            </w:r>
            <w:r w:rsidR="003B1DFE">
              <w:rPr>
                <w:rFonts w:ascii="Helvetica Neue" w:hAnsi="Helvetica Neue"/>
              </w:rPr>
              <w:t>…</w:t>
            </w:r>
          </w:p>
        </w:tc>
        <w:tc>
          <w:tcPr>
            <w:tcW w:w="7654" w:type="dxa"/>
          </w:tcPr>
          <w:p w14:paraId="6CC2E619" w14:textId="565249FE" w:rsidR="00A859D4" w:rsidRDefault="007764F2" w:rsidP="007764F2">
            <w:pPr>
              <w:rPr>
                <w:rFonts w:ascii="Helvetica Neue" w:hAnsi="Helvetica Neue"/>
              </w:rPr>
            </w:pPr>
            <w:r w:rsidRPr="00994F8C">
              <w:rPr>
                <w:rFonts w:ascii="Helvetica Neue" w:hAnsi="Helvetica Neue"/>
              </w:rPr>
              <w:t xml:space="preserve">Material culture refers to the physical environment around us which we can study and experience with the mind and body; it includes objects and things (see </w:t>
            </w:r>
            <w:r w:rsidRPr="00994F8C">
              <w:rPr>
                <w:rFonts w:ascii="Helvetica Neue" w:hAnsi="Helvetica Neue"/>
                <w:b/>
                <w:bCs/>
              </w:rPr>
              <w:t>things, objects</w:t>
            </w:r>
            <w:r w:rsidRPr="00994F8C">
              <w:rPr>
                <w:rFonts w:ascii="Helvetica Neue" w:hAnsi="Helvetica Neue"/>
              </w:rPr>
              <w:t>).</w:t>
            </w:r>
          </w:p>
        </w:tc>
      </w:tr>
      <w:tr w:rsidR="003B1DFE" w14:paraId="76B7265F" w14:textId="77777777" w:rsidTr="003B1DFE">
        <w:tc>
          <w:tcPr>
            <w:tcW w:w="3545" w:type="dxa"/>
          </w:tcPr>
          <w:p w14:paraId="4CB83995" w14:textId="144F0961" w:rsidR="00A859D4" w:rsidRPr="003B1DFE" w:rsidRDefault="00A859D4" w:rsidP="007764F2">
            <w:pPr>
              <w:rPr>
                <w:rFonts w:ascii="Helvetica Neue" w:hAnsi="Helvetica Neue"/>
              </w:rPr>
            </w:pPr>
            <w:r w:rsidRPr="00994F8C">
              <w:rPr>
                <w:rFonts w:ascii="Helvetica Neue" w:hAnsi="Helvetica Neue"/>
                <w:b/>
                <w:bCs/>
              </w:rPr>
              <w:t>Material Engagement Theory</w:t>
            </w:r>
            <w:r w:rsidR="003B1DFE">
              <w:rPr>
                <w:rFonts w:ascii="Helvetica Neue" w:hAnsi="Helvetica Neue"/>
              </w:rPr>
              <w:t>...</w:t>
            </w:r>
          </w:p>
        </w:tc>
        <w:tc>
          <w:tcPr>
            <w:tcW w:w="7654" w:type="dxa"/>
          </w:tcPr>
          <w:p w14:paraId="5285EBE2" w14:textId="493A4196" w:rsidR="00A859D4" w:rsidRDefault="007764F2" w:rsidP="007764F2">
            <w:pPr>
              <w:rPr>
                <w:rFonts w:ascii="Helvetica Neue" w:hAnsi="Helvetica Neue"/>
              </w:rPr>
            </w:pPr>
            <w:r w:rsidRPr="00994F8C">
              <w:rPr>
                <w:rFonts w:ascii="Helvetica Neue" w:hAnsi="Helvetica Neue"/>
              </w:rPr>
              <w:t>MET is a relational ontology developed by Lambros Malafouris as a way to explain the relationship between people and objects. It explores the interactions between the mind and body and objects, particularly noting how the boundaries between people and things are mutable. He discusses how tools extend the body and create a body schema of both people and things interacting and connecting with one another (Malafouris, 2008). An example of this is the blind man’s stick, or metaplasticity of the brains of musicians (Malafouris, 2013, pp. 4-6, 46-47).</w:t>
            </w:r>
          </w:p>
        </w:tc>
      </w:tr>
      <w:tr w:rsidR="003B1DFE" w14:paraId="0DB88028" w14:textId="77777777" w:rsidTr="003B1DFE">
        <w:tc>
          <w:tcPr>
            <w:tcW w:w="3545" w:type="dxa"/>
          </w:tcPr>
          <w:p w14:paraId="6B481294" w14:textId="3B917EEE" w:rsidR="00A859D4" w:rsidRDefault="00817075" w:rsidP="007764F2">
            <w:pPr>
              <w:rPr>
                <w:rFonts w:ascii="Helvetica Neue" w:hAnsi="Helvetica Neue"/>
              </w:rPr>
            </w:pPr>
            <w:r>
              <w:rPr>
                <w:rFonts w:ascii="Helvetica Neue" w:hAnsi="Helvetica Neue"/>
                <w:b/>
                <w:bCs/>
              </w:rPr>
              <w:t>m</w:t>
            </w:r>
            <w:r w:rsidR="00A859D4" w:rsidRPr="00994F8C">
              <w:rPr>
                <w:rFonts w:ascii="Helvetica Neue" w:hAnsi="Helvetica Neue"/>
                <w:b/>
                <w:bCs/>
              </w:rPr>
              <w:t>ateriality</w:t>
            </w:r>
            <w:r w:rsidRPr="003B1DFE">
              <w:rPr>
                <w:rFonts w:ascii="Helvetica Neue" w:hAnsi="Helvetica Neue"/>
              </w:rPr>
              <w:t>…………………….</w:t>
            </w:r>
            <w:r w:rsidR="003B1DFE">
              <w:rPr>
                <w:rFonts w:ascii="Helvetica Neue" w:hAnsi="Helvetica Neue"/>
              </w:rPr>
              <w:t>...</w:t>
            </w:r>
            <w:r w:rsidRPr="003B1DFE">
              <w:rPr>
                <w:rFonts w:ascii="Helvetica Neue" w:hAnsi="Helvetica Neue"/>
              </w:rPr>
              <w:t>..</w:t>
            </w:r>
          </w:p>
        </w:tc>
        <w:tc>
          <w:tcPr>
            <w:tcW w:w="7654" w:type="dxa"/>
          </w:tcPr>
          <w:p w14:paraId="46FDB293" w14:textId="273B2A3F" w:rsidR="00A859D4" w:rsidRDefault="007764F2" w:rsidP="007764F2">
            <w:pPr>
              <w:rPr>
                <w:rFonts w:ascii="Helvetica Neue" w:hAnsi="Helvetica Neue"/>
              </w:rPr>
            </w:pPr>
            <w:r w:rsidRPr="00994F8C">
              <w:rPr>
                <w:rFonts w:ascii="Helvetica Neue" w:hAnsi="Helvetica Neue"/>
              </w:rPr>
              <w:t xml:space="preserve">Materiality of a thing refers to the character or material makeup of it, “the quality or character of the material of which a thing is made. Its material-ness” (Attala &amp; Steel, 2019, p. ix), as well as the recursive relationship it has with people. The materiality of an object involves the continuous flow of matter, and this process of materialization is what creates the material world.  </w:t>
            </w:r>
          </w:p>
        </w:tc>
      </w:tr>
      <w:tr w:rsidR="003B1DFE" w14:paraId="0B8C05E1" w14:textId="77777777" w:rsidTr="003B1DFE">
        <w:tc>
          <w:tcPr>
            <w:tcW w:w="3545" w:type="dxa"/>
          </w:tcPr>
          <w:p w14:paraId="7A192E55" w14:textId="6FE4FE7E" w:rsidR="00A859D4" w:rsidRDefault="00817075" w:rsidP="007764F2">
            <w:pPr>
              <w:rPr>
                <w:rFonts w:ascii="Helvetica Neue" w:hAnsi="Helvetica Neue"/>
              </w:rPr>
            </w:pPr>
            <w:r>
              <w:rPr>
                <w:rFonts w:ascii="Helvetica Neue" w:hAnsi="Helvetica Neue"/>
                <w:b/>
                <w:bCs/>
              </w:rPr>
              <w:t>m</w:t>
            </w:r>
            <w:r w:rsidR="00A859D4" w:rsidRPr="00994F8C">
              <w:rPr>
                <w:rFonts w:ascii="Helvetica Neue" w:hAnsi="Helvetica Neue"/>
                <w:b/>
                <w:bCs/>
              </w:rPr>
              <w:t>atter</w:t>
            </w:r>
            <w:r w:rsidRPr="003B1DFE">
              <w:rPr>
                <w:rFonts w:ascii="Helvetica Neue" w:hAnsi="Helvetica Neue"/>
              </w:rPr>
              <w:t>………………</w:t>
            </w:r>
            <w:r w:rsidR="003B1DFE">
              <w:rPr>
                <w:rFonts w:ascii="Helvetica Neue" w:hAnsi="Helvetica Neue"/>
              </w:rPr>
              <w:t>...</w:t>
            </w:r>
            <w:r w:rsidRPr="003B1DFE">
              <w:rPr>
                <w:rFonts w:ascii="Helvetica Neue" w:hAnsi="Helvetica Neue"/>
              </w:rPr>
              <w:t>…………...</w:t>
            </w:r>
          </w:p>
        </w:tc>
        <w:tc>
          <w:tcPr>
            <w:tcW w:w="7654" w:type="dxa"/>
          </w:tcPr>
          <w:p w14:paraId="33136EBD" w14:textId="46805871" w:rsidR="00A859D4" w:rsidRDefault="007764F2" w:rsidP="007764F2">
            <w:pPr>
              <w:rPr>
                <w:rFonts w:ascii="Helvetica Neue" w:hAnsi="Helvetica Neue"/>
              </w:rPr>
            </w:pPr>
            <w:r w:rsidRPr="00994F8C">
              <w:rPr>
                <w:rFonts w:ascii="Helvetica Neue" w:hAnsi="Helvetica Neue"/>
              </w:rPr>
              <w:t>Matter refers to the elements that make up physical items and take up physical space (Attala &amp; Steel, 2019, p. xvii).</w:t>
            </w:r>
            <w:r w:rsidR="0024406D">
              <w:rPr>
                <w:rFonts w:ascii="Helvetica Neue" w:hAnsi="Helvetica Neue"/>
              </w:rPr>
              <w:t xml:space="preserve"> </w:t>
            </w:r>
          </w:p>
        </w:tc>
      </w:tr>
      <w:tr w:rsidR="003B1DFE" w14:paraId="0E7E3AA6" w14:textId="77777777" w:rsidTr="003B1DFE">
        <w:tc>
          <w:tcPr>
            <w:tcW w:w="3545" w:type="dxa"/>
          </w:tcPr>
          <w:p w14:paraId="15CA4B94" w14:textId="1D3B946F" w:rsidR="00A859D4" w:rsidRDefault="00A859D4" w:rsidP="007764F2">
            <w:pPr>
              <w:rPr>
                <w:rFonts w:ascii="Helvetica Neue" w:hAnsi="Helvetica Neue"/>
              </w:rPr>
            </w:pPr>
            <w:r w:rsidRPr="00994F8C">
              <w:rPr>
                <w:rFonts w:ascii="Helvetica Neue" w:hAnsi="Helvetica Neue"/>
                <w:b/>
                <w:bCs/>
              </w:rPr>
              <w:t>New Materialisms</w:t>
            </w:r>
            <w:r w:rsidR="00817075" w:rsidRPr="003B1DFE">
              <w:rPr>
                <w:rFonts w:ascii="Helvetica Neue" w:hAnsi="Helvetica Neue"/>
              </w:rPr>
              <w:t>…</w:t>
            </w:r>
            <w:r w:rsidR="003B1DFE">
              <w:rPr>
                <w:rFonts w:ascii="Helvetica Neue" w:hAnsi="Helvetica Neue"/>
              </w:rPr>
              <w:t>…</w:t>
            </w:r>
            <w:r w:rsidR="00817075" w:rsidRPr="003B1DFE">
              <w:rPr>
                <w:rFonts w:ascii="Helvetica Neue" w:hAnsi="Helvetica Neue"/>
              </w:rPr>
              <w:t>………….</w:t>
            </w:r>
          </w:p>
        </w:tc>
        <w:tc>
          <w:tcPr>
            <w:tcW w:w="7654" w:type="dxa"/>
          </w:tcPr>
          <w:p w14:paraId="0CC22125" w14:textId="2064BA67" w:rsidR="00A859D4" w:rsidRDefault="007764F2" w:rsidP="007764F2">
            <w:pPr>
              <w:rPr>
                <w:rFonts w:ascii="Helvetica Neue" w:hAnsi="Helvetica Neue"/>
              </w:rPr>
            </w:pPr>
            <w:r w:rsidRPr="00994F8C">
              <w:rPr>
                <w:rFonts w:ascii="Helvetica Neue" w:hAnsi="Helvetica Neue"/>
              </w:rPr>
              <w:t>New Materialisms is a relational ontology introduced to examine and critique previously established approaches about archaeology and material culture studies. It was developed to decenter the anthropocentric approach and focus on recognizing that objects and humans are equal participants in the world. The New Materialist approach “gives voice to ‘others’ and recognizes the part non-human other play in the creation of our worlds” (Attala &amp; Steel, 2019, p. 1).</w:t>
            </w:r>
            <w:r w:rsidR="00B37626">
              <w:rPr>
                <w:rFonts w:ascii="Helvetica Neue" w:hAnsi="Helvetica Neue"/>
              </w:rPr>
              <w:t xml:space="preserve"> The New Materialist approach involves discussion of hierarchies and relationships between people and things, </w:t>
            </w:r>
            <w:r w:rsidR="00FF01F8">
              <w:rPr>
                <w:rFonts w:ascii="Helvetica Neue" w:hAnsi="Helvetica Neue"/>
              </w:rPr>
              <w:t xml:space="preserve">object agency, as well as the role of matter in material and social worlds. </w:t>
            </w:r>
          </w:p>
        </w:tc>
      </w:tr>
      <w:tr w:rsidR="003B1DFE" w14:paraId="6C13ABBE" w14:textId="77777777" w:rsidTr="003B1DFE">
        <w:tc>
          <w:tcPr>
            <w:tcW w:w="3545" w:type="dxa"/>
          </w:tcPr>
          <w:p w14:paraId="1B9C9A3E" w14:textId="4240480E" w:rsidR="00A859D4" w:rsidRDefault="00A859D4" w:rsidP="007764F2">
            <w:pPr>
              <w:rPr>
                <w:rFonts w:ascii="Helvetica Neue" w:hAnsi="Helvetica Neue"/>
              </w:rPr>
            </w:pPr>
            <w:r w:rsidRPr="00994F8C">
              <w:rPr>
                <w:rFonts w:ascii="Helvetica Neue" w:hAnsi="Helvetica Neue"/>
                <w:b/>
                <w:bCs/>
              </w:rPr>
              <w:t>object biography</w:t>
            </w:r>
            <w:r w:rsidR="00817075" w:rsidRPr="00943F46">
              <w:rPr>
                <w:rFonts w:ascii="Helvetica Neue" w:hAnsi="Helvetica Neue"/>
              </w:rPr>
              <w:t>…………</w:t>
            </w:r>
            <w:r w:rsidR="003B1DFE" w:rsidRPr="00943F46">
              <w:rPr>
                <w:rFonts w:ascii="Helvetica Neue" w:hAnsi="Helvetica Neue"/>
              </w:rPr>
              <w:t>…...</w:t>
            </w:r>
            <w:r w:rsidR="003B1DFE">
              <w:rPr>
                <w:rFonts w:ascii="Helvetica Neue" w:hAnsi="Helvetica Neue"/>
              </w:rPr>
              <w:t>...</w:t>
            </w:r>
          </w:p>
        </w:tc>
        <w:tc>
          <w:tcPr>
            <w:tcW w:w="7654" w:type="dxa"/>
          </w:tcPr>
          <w:p w14:paraId="4D960596" w14:textId="77777777" w:rsidR="00A859D4" w:rsidRDefault="007764F2" w:rsidP="007764F2">
            <w:pPr>
              <w:rPr>
                <w:rFonts w:ascii="Helvetica Neue" w:hAnsi="Helvetica Neue"/>
              </w:rPr>
            </w:pPr>
            <w:r>
              <w:rPr>
                <w:rFonts w:ascii="Helvetica Neue" w:hAnsi="Helvetica Neue"/>
              </w:rPr>
              <w:t>A</w:t>
            </w:r>
            <w:r w:rsidRPr="00994F8C">
              <w:rPr>
                <w:rFonts w:ascii="Helvetica Neue" w:hAnsi="Helvetica Neue"/>
              </w:rPr>
              <w:t>n object biography refers to a concept developed by Kopytoff (1986) to recognize the “social life of things” and thus examine and understand their histories. The idea of an object having a biography is entwined with it, granting it meaning and agency via social praxis. They also can become deeply personal “biographical objects,” as described by Hoskins (2006, p. 78), when imbued with specific meanings by one or more of their owners at a given point in the object’s life. To understand an object’s biography is to approach it like an anthropologist, “one would ask questions similar to those one asks about people” (Kopytoff, 1986, p. 66).</w:t>
            </w:r>
          </w:p>
          <w:p w14:paraId="664749DB" w14:textId="77777777" w:rsidR="00817075" w:rsidRDefault="00817075" w:rsidP="00817075">
            <w:pPr>
              <w:keepNext/>
              <w:jc w:val="center"/>
            </w:pPr>
            <w:r>
              <w:lastRenderedPageBreak/>
              <w:fldChar w:fldCharType="begin"/>
            </w:r>
            <w:r>
              <w:instrText xml:space="preserve"> INCLUDEPICTURE "https://static.boredpanda.com/blog/wp-content/uploads/2015/03/old-plush-toys-before-after-katja-kemnitz-11.jpg" \* MERGEFORMATINET </w:instrText>
            </w:r>
            <w:r>
              <w:fldChar w:fldCharType="separate"/>
            </w:r>
            <w:r>
              <w:rPr>
                <w:noProof/>
              </w:rPr>
              <w:drawing>
                <wp:inline distT="0" distB="0" distL="0" distR="0" wp14:anchorId="2B6AC2C4" wp14:editId="39BEAB2D">
                  <wp:extent cx="3329898" cy="4433104"/>
                  <wp:effectExtent l="0" t="0" r="0" b="0"/>
                  <wp:docPr id="1215543608" name="Picture 4" descr="old-plush-toys-before-after-katja-kemnitz-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ld-plush-toys-before-after-katja-kemnitz-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37969" cy="4443850"/>
                          </a:xfrm>
                          <a:prstGeom prst="rect">
                            <a:avLst/>
                          </a:prstGeom>
                          <a:noFill/>
                          <a:ln>
                            <a:noFill/>
                          </a:ln>
                        </pic:spPr>
                      </pic:pic>
                    </a:graphicData>
                  </a:graphic>
                </wp:inline>
              </w:drawing>
            </w:r>
            <w:r>
              <w:fldChar w:fldCharType="end"/>
            </w:r>
          </w:p>
          <w:p w14:paraId="61D60F3E" w14:textId="57E9478D" w:rsidR="00817075" w:rsidRDefault="00817075" w:rsidP="00817075">
            <w:pPr>
              <w:jc w:val="center"/>
              <w:rPr>
                <w:rFonts w:ascii="Helvetica Neue" w:hAnsi="Helvetica Neue"/>
              </w:rPr>
            </w:pPr>
            <w:r w:rsidRPr="00DC087B">
              <w:rPr>
                <w:rFonts w:ascii="Helvetica Neue" w:hAnsi="Helvetica Neue"/>
                <w:sz w:val="18"/>
                <w:szCs w:val="18"/>
              </w:rPr>
              <w:t xml:space="preserve">Fig. </w:t>
            </w:r>
            <w:r w:rsidRPr="00DC087B">
              <w:rPr>
                <w:rFonts w:ascii="Helvetica Neue" w:hAnsi="Helvetica Neue"/>
                <w:sz w:val="18"/>
                <w:szCs w:val="18"/>
              </w:rPr>
              <w:fldChar w:fldCharType="begin"/>
            </w:r>
            <w:r w:rsidRPr="00DC087B">
              <w:rPr>
                <w:rFonts w:ascii="Helvetica Neue" w:hAnsi="Helvetica Neue"/>
                <w:sz w:val="18"/>
                <w:szCs w:val="18"/>
              </w:rPr>
              <w:instrText xml:space="preserve"> SEQ Fig._ \* ARABIC </w:instrText>
            </w:r>
            <w:r w:rsidRPr="00DC087B">
              <w:rPr>
                <w:rFonts w:ascii="Helvetica Neue" w:hAnsi="Helvetica Neue"/>
                <w:sz w:val="18"/>
                <w:szCs w:val="18"/>
              </w:rPr>
              <w:fldChar w:fldCharType="separate"/>
            </w:r>
            <w:r w:rsidRPr="00DC087B">
              <w:rPr>
                <w:rFonts w:ascii="Helvetica Neue" w:hAnsi="Helvetica Neue"/>
                <w:noProof/>
                <w:sz w:val="18"/>
                <w:szCs w:val="18"/>
              </w:rPr>
              <w:t>4</w:t>
            </w:r>
            <w:r w:rsidRPr="00DC087B">
              <w:rPr>
                <w:rFonts w:ascii="Helvetica Neue" w:hAnsi="Helvetica Neue"/>
                <w:sz w:val="18"/>
                <w:szCs w:val="18"/>
              </w:rPr>
              <w:fldChar w:fldCharType="end"/>
            </w:r>
            <w:r w:rsidRPr="00DC087B">
              <w:rPr>
                <w:rFonts w:ascii="Helvetica Neue" w:hAnsi="Helvetica Neue"/>
                <w:sz w:val="18"/>
                <w:szCs w:val="18"/>
              </w:rPr>
              <w:t>: Brand new stuffed lamb and a worn-out stuffed lamb, part of Katja Kemnitz's “Too Much Love” Series. (</w:t>
            </w:r>
            <w:hyperlink r:id="rId13" w:history="1">
              <w:r w:rsidRPr="00DC087B">
                <w:rPr>
                  <w:rStyle w:val="Hyperlink"/>
                  <w:rFonts w:ascii="Helvetica Neue" w:hAnsi="Helvetica Neue"/>
                  <w:sz w:val="18"/>
                  <w:szCs w:val="18"/>
                </w:rPr>
                <w:t>https://www.boredpanda.com/old-plush-toys-before-after-katja-kemnitz/</w:t>
              </w:r>
            </w:hyperlink>
            <w:r w:rsidRPr="00DC087B">
              <w:rPr>
                <w:rFonts w:ascii="Helvetica Neue" w:hAnsi="Helvetica Neue"/>
                <w:sz w:val="18"/>
                <w:szCs w:val="18"/>
              </w:rPr>
              <w:t>).</w:t>
            </w:r>
          </w:p>
        </w:tc>
      </w:tr>
      <w:tr w:rsidR="003B1DFE" w14:paraId="5F91CF4F" w14:textId="77777777" w:rsidTr="003B1DFE">
        <w:tc>
          <w:tcPr>
            <w:tcW w:w="3545" w:type="dxa"/>
          </w:tcPr>
          <w:p w14:paraId="49B07948" w14:textId="0C61843D" w:rsidR="00A859D4" w:rsidRDefault="00A859D4" w:rsidP="007764F2">
            <w:pPr>
              <w:rPr>
                <w:rFonts w:ascii="Helvetica Neue" w:hAnsi="Helvetica Neue"/>
              </w:rPr>
            </w:pPr>
            <w:r w:rsidRPr="00994F8C">
              <w:rPr>
                <w:rFonts w:ascii="Helvetica Neue" w:hAnsi="Helvetica Neue"/>
                <w:b/>
                <w:bCs/>
              </w:rPr>
              <w:lastRenderedPageBreak/>
              <w:t>object itinerary</w:t>
            </w:r>
            <w:r w:rsidR="00817075" w:rsidRPr="003B1DFE">
              <w:rPr>
                <w:rFonts w:ascii="Helvetica Neue" w:hAnsi="Helvetica Neue"/>
              </w:rPr>
              <w:t>……………</w:t>
            </w:r>
            <w:r w:rsidR="003B1DFE" w:rsidRPr="003B1DFE">
              <w:rPr>
                <w:rFonts w:ascii="Helvetica Neue" w:hAnsi="Helvetica Neue"/>
              </w:rPr>
              <w:t>…</w:t>
            </w:r>
            <w:r w:rsidR="003B1DFE">
              <w:rPr>
                <w:rFonts w:ascii="Helvetica Neue" w:hAnsi="Helvetica Neue"/>
              </w:rPr>
              <w:t>…..</w:t>
            </w:r>
          </w:p>
        </w:tc>
        <w:tc>
          <w:tcPr>
            <w:tcW w:w="7654" w:type="dxa"/>
          </w:tcPr>
          <w:p w14:paraId="1229904F" w14:textId="441CEDB3" w:rsidR="00A859D4" w:rsidRDefault="007764F2" w:rsidP="007764F2">
            <w:pPr>
              <w:rPr>
                <w:rFonts w:ascii="Helvetica Neue" w:hAnsi="Helvetica Neue"/>
              </w:rPr>
            </w:pPr>
            <w:r w:rsidRPr="00994F8C">
              <w:rPr>
                <w:rFonts w:ascii="Helvetica Neue" w:hAnsi="Helvetica Neue"/>
              </w:rPr>
              <w:t xml:space="preserve">A spatial and temporal approach to the history of objects which looks at the flow of things through space and time. An object’s itinerary considers each movement and state of the object during its history to better understand it. Joyce’s concept of things in motion is a foundational principle to object itinerary as it focuses on rejecting the restrictive, anthropocentric approach that object biographies (see </w:t>
            </w:r>
            <w:r w:rsidRPr="00994F8C">
              <w:rPr>
                <w:rFonts w:ascii="Helvetica Neue" w:hAnsi="Helvetica Neue"/>
                <w:b/>
                <w:bCs/>
              </w:rPr>
              <w:t>object biography</w:t>
            </w:r>
            <w:r w:rsidRPr="00994F8C">
              <w:rPr>
                <w:rFonts w:ascii="Helvetica Neue" w:hAnsi="Helvetica Neue"/>
              </w:rPr>
              <w:t>) present (2015, p. 23).</w:t>
            </w:r>
          </w:p>
        </w:tc>
      </w:tr>
      <w:tr w:rsidR="003B1DFE" w14:paraId="37573914" w14:textId="77777777" w:rsidTr="003B1DFE">
        <w:tc>
          <w:tcPr>
            <w:tcW w:w="3545" w:type="dxa"/>
          </w:tcPr>
          <w:p w14:paraId="77CAF4C5" w14:textId="7633ECDC" w:rsidR="00A859D4" w:rsidRDefault="00817075" w:rsidP="007764F2">
            <w:pPr>
              <w:rPr>
                <w:rFonts w:ascii="Helvetica Neue" w:hAnsi="Helvetica Neue"/>
              </w:rPr>
            </w:pPr>
            <w:r>
              <w:rPr>
                <w:rFonts w:ascii="Helvetica Neue" w:hAnsi="Helvetica Neue"/>
                <w:b/>
                <w:bCs/>
              </w:rPr>
              <w:t>o</w:t>
            </w:r>
            <w:r w:rsidR="00A859D4" w:rsidRPr="00994F8C">
              <w:rPr>
                <w:rFonts w:ascii="Helvetica Neue" w:hAnsi="Helvetica Neue"/>
                <w:b/>
                <w:bCs/>
              </w:rPr>
              <w:t>bject</w:t>
            </w:r>
            <w:r w:rsidRPr="003B1DFE">
              <w:rPr>
                <w:rFonts w:ascii="Helvetica Neue" w:hAnsi="Helvetica Neue"/>
              </w:rPr>
              <w:t>…………………………...</w:t>
            </w:r>
            <w:r w:rsidR="003B1DFE">
              <w:rPr>
                <w:rFonts w:ascii="Helvetica Neue" w:hAnsi="Helvetica Neue"/>
              </w:rPr>
              <w:t>...</w:t>
            </w:r>
          </w:p>
        </w:tc>
        <w:tc>
          <w:tcPr>
            <w:tcW w:w="7654" w:type="dxa"/>
          </w:tcPr>
          <w:p w14:paraId="401D190F" w14:textId="75D58BB9" w:rsidR="00A859D4" w:rsidRDefault="007764F2" w:rsidP="007764F2">
            <w:pPr>
              <w:rPr>
                <w:rFonts w:ascii="Helvetica Neue" w:hAnsi="Helvetica Neue"/>
              </w:rPr>
            </w:pPr>
            <w:r w:rsidRPr="00994F8C">
              <w:rPr>
                <w:rFonts w:ascii="Helvetica Neue" w:hAnsi="Helvetica Neue"/>
              </w:rPr>
              <w:t xml:space="preserve">There are many contesting definitions of an object by scholars’ commonly recognized but a general consensus among them includes an object described as items that are defined, discrete, and alienable. The concept of objecthood and thingification are entangled and foundational concepts in the New Materialism approach to material culture studies (see </w:t>
            </w:r>
            <w:r w:rsidRPr="00994F8C">
              <w:rPr>
                <w:rFonts w:ascii="Helvetica Neue" w:hAnsi="Helvetica Neue"/>
                <w:b/>
                <w:bCs/>
              </w:rPr>
              <w:t>thing</w:t>
            </w:r>
            <w:r w:rsidRPr="00994F8C">
              <w:rPr>
                <w:rFonts w:ascii="Helvetica Neue" w:hAnsi="Helvetica Neue"/>
              </w:rPr>
              <w:t>).</w:t>
            </w:r>
            <w:r w:rsidR="0024406D">
              <w:rPr>
                <w:rFonts w:ascii="Helvetica Neue" w:hAnsi="Helvetica Neue"/>
              </w:rPr>
              <w:t xml:space="preserve"> Objects are bounded </w:t>
            </w:r>
            <w:r w:rsidR="00304F53">
              <w:rPr>
                <w:rFonts w:ascii="Helvetica Neue" w:hAnsi="Helvetica Neue"/>
              </w:rPr>
              <w:t>entities,</w:t>
            </w:r>
            <w:r w:rsidR="0024406D">
              <w:rPr>
                <w:rFonts w:ascii="Helvetica Neue" w:hAnsi="Helvetica Neue"/>
              </w:rPr>
              <w:t xml:space="preserve"> and they are definable. </w:t>
            </w:r>
          </w:p>
        </w:tc>
      </w:tr>
      <w:tr w:rsidR="003B1DFE" w14:paraId="00F6103F" w14:textId="77777777" w:rsidTr="003B1DFE">
        <w:tc>
          <w:tcPr>
            <w:tcW w:w="3545" w:type="dxa"/>
          </w:tcPr>
          <w:p w14:paraId="28358BEF" w14:textId="1B979A7F" w:rsidR="00A859D4" w:rsidRDefault="00A859D4" w:rsidP="007764F2">
            <w:pPr>
              <w:rPr>
                <w:rFonts w:ascii="Helvetica Neue" w:hAnsi="Helvetica Neue"/>
              </w:rPr>
            </w:pPr>
            <w:r w:rsidRPr="00994F8C">
              <w:rPr>
                <w:rFonts w:ascii="Helvetica Neue" w:hAnsi="Helvetica Neue"/>
                <w:b/>
                <w:bCs/>
              </w:rPr>
              <w:t>Sensory Archaeology</w:t>
            </w:r>
            <w:r w:rsidR="00817075" w:rsidRPr="00943F46">
              <w:rPr>
                <w:rFonts w:ascii="Helvetica Neue" w:hAnsi="Helvetica Neue"/>
              </w:rPr>
              <w:t>………</w:t>
            </w:r>
            <w:r w:rsidR="003B1DFE">
              <w:rPr>
                <w:rFonts w:ascii="Helvetica Neue" w:hAnsi="Helvetica Neue"/>
              </w:rPr>
              <w:t>…..</w:t>
            </w:r>
          </w:p>
        </w:tc>
        <w:tc>
          <w:tcPr>
            <w:tcW w:w="7654" w:type="dxa"/>
          </w:tcPr>
          <w:p w14:paraId="6EE75561" w14:textId="657F259B" w:rsidR="00A859D4" w:rsidRDefault="007764F2" w:rsidP="007764F2">
            <w:pPr>
              <w:rPr>
                <w:rFonts w:ascii="Helvetica Neue" w:hAnsi="Helvetica Neue"/>
              </w:rPr>
            </w:pPr>
            <w:r w:rsidRPr="00994F8C">
              <w:rPr>
                <w:rFonts w:ascii="Helvetica Neue" w:hAnsi="Helvetica Neue"/>
              </w:rPr>
              <w:t xml:space="preserve">Sensory archaeology is involved with focusing on the bodily senses within the study of material culture. It is an approach focused on decentering sight as the primary way to engage with things and bringing the other 4 senses into the foreground. The </w:t>
            </w:r>
            <w:r w:rsidRPr="00994F8C">
              <w:rPr>
                <w:rFonts w:ascii="Helvetica Neue" w:hAnsi="Helvetica Neue"/>
              </w:rPr>
              <w:lastRenderedPageBreak/>
              <w:t>theory surrounding sensory archaeology was primarily developed by Heidegger and his concept of Dasein (1962) and Merleau-Ponty (1945) as well as notable contributions from Bailey’s (2014) cheirotic approach. Sensorial approaches to archaeology aim to step away from the Cartesian cut and acknowledge that material culture can be experienced with the body as well as the mind, that all 5 senses provide essential information about the material world and archaeological studies.</w:t>
            </w:r>
            <w:r w:rsidR="0024406D">
              <w:rPr>
                <w:rFonts w:ascii="Helvetica Neue" w:hAnsi="Helvetica Neue"/>
              </w:rPr>
              <w:t xml:space="preserve"> Sensory archaeology questions the western focus on visuality and aims to emphasize the usefulness of engaging with the material world with the whole body. Using all five senses and immersing the body and mind can provide insight into the past that visualization-only approaches cannot. </w:t>
            </w:r>
            <w:r w:rsidR="00FF01F8">
              <w:rPr>
                <w:rFonts w:ascii="Helvetica Neue" w:hAnsi="Helvetica Neue"/>
              </w:rPr>
              <w:t xml:space="preserve">Technology is also discussed as a tool to enhance the sensorial approach to archeology and engagement with material culture, including 3D models or haptic experiences to enhance tourist experiences in museums. </w:t>
            </w:r>
          </w:p>
          <w:p w14:paraId="7C72B360" w14:textId="77777777" w:rsidR="0024406D" w:rsidRDefault="0024406D" w:rsidP="007764F2">
            <w:pPr>
              <w:rPr>
                <w:rFonts w:ascii="Helvetica Neue" w:hAnsi="Helvetica Neue"/>
              </w:rPr>
            </w:pPr>
          </w:p>
          <w:p w14:paraId="3BC36592" w14:textId="77777777" w:rsidR="00817075" w:rsidRDefault="00817075" w:rsidP="00817075">
            <w:pPr>
              <w:pStyle w:val="ListParagraph"/>
              <w:keepNext/>
              <w:jc w:val="center"/>
            </w:pPr>
            <w:r>
              <w:fldChar w:fldCharType="begin"/>
            </w:r>
            <w:r>
              <w:instrText xml:space="preserve"> INCLUDEPICTURE "https://images.squarespace-cdn.com/content/v1/5c52f8d49d5abb8958c34dd7/b01165cc-9006-4970-a31d-a7cd02791182/PHOTO-2022-10-19-22-59-55.jpg?format=1000w" \* MERGEFORMATINET </w:instrText>
            </w:r>
            <w:r>
              <w:fldChar w:fldCharType="separate"/>
            </w:r>
            <w:r>
              <w:rPr>
                <w:noProof/>
              </w:rPr>
              <w:drawing>
                <wp:inline distT="0" distB="0" distL="0" distR="0" wp14:anchorId="274C6972" wp14:editId="39760E69">
                  <wp:extent cx="2392326" cy="1905938"/>
                  <wp:effectExtent l="0" t="0" r="0" b="0"/>
                  <wp:docPr id="1995228377" name="Picture 2" descr="A person working on a pottery whe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408266" name="Picture 2" descr="A person working on a pottery wheel&#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10016" cy="1920031"/>
                          </a:xfrm>
                          <a:prstGeom prst="rect">
                            <a:avLst/>
                          </a:prstGeom>
                          <a:noFill/>
                          <a:ln>
                            <a:noFill/>
                          </a:ln>
                        </pic:spPr>
                      </pic:pic>
                    </a:graphicData>
                  </a:graphic>
                </wp:inline>
              </w:drawing>
            </w:r>
            <w:r>
              <w:fldChar w:fldCharType="end"/>
            </w:r>
          </w:p>
          <w:p w14:paraId="2946173C" w14:textId="01139D60" w:rsidR="00817075" w:rsidRDefault="00817075" w:rsidP="00817075">
            <w:pPr>
              <w:pStyle w:val="Caption"/>
              <w:jc w:val="center"/>
              <w:rPr>
                <w:rFonts w:ascii="Helvetica Neue" w:hAnsi="Helvetica Neue"/>
              </w:rPr>
            </w:pPr>
            <w:r w:rsidRPr="00DC087B">
              <w:rPr>
                <w:rFonts w:ascii="Helvetica Neue" w:hAnsi="Helvetica Neue"/>
              </w:rPr>
              <w:t xml:space="preserve">Fig. </w:t>
            </w:r>
            <w:r w:rsidRPr="00DC087B">
              <w:rPr>
                <w:rFonts w:ascii="Helvetica Neue" w:hAnsi="Helvetica Neue"/>
              </w:rPr>
              <w:fldChar w:fldCharType="begin"/>
            </w:r>
            <w:r w:rsidRPr="00DC087B">
              <w:rPr>
                <w:rFonts w:ascii="Helvetica Neue" w:hAnsi="Helvetica Neue"/>
              </w:rPr>
              <w:instrText xml:space="preserve"> SEQ Fig._ \* ARABIC </w:instrText>
            </w:r>
            <w:r w:rsidRPr="00DC087B">
              <w:rPr>
                <w:rFonts w:ascii="Helvetica Neue" w:hAnsi="Helvetica Neue"/>
              </w:rPr>
              <w:fldChar w:fldCharType="separate"/>
            </w:r>
            <w:r w:rsidRPr="00DC087B">
              <w:rPr>
                <w:rFonts w:ascii="Helvetica Neue" w:hAnsi="Helvetica Neue"/>
                <w:noProof/>
              </w:rPr>
              <w:t>5</w:t>
            </w:r>
            <w:r w:rsidRPr="00DC087B">
              <w:rPr>
                <w:rFonts w:ascii="Helvetica Neue" w:hAnsi="Helvetica Neue"/>
              </w:rPr>
              <w:fldChar w:fldCharType="end"/>
            </w:r>
            <w:r w:rsidRPr="00DC087B">
              <w:rPr>
                <w:rFonts w:ascii="Helvetica Neue" w:hAnsi="Helvetica Neue"/>
              </w:rPr>
              <w:t>: Someone throwing pottery on a wheel. (</w:t>
            </w:r>
            <w:hyperlink r:id="rId15" w:history="1">
              <w:r w:rsidRPr="00DC087B">
                <w:rPr>
                  <w:rStyle w:val="Hyperlink"/>
                  <w:rFonts w:ascii="Helvetica Neue" w:hAnsi="Helvetica Neue"/>
                </w:rPr>
                <w:t>https://www.clayworksstudios.co.uk/shop-weekly-throwing-course-mixed-ability/learn/to/throw/pots/on/wheel/beginners</w:t>
              </w:r>
            </w:hyperlink>
            <w:r w:rsidRPr="00DC087B">
              <w:rPr>
                <w:rFonts w:ascii="Helvetica Neue" w:hAnsi="Helvetica Neue"/>
              </w:rPr>
              <w:t>).</w:t>
            </w:r>
          </w:p>
        </w:tc>
      </w:tr>
      <w:tr w:rsidR="003B1DFE" w14:paraId="2910CF41" w14:textId="77777777" w:rsidTr="003B1DFE">
        <w:tc>
          <w:tcPr>
            <w:tcW w:w="3545" w:type="dxa"/>
          </w:tcPr>
          <w:p w14:paraId="7ADA043E" w14:textId="595DAFF1" w:rsidR="00A859D4" w:rsidRDefault="00817075" w:rsidP="007764F2">
            <w:pPr>
              <w:rPr>
                <w:rFonts w:ascii="Helvetica Neue" w:hAnsi="Helvetica Neue"/>
              </w:rPr>
            </w:pPr>
            <w:r>
              <w:rPr>
                <w:rFonts w:ascii="Helvetica Neue" w:hAnsi="Helvetica Neue"/>
                <w:b/>
                <w:bCs/>
              </w:rPr>
              <w:lastRenderedPageBreak/>
              <w:t>t</w:t>
            </w:r>
            <w:r w:rsidR="00A859D4" w:rsidRPr="00994F8C">
              <w:rPr>
                <w:rFonts w:ascii="Helvetica Neue" w:hAnsi="Helvetica Neue"/>
                <w:b/>
                <w:bCs/>
              </w:rPr>
              <w:t>hing</w:t>
            </w:r>
            <w:r w:rsidRPr="003B1DFE">
              <w:rPr>
                <w:rFonts w:ascii="Helvetica Neue" w:hAnsi="Helvetica Neue"/>
              </w:rPr>
              <w:t>……………………………</w:t>
            </w:r>
            <w:r w:rsidR="003B1DFE">
              <w:rPr>
                <w:rFonts w:ascii="Helvetica Neue" w:hAnsi="Helvetica Neue"/>
              </w:rPr>
              <w:t>….</w:t>
            </w:r>
          </w:p>
        </w:tc>
        <w:tc>
          <w:tcPr>
            <w:tcW w:w="7654" w:type="dxa"/>
          </w:tcPr>
          <w:p w14:paraId="0C6CD62F" w14:textId="3C91B038" w:rsidR="007764F2" w:rsidRDefault="007764F2" w:rsidP="007764F2">
            <w:pPr>
              <w:rPr>
                <w:rFonts w:ascii="Helvetica Neue" w:hAnsi="Helvetica Neue"/>
              </w:rPr>
            </w:pPr>
            <w:r w:rsidRPr="00994F8C">
              <w:rPr>
                <w:rFonts w:ascii="Helvetica Neue" w:hAnsi="Helvetica Neue"/>
              </w:rPr>
              <w:t xml:space="preserve">There are several definitions for a thing, but the common agreement across them all is that things are fluid, ambiguous, and undefinable. </w:t>
            </w:r>
            <w:r w:rsidR="00B37626">
              <w:rPr>
                <w:rFonts w:ascii="Helvetica Neue" w:hAnsi="Helvetica Neue"/>
              </w:rPr>
              <w:t xml:space="preserve">Things are one of the most important elements of New Materialism thought. They are what people spend their time with and around, shaping the world around them and vice versa.  </w:t>
            </w:r>
            <w:r w:rsidRPr="00994F8C">
              <w:rPr>
                <w:rFonts w:ascii="Helvetica Neue" w:hAnsi="Helvetica Neue"/>
              </w:rPr>
              <w:t xml:space="preserve">Some examples of scholars’ definitions: </w:t>
            </w:r>
          </w:p>
          <w:p w14:paraId="46618D1C" w14:textId="4EF9EA12" w:rsidR="007764F2" w:rsidRPr="007764F2" w:rsidRDefault="007764F2" w:rsidP="007764F2">
            <w:pPr>
              <w:pStyle w:val="ListParagraph"/>
              <w:numPr>
                <w:ilvl w:val="0"/>
                <w:numId w:val="2"/>
              </w:numPr>
              <w:rPr>
                <w:rFonts w:ascii="Helvetica Neue" w:hAnsi="Helvetica Neue"/>
              </w:rPr>
            </w:pPr>
            <w:r w:rsidRPr="007764F2">
              <w:rPr>
                <w:rFonts w:ascii="Helvetica Neue" w:hAnsi="Helvetica Neue"/>
              </w:rPr>
              <w:t xml:space="preserve">Heidegger (1971) describes a thing as being anything that affects people, “[a gathering] that in any way bears upon men” (p. 172). His definition is based upon a German word “ding” which means gathering.  </w:t>
            </w:r>
          </w:p>
          <w:p w14:paraId="276F4251" w14:textId="46C7E782" w:rsidR="007764F2" w:rsidRPr="007764F2" w:rsidRDefault="007764F2" w:rsidP="007764F2">
            <w:pPr>
              <w:pStyle w:val="ListParagraph"/>
              <w:numPr>
                <w:ilvl w:val="0"/>
                <w:numId w:val="2"/>
              </w:numPr>
              <w:rPr>
                <w:rFonts w:ascii="Helvetica Neue" w:hAnsi="Helvetica Neue"/>
              </w:rPr>
            </w:pPr>
            <w:r w:rsidRPr="007764F2">
              <w:rPr>
                <w:rFonts w:ascii="Helvetica Neue" w:hAnsi="Helvetica Neue"/>
              </w:rPr>
              <w:t xml:space="preserve">Ingold describes things as being in constant movement, they are themselves gatherings of materials (2010, p. 10). Ingold takes after Heidegger’s concept of things being gatherings or matter coming together, which is supported by New Materialist thinkers. The fluidity of </w:t>
            </w:r>
            <w:r w:rsidRPr="007764F2">
              <w:rPr>
                <w:rFonts w:ascii="Helvetica Neue" w:hAnsi="Helvetica Neue"/>
              </w:rPr>
              <w:lastRenderedPageBreak/>
              <w:t xml:space="preserve">matter allows things to be constantly moving and changing and creating. </w:t>
            </w:r>
          </w:p>
          <w:p w14:paraId="724FDA6A" w14:textId="3FB55265" w:rsidR="007764F2" w:rsidRPr="007764F2" w:rsidRDefault="007764F2" w:rsidP="007764F2">
            <w:pPr>
              <w:pStyle w:val="ListParagraph"/>
              <w:numPr>
                <w:ilvl w:val="0"/>
                <w:numId w:val="2"/>
              </w:numPr>
              <w:rPr>
                <w:rFonts w:ascii="Helvetica Neue" w:hAnsi="Helvetica Neue"/>
              </w:rPr>
            </w:pPr>
            <w:r w:rsidRPr="007764F2">
              <w:rPr>
                <w:rFonts w:ascii="Helvetica Neue" w:hAnsi="Helvetica Neue"/>
              </w:rPr>
              <w:t xml:space="preserve">Knappett in his 2010 book takes a more spatial stance and suggest things exist in the cognitive realm. The mind engages with things and the body engages with objects (pp. 81-83). </w:t>
            </w:r>
          </w:p>
          <w:p w14:paraId="18E1CA0B" w14:textId="6166EDCB" w:rsidR="00A859D4" w:rsidRPr="007764F2" w:rsidRDefault="007764F2" w:rsidP="007764F2">
            <w:pPr>
              <w:pStyle w:val="ListParagraph"/>
              <w:numPr>
                <w:ilvl w:val="0"/>
                <w:numId w:val="2"/>
              </w:numPr>
              <w:rPr>
                <w:rFonts w:ascii="Helvetica Neue" w:hAnsi="Helvetica Neue"/>
              </w:rPr>
            </w:pPr>
            <w:r w:rsidRPr="007764F2">
              <w:rPr>
                <w:rFonts w:ascii="Helvetica Neue" w:hAnsi="Helvetica Neue"/>
              </w:rPr>
              <w:t>Govier and Steel suggest things are assemblages, they are fluid entities not bounded. They focus on the matter of things, and their flow and vibrancy (2021, p. 7). Things come together, flow into and out of assemblages continuously, shaping and reshaping the world around them.</w:t>
            </w:r>
          </w:p>
        </w:tc>
      </w:tr>
    </w:tbl>
    <w:p w14:paraId="61F21345" w14:textId="7A33A07E" w:rsidR="006B3984" w:rsidRDefault="006B3984" w:rsidP="00633AB6"/>
    <w:p w14:paraId="67C25904" w14:textId="77777777" w:rsidR="00B37626" w:rsidRDefault="00B37626">
      <w:pPr>
        <w:rPr>
          <w:rFonts w:ascii="Helvetica Neue" w:hAnsi="Helvetica Neue"/>
          <w:sz w:val="28"/>
          <w:szCs w:val="28"/>
        </w:rPr>
      </w:pPr>
      <w:r>
        <w:rPr>
          <w:rFonts w:ascii="Helvetica Neue" w:hAnsi="Helvetica Neue"/>
          <w:sz w:val="28"/>
          <w:szCs w:val="28"/>
        </w:rPr>
        <w:br w:type="page"/>
      </w:r>
    </w:p>
    <w:p w14:paraId="51366BEB" w14:textId="4879125D" w:rsidR="00410A89" w:rsidRPr="00DC087B" w:rsidRDefault="00410A89" w:rsidP="00410A89">
      <w:pPr>
        <w:pStyle w:val="Bibliography"/>
        <w:ind w:left="720" w:hanging="720"/>
        <w:rPr>
          <w:rFonts w:ascii="Helvetica Neue" w:hAnsi="Helvetica Neue"/>
          <w:sz w:val="28"/>
          <w:szCs w:val="28"/>
          <w:u w:val="single"/>
        </w:rPr>
      </w:pPr>
      <w:r w:rsidRPr="0024406D">
        <w:rPr>
          <w:rFonts w:ascii="Helvetica Neue" w:hAnsi="Helvetica Neue"/>
          <w:sz w:val="28"/>
          <w:szCs w:val="28"/>
        </w:rPr>
        <w:lastRenderedPageBreak/>
        <w:t>Bibliography</w:t>
      </w:r>
    </w:p>
    <w:p w14:paraId="62E41217" w14:textId="77777777" w:rsidR="00410A89" w:rsidRPr="00410A89" w:rsidRDefault="00410A89" w:rsidP="00410A89"/>
    <w:sdt>
      <w:sdtPr>
        <w:rPr>
          <w:rFonts w:ascii="Helvetica Neue" w:hAnsi="Helvetica Neue"/>
        </w:rPr>
        <w:id w:val="260035380"/>
        <w:bibliography/>
      </w:sdtPr>
      <w:sdtEndPr>
        <w:rPr>
          <w:i/>
          <w:iCs/>
        </w:rPr>
      </w:sdtEndPr>
      <w:sdtContent>
        <w:p w14:paraId="6F4F9E8D" w14:textId="040D0C69" w:rsidR="00410A89" w:rsidRPr="00DC087B" w:rsidRDefault="00410A89" w:rsidP="00DC087B">
          <w:pPr>
            <w:pStyle w:val="Bibliography"/>
            <w:spacing w:line="480" w:lineRule="auto"/>
            <w:ind w:left="720" w:hanging="720"/>
            <w:rPr>
              <w:rFonts w:ascii="Helvetica Neue" w:hAnsi="Helvetica Neue"/>
              <w:noProof/>
            </w:rPr>
          </w:pPr>
          <w:r w:rsidRPr="00DC087B">
            <w:rPr>
              <w:rFonts w:ascii="Helvetica Neue" w:hAnsi="Helvetica Neue"/>
              <w:noProof/>
            </w:rPr>
            <w:t xml:space="preserve">Attala, L., &amp; Steel, L. (2019). Introduction. In L. Attala &amp; L. Steel (Eds.), </w:t>
          </w:r>
          <w:r w:rsidRPr="00DC087B">
            <w:rPr>
              <w:rFonts w:ascii="Helvetica Neue" w:hAnsi="Helvetica Neue"/>
              <w:i/>
              <w:iCs/>
              <w:noProof/>
            </w:rPr>
            <w:t>Body Matters: Exploring the Materiality of the Human Body</w:t>
          </w:r>
          <w:r w:rsidRPr="00DC087B">
            <w:rPr>
              <w:rFonts w:ascii="Helvetica Neue" w:hAnsi="Helvetica Neue"/>
              <w:noProof/>
            </w:rPr>
            <w:t xml:space="preserve"> (pp. 1-17). University of Wales Press.</w:t>
          </w:r>
        </w:p>
        <w:p w14:paraId="5C82827A" w14:textId="212ADA7F" w:rsidR="00410A89" w:rsidRPr="00DC087B" w:rsidRDefault="00410A89" w:rsidP="00DC087B">
          <w:pPr>
            <w:pStyle w:val="Bibliography"/>
            <w:spacing w:line="480" w:lineRule="auto"/>
            <w:ind w:left="720" w:hanging="720"/>
            <w:rPr>
              <w:rFonts w:ascii="Helvetica Neue" w:hAnsi="Helvetica Neue"/>
              <w:noProof/>
              <w:kern w:val="0"/>
              <w14:ligatures w14:val="none"/>
            </w:rPr>
          </w:pPr>
          <w:r w:rsidRPr="00DC087B">
            <w:rPr>
              <w:rFonts w:ascii="Helvetica Neue" w:hAnsi="Helvetica Neue"/>
            </w:rPr>
            <w:fldChar w:fldCharType="begin"/>
          </w:r>
          <w:r w:rsidRPr="00DC087B">
            <w:rPr>
              <w:rFonts w:ascii="Helvetica Neue" w:hAnsi="Helvetica Neue"/>
            </w:rPr>
            <w:instrText xml:space="preserve"> BIBLIOGRAPHY </w:instrText>
          </w:r>
          <w:r w:rsidRPr="00DC087B">
            <w:rPr>
              <w:rFonts w:ascii="Helvetica Neue" w:hAnsi="Helvetica Neue"/>
            </w:rPr>
            <w:fldChar w:fldCharType="separate"/>
          </w:r>
          <w:r w:rsidRPr="00DC087B">
            <w:rPr>
              <w:rFonts w:ascii="Helvetica Neue" w:hAnsi="Helvetica Neue"/>
              <w:noProof/>
            </w:rPr>
            <w:t xml:space="preserve">Attala, L., &amp; Steel, L. (2019). Preface. In L. Attala &amp; L. Steel (Eds.), </w:t>
          </w:r>
          <w:r w:rsidRPr="00DC087B">
            <w:rPr>
              <w:rFonts w:ascii="Helvetica Neue" w:hAnsi="Helvetica Neue"/>
              <w:i/>
              <w:iCs/>
              <w:noProof/>
            </w:rPr>
            <w:t>Body Matters: Exploring the Materiality of the Human Body</w:t>
          </w:r>
          <w:r w:rsidRPr="00DC087B">
            <w:rPr>
              <w:rFonts w:ascii="Helvetica Neue" w:hAnsi="Helvetica Neue"/>
              <w:noProof/>
            </w:rPr>
            <w:t xml:space="preserve"> (pp. xvii-xviii). University of Wales Press.</w:t>
          </w:r>
        </w:p>
        <w:p w14:paraId="0BA56663" w14:textId="663F303F" w:rsidR="00657980" w:rsidRPr="00DC087B" w:rsidRDefault="00657980" w:rsidP="00DC087B">
          <w:pPr>
            <w:spacing w:line="480" w:lineRule="auto"/>
            <w:ind w:left="720" w:hanging="720"/>
            <w:rPr>
              <w:rFonts w:ascii="Helvetica Neue" w:hAnsi="Helvetica Neue"/>
            </w:rPr>
          </w:pPr>
          <w:r w:rsidRPr="00DC087B">
            <w:rPr>
              <w:rFonts w:ascii="Helvetica Neue" w:hAnsi="Helvetica Neue"/>
            </w:rPr>
            <w:t>Bailey, D. (2014). Touch and the cheirotic apprehension of prehistoric figurines. In P. Dent (Ed.),</w:t>
          </w:r>
          <w:r w:rsidRPr="00DC087B">
            <w:rPr>
              <w:rFonts w:ascii="Helvetica Neue" w:hAnsi="Helvetica Neue"/>
            </w:rPr>
            <w:t xml:space="preserve"> </w:t>
          </w:r>
          <w:r w:rsidRPr="00DC087B">
            <w:rPr>
              <w:rFonts w:ascii="Helvetica Neue" w:hAnsi="Helvetica Neue"/>
              <w:i/>
              <w:iCs/>
            </w:rPr>
            <w:t>Sculpture and Touch</w:t>
          </w:r>
          <w:r w:rsidRPr="00DC087B">
            <w:rPr>
              <w:rFonts w:ascii="Helvetica Neue" w:hAnsi="Helvetica Neue"/>
            </w:rPr>
            <w:t xml:space="preserve"> (pp. 27-44). Ashgate. </w:t>
          </w:r>
        </w:p>
        <w:p w14:paraId="4ADBE171" w14:textId="77777777" w:rsidR="00670BF7" w:rsidRPr="00DC087B" w:rsidRDefault="00670BF7" w:rsidP="00DC087B">
          <w:pPr>
            <w:spacing w:line="480" w:lineRule="auto"/>
            <w:ind w:left="720" w:hanging="720"/>
            <w:rPr>
              <w:rFonts w:ascii="Helvetica Neue" w:hAnsi="Helvetica Neue"/>
            </w:rPr>
          </w:pPr>
          <w:r w:rsidRPr="00670BF7">
            <w:rPr>
              <w:rFonts w:ascii="Helvetica Neue" w:hAnsi="Helvetica Neue"/>
            </w:rPr>
            <w:t xml:space="preserve">Barad, K. (2003). Posthumanist </w:t>
          </w:r>
          <w:r w:rsidRPr="00DC087B">
            <w:rPr>
              <w:rFonts w:ascii="Helvetica Neue" w:hAnsi="Helvetica Neue"/>
            </w:rPr>
            <w:t>P</w:t>
          </w:r>
          <w:r w:rsidRPr="00670BF7">
            <w:rPr>
              <w:rFonts w:ascii="Helvetica Neue" w:hAnsi="Helvetica Neue"/>
            </w:rPr>
            <w:t xml:space="preserve">erformativity: Toward an </w:t>
          </w:r>
          <w:r w:rsidRPr="00DC087B">
            <w:rPr>
              <w:rFonts w:ascii="Helvetica Neue" w:hAnsi="Helvetica Neue"/>
            </w:rPr>
            <w:t>U</w:t>
          </w:r>
          <w:r w:rsidRPr="00670BF7">
            <w:rPr>
              <w:rFonts w:ascii="Helvetica Neue" w:hAnsi="Helvetica Neue"/>
            </w:rPr>
            <w:t xml:space="preserve">nderstanding of </w:t>
          </w:r>
          <w:r w:rsidRPr="00DC087B">
            <w:rPr>
              <w:rFonts w:ascii="Helvetica Neue" w:hAnsi="Helvetica Neue"/>
            </w:rPr>
            <w:t>H</w:t>
          </w:r>
          <w:r w:rsidRPr="00670BF7">
            <w:rPr>
              <w:rFonts w:ascii="Helvetica Neue" w:hAnsi="Helvetica Neue"/>
            </w:rPr>
            <w:t xml:space="preserve">ow </w:t>
          </w:r>
          <w:r w:rsidRPr="00DC087B">
            <w:rPr>
              <w:rFonts w:ascii="Helvetica Neue" w:hAnsi="Helvetica Neue"/>
            </w:rPr>
            <w:t>M</w:t>
          </w:r>
          <w:r w:rsidRPr="00670BF7">
            <w:rPr>
              <w:rFonts w:ascii="Helvetica Neue" w:hAnsi="Helvetica Neue"/>
            </w:rPr>
            <w:t xml:space="preserve">atter </w:t>
          </w:r>
          <w:r w:rsidRPr="00DC087B">
            <w:rPr>
              <w:rFonts w:ascii="Helvetica Neue" w:hAnsi="Helvetica Neue"/>
            </w:rPr>
            <w:t>C</w:t>
          </w:r>
          <w:r w:rsidRPr="00670BF7">
            <w:rPr>
              <w:rFonts w:ascii="Helvetica Neue" w:hAnsi="Helvetica Neue"/>
            </w:rPr>
            <w:t xml:space="preserve">omes to </w:t>
          </w:r>
          <w:r w:rsidRPr="00DC087B">
            <w:rPr>
              <w:rFonts w:ascii="Helvetica Neue" w:hAnsi="Helvetica Neue"/>
            </w:rPr>
            <w:t>M</w:t>
          </w:r>
          <w:r w:rsidRPr="00670BF7">
            <w:rPr>
              <w:rFonts w:ascii="Helvetica Neue" w:hAnsi="Helvetica Neue"/>
            </w:rPr>
            <w:t xml:space="preserve">atter. </w:t>
          </w:r>
          <w:r w:rsidRPr="00670BF7">
            <w:rPr>
              <w:rFonts w:ascii="Helvetica Neue" w:hAnsi="Helvetica Neue"/>
              <w:i/>
              <w:iCs/>
            </w:rPr>
            <w:t>Women, Science, and Technology</w:t>
          </w:r>
          <w:r w:rsidRPr="00670BF7">
            <w:rPr>
              <w:rFonts w:ascii="Helvetica Neue" w:hAnsi="Helvetica Neue"/>
            </w:rPr>
            <w:t xml:space="preserve">, </w:t>
          </w:r>
          <w:r w:rsidRPr="00670BF7">
            <w:rPr>
              <w:rFonts w:ascii="Helvetica Neue" w:hAnsi="Helvetica Neue"/>
              <w:i/>
              <w:iCs/>
            </w:rPr>
            <w:t>28</w:t>
          </w:r>
          <w:r w:rsidRPr="00670BF7">
            <w:rPr>
              <w:rFonts w:ascii="Helvetica Neue" w:hAnsi="Helvetica Neue"/>
            </w:rPr>
            <w:t xml:space="preserve">(3), 801–831. </w:t>
          </w:r>
          <w:hyperlink r:id="rId16" w:history="1">
            <w:r w:rsidRPr="00670BF7">
              <w:rPr>
                <w:rStyle w:val="Hyperlink"/>
                <w:rFonts w:ascii="Helvetica Neue" w:hAnsi="Helvetica Neue"/>
              </w:rPr>
              <w:t>https://doi.org/https://www.jstor.org/stable/10.1086/345321</w:t>
            </w:r>
          </w:hyperlink>
          <w:r w:rsidRPr="00DC087B">
            <w:rPr>
              <w:rFonts w:ascii="Helvetica Neue" w:hAnsi="Helvetica Neue"/>
            </w:rPr>
            <w:t xml:space="preserve">. </w:t>
          </w:r>
        </w:p>
        <w:p w14:paraId="66F85280" w14:textId="1C9E8F31" w:rsidR="001B586B" w:rsidRPr="00DC087B" w:rsidRDefault="001B586B" w:rsidP="00DC087B">
          <w:pPr>
            <w:pStyle w:val="Bibliography"/>
            <w:spacing w:line="480" w:lineRule="auto"/>
            <w:ind w:left="720" w:hanging="720"/>
            <w:rPr>
              <w:rFonts w:ascii="Helvetica Neue" w:hAnsi="Helvetica Neue"/>
            </w:rPr>
          </w:pPr>
          <w:r w:rsidRPr="00DC087B">
            <w:rPr>
              <w:rFonts w:ascii="Helvetica Neue" w:hAnsi="Helvetica Neue"/>
            </w:rPr>
            <w:t xml:space="preserve">Bennett, J. (2010). The Agency of Assemblages. In J. Bennett, </w:t>
          </w:r>
          <w:r w:rsidRPr="00DC087B">
            <w:rPr>
              <w:rFonts w:ascii="Helvetica Neue" w:hAnsi="Helvetica Neue"/>
              <w:i/>
              <w:iCs/>
            </w:rPr>
            <w:t xml:space="preserve">Vibrant Matter: A Political Ecology of Things </w:t>
          </w:r>
          <w:r w:rsidRPr="00DC087B">
            <w:rPr>
              <w:rFonts w:ascii="Helvetica Neue" w:hAnsi="Helvetica Neue"/>
            </w:rPr>
            <w:t>(pp.</w:t>
          </w:r>
          <w:r w:rsidRPr="00DC087B">
            <w:rPr>
              <w:rFonts w:ascii="Helvetica Neue" w:hAnsi="Helvetica Neue"/>
            </w:rPr>
            <w:t xml:space="preserve"> </w:t>
          </w:r>
          <w:r w:rsidRPr="00DC087B">
            <w:rPr>
              <w:rFonts w:ascii="Helvetica Neue" w:hAnsi="Helvetica Neue"/>
            </w:rPr>
            <w:t>20-38)</w:t>
          </w:r>
          <w:r w:rsidRPr="00DC087B">
            <w:rPr>
              <w:rFonts w:ascii="Helvetica Neue" w:hAnsi="Helvetica Neue"/>
              <w:i/>
              <w:iCs/>
            </w:rPr>
            <w:t xml:space="preserve">. </w:t>
          </w:r>
          <w:r w:rsidRPr="00DC087B">
            <w:rPr>
              <w:rFonts w:ascii="Helvetica Neue" w:hAnsi="Helvetica Neue"/>
            </w:rPr>
            <w:t>Duke University Press.</w:t>
          </w:r>
        </w:p>
        <w:p w14:paraId="0CC071A8" w14:textId="78B9BB6C" w:rsidR="001B586B" w:rsidRPr="00DC087B" w:rsidRDefault="001B586B" w:rsidP="00DC087B">
          <w:pPr>
            <w:pStyle w:val="Bibliography"/>
            <w:spacing w:line="480" w:lineRule="auto"/>
            <w:ind w:left="720" w:hanging="720"/>
            <w:rPr>
              <w:rFonts w:ascii="Helvetica Neue" w:hAnsi="Helvetica Neue"/>
            </w:rPr>
          </w:pPr>
          <w:r w:rsidRPr="00DC087B">
            <w:rPr>
              <w:rFonts w:ascii="Helvetica Neue" w:hAnsi="Helvetica Neue"/>
            </w:rPr>
            <w:t xml:space="preserve">Bennett, J. (2010). The </w:t>
          </w:r>
          <w:r w:rsidRPr="00DC087B">
            <w:rPr>
              <w:rFonts w:ascii="Helvetica Neue" w:hAnsi="Helvetica Neue"/>
            </w:rPr>
            <w:t>Force of Things</w:t>
          </w:r>
          <w:r w:rsidRPr="00DC087B">
            <w:rPr>
              <w:rFonts w:ascii="Helvetica Neue" w:hAnsi="Helvetica Neue"/>
            </w:rPr>
            <w:t xml:space="preserve">. In J. Bennett, </w:t>
          </w:r>
          <w:r w:rsidRPr="00DC087B">
            <w:rPr>
              <w:rFonts w:ascii="Helvetica Neue" w:hAnsi="Helvetica Neue"/>
              <w:i/>
              <w:iCs/>
            </w:rPr>
            <w:t xml:space="preserve">Vibrant Matter: A Political Ecology of Things </w:t>
          </w:r>
          <w:r w:rsidRPr="00DC087B">
            <w:rPr>
              <w:rFonts w:ascii="Helvetica Neue" w:hAnsi="Helvetica Neue"/>
            </w:rPr>
            <w:t>(pp</w:t>
          </w:r>
          <w:r w:rsidRPr="00DC087B">
            <w:rPr>
              <w:rFonts w:ascii="Helvetica Neue" w:hAnsi="Helvetica Neue"/>
            </w:rPr>
            <w:t>. 1-19</w:t>
          </w:r>
          <w:r w:rsidRPr="00DC087B">
            <w:rPr>
              <w:rFonts w:ascii="Helvetica Neue" w:hAnsi="Helvetica Neue"/>
            </w:rPr>
            <w:t>)</w:t>
          </w:r>
          <w:r w:rsidRPr="00DC087B">
            <w:rPr>
              <w:rFonts w:ascii="Helvetica Neue" w:hAnsi="Helvetica Neue"/>
              <w:i/>
              <w:iCs/>
            </w:rPr>
            <w:t xml:space="preserve">. </w:t>
          </w:r>
          <w:r w:rsidRPr="00DC087B">
            <w:rPr>
              <w:rFonts w:ascii="Helvetica Neue" w:hAnsi="Helvetica Neue"/>
            </w:rPr>
            <w:t>Duke University Press.</w:t>
          </w:r>
        </w:p>
        <w:p w14:paraId="1AE343F0" w14:textId="25E51326" w:rsidR="00FA36C8" w:rsidRPr="00DC087B" w:rsidRDefault="00FA36C8" w:rsidP="00DC087B">
          <w:pPr>
            <w:spacing w:line="480" w:lineRule="auto"/>
            <w:ind w:left="720" w:hanging="720"/>
            <w:rPr>
              <w:rFonts w:ascii="Helvetica Neue" w:hAnsi="Helvetica Neue"/>
            </w:rPr>
          </w:pPr>
          <w:r w:rsidRPr="00DC087B">
            <w:rPr>
              <w:rFonts w:ascii="Helvetica Neue" w:hAnsi="Helvetica Neue"/>
            </w:rPr>
            <w:t xml:space="preserve">Chapman, J. (2000). Two Ways of Relating: Enchainment and accumulation. In J. Chapman, </w:t>
          </w:r>
          <w:r w:rsidRPr="00DC087B">
            <w:rPr>
              <w:rFonts w:ascii="Helvetica Neue" w:hAnsi="Helvetica Neue"/>
              <w:i/>
              <w:iCs/>
            </w:rPr>
            <w:t>Fragmentation In Archaeology: People, places and broken objects in the prehistory of south-eastern Europe</w:t>
          </w:r>
          <w:r w:rsidRPr="00DC087B">
            <w:rPr>
              <w:rFonts w:ascii="Helvetica Neue" w:hAnsi="Helvetica Neue"/>
            </w:rPr>
            <w:t xml:space="preserve"> (pp. 23-48). Routledge.</w:t>
          </w:r>
        </w:p>
        <w:p w14:paraId="38ACCB5F" w14:textId="77777777" w:rsidR="001B586B" w:rsidRPr="00DC087B" w:rsidRDefault="001B586B" w:rsidP="00DC087B">
          <w:pPr>
            <w:pStyle w:val="Bibliography"/>
            <w:spacing w:line="480" w:lineRule="auto"/>
            <w:ind w:left="720" w:hanging="720"/>
            <w:rPr>
              <w:rFonts w:ascii="Helvetica Neue" w:hAnsi="Helvetica Neue"/>
            </w:rPr>
          </w:pPr>
          <w:r w:rsidRPr="00DC087B">
            <w:rPr>
              <w:rFonts w:ascii="Helvetica Neue" w:hAnsi="Helvetica Neue"/>
            </w:rPr>
            <w:t xml:space="preserve">DeLanda, M. (2016). Introduction. In M. DeLanda, </w:t>
          </w:r>
          <w:r w:rsidRPr="00DC087B">
            <w:rPr>
              <w:rFonts w:ascii="Helvetica Neue" w:hAnsi="Helvetica Neue"/>
              <w:i/>
              <w:iCs/>
            </w:rPr>
            <w:t>Assemblage Theory</w:t>
          </w:r>
          <w:r w:rsidRPr="00DC087B">
            <w:rPr>
              <w:rFonts w:ascii="Helvetica Neue" w:hAnsi="Helvetica Neue"/>
            </w:rPr>
            <w:t xml:space="preserve"> (pp. 1-8). Edinburgh University Press.</w:t>
          </w:r>
        </w:p>
        <w:p w14:paraId="0EDAA1D2" w14:textId="77777777" w:rsidR="006A6CF1" w:rsidRPr="00DC087B" w:rsidRDefault="006A6CF1" w:rsidP="00DC087B">
          <w:pPr>
            <w:pStyle w:val="Bibliography"/>
            <w:spacing w:line="480" w:lineRule="auto"/>
            <w:ind w:left="720" w:hanging="720"/>
            <w:rPr>
              <w:rFonts w:ascii="Helvetica Neue" w:hAnsi="Helvetica Neue"/>
            </w:rPr>
          </w:pPr>
          <w:r w:rsidRPr="00DC087B">
            <w:rPr>
              <w:rFonts w:ascii="Helvetica Neue" w:hAnsi="Helvetica Neue"/>
            </w:rPr>
            <w:lastRenderedPageBreak/>
            <w:t xml:space="preserve">Govier, E. &amp; Steel, L. (2021). Beyond the ‘thingification’ of worlds: Archaeology and the New Materialisms. </w:t>
          </w:r>
          <w:r w:rsidRPr="00DC087B">
            <w:rPr>
              <w:rFonts w:ascii="Helvetica Neue" w:hAnsi="Helvetica Neue"/>
              <w:i/>
              <w:iCs/>
            </w:rPr>
            <w:t>Journal of Material Culture</w:t>
          </w:r>
          <w:r w:rsidRPr="00DC087B">
            <w:rPr>
              <w:rFonts w:ascii="Helvetica Neue" w:hAnsi="Helvetica Neue"/>
            </w:rPr>
            <w:t xml:space="preserve"> pp. 1-20. </w:t>
          </w:r>
        </w:p>
        <w:p w14:paraId="4027F626" w14:textId="26DD322D" w:rsidR="00FA36C8" w:rsidRPr="00DC087B" w:rsidRDefault="00FA36C8" w:rsidP="00DC087B">
          <w:pPr>
            <w:pStyle w:val="Bibliography"/>
            <w:spacing w:line="480" w:lineRule="auto"/>
            <w:ind w:left="720" w:hanging="720"/>
            <w:rPr>
              <w:rFonts w:ascii="Helvetica Neue" w:hAnsi="Helvetica Neue"/>
            </w:rPr>
          </w:pPr>
          <w:r w:rsidRPr="00DC087B">
            <w:rPr>
              <w:rFonts w:ascii="Helvetica Neue" w:hAnsi="Helvetica Neue"/>
            </w:rPr>
            <w:t xml:space="preserve">Heidegger, M. (1962). </w:t>
          </w:r>
          <w:r w:rsidRPr="00DC087B">
            <w:rPr>
              <w:rFonts w:ascii="Helvetica Neue" w:hAnsi="Helvetica Neue"/>
              <w:i/>
              <w:iCs/>
            </w:rPr>
            <w:t xml:space="preserve">Being and Time </w:t>
          </w:r>
          <w:r w:rsidRPr="00DC087B">
            <w:rPr>
              <w:rFonts w:ascii="Helvetica Neue" w:hAnsi="Helvetica Neue"/>
            </w:rPr>
            <w:t xml:space="preserve">(J. </w:t>
          </w:r>
          <w:r w:rsidR="000D7C49" w:rsidRPr="00DC087B">
            <w:rPr>
              <w:rFonts w:ascii="Helvetica Neue" w:hAnsi="Helvetica Neue"/>
            </w:rPr>
            <w:t>MacQuarrie</w:t>
          </w:r>
          <w:r w:rsidRPr="00DC087B">
            <w:rPr>
              <w:rFonts w:ascii="Helvetica Neue" w:hAnsi="Helvetica Neue"/>
            </w:rPr>
            <w:t xml:space="preserve"> &amp; E. Robinson, Trans.). Blackwell Publishers. (Original Work Published 1927).</w:t>
          </w:r>
        </w:p>
        <w:p w14:paraId="52399DEE" w14:textId="2B9DD63F" w:rsidR="00E900B2" w:rsidRPr="00DC087B" w:rsidRDefault="00E900B2" w:rsidP="00DC087B">
          <w:pPr>
            <w:pStyle w:val="Bibliography"/>
            <w:spacing w:line="480" w:lineRule="auto"/>
            <w:ind w:left="720" w:hanging="720"/>
            <w:rPr>
              <w:rFonts w:ascii="Helvetica Neue" w:hAnsi="Helvetica Neue"/>
            </w:rPr>
          </w:pPr>
          <w:r w:rsidRPr="00DC087B">
            <w:rPr>
              <w:rFonts w:ascii="Helvetica Neue" w:hAnsi="Helvetica Neue"/>
            </w:rPr>
            <w:t xml:space="preserve">Heidegger, M. (1971). The Thing (A. Hofstadter, Trans.). In M. Heidegger, </w:t>
          </w:r>
          <w:r w:rsidRPr="00DC087B">
            <w:rPr>
              <w:rFonts w:ascii="Helvetica Neue" w:hAnsi="Helvetica Neue"/>
              <w:i/>
              <w:iCs/>
            </w:rPr>
            <w:t xml:space="preserve">Poetry, Language, Thought </w:t>
          </w:r>
          <w:r w:rsidRPr="00DC087B">
            <w:rPr>
              <w:rFonts w:ascii="Helvetica Neue" w:hAnsi="Helvetica Neue"/>
            </w:rPr>
            <w:t>(pp. 163-180). Harper &amp; Row.</w:t>
          </w:r>
        </w:p>
        <w:p w14:paraId="2E79E1DA" w14:textId="53BE21C8" w:rsidR="00657980" w:rsidRPr="00DC087B" w:rsidRDefault="00657980" w:rsidP="00DC087B">
          <w:pPr>
            <w:pStyle w:val="Bibliography"/>
            <w:spacing w:line="480" w:lineRule="auto"/>
            <w:ind w:left="720" w:hanging="720"/>
            <w:rPr>
              <w:rFonts w:ascii="Helvetica Neue" w:hAnsi="Helvetica Neue"/>
            </w:rPr>
          </w:pPr>
          <w:r w:rsidRPr="00DC087B">
            <w:rPr>
              <w:rFonts w:ascii="Helvetica Neue" w:hAnsi="Helvetica Neue"/>
            </w:rPr>
            <w:t xml:space="preserve">Hoskins, J. (2006). Agency, Biography and objects. </w:t>
          </w:r>
          <w:r w:rsidRPr="00DC087B">
            <w:rPr>
              <w:rFonts w:ascii="Helvetica Neue" w:hAnsi="Helvetica Neue"/>
              <w:i/>
              <w:iCs/>
            </w:rPr>
            <w:t>Handbook of Material Culture</w:t>
          </w:r>
          <w:r w:rsidRPr="00DC087B">
            <w:rPr>
              <w:rFonts w:ascii="Helvetica Neue" w:hAnsi="Helvetica Neue"/>
            </w:rPr>
            <w:t xml:space="preserve">, </w:t>
          </w:r>
          <w:r w:rsidRPr="00DC087B">
            <w:rPr>
              <w:rFonts w:ascii="Helvetica Neue" w:hAnsi="Helvetica Neue"/>
              <w:i/>
              <w:iCs/>
            </w:rPr>
            <w:t>1</w:t>
          </w:r>
          <w:r w:rsidRPr="00DC087B">
            <w:rPr>
              <w:rFonts w:ascii="Helvetica Neue" w:hAnsi="Helvetica Neue"/>
            </w:rPr>
            <w:t xml:space="preserve">, 74–84. </w:t>
          </w:r>
          <w:hyperlink r:id="rId17" w:history="1">
            <w:r w:rsidRPr="00DC087B">
              <w:rPr>
                <w:rStyle w:val="Hyperlink"/>
                <w:rFonts w:ascii="Helvetica Neue" w:hAnsi="Helvetica Neue"/>
              </w:rPr>
              <w:t>https://</w:t>
            </w:r>
            <w:r w:rsidRPr="00DC087B">
              <w:rPr>
                <w:rStyle w:val="Hyperlink"/>
                <w:rFonts w:ascii="Helvetica Neue" w:hAnsi="Helvetica Neue"/>
              </w:rPr>
              <w:t>d</w:t>
            </w:r>
            <w:r w:rsidRPr="00DC087B">
              <w:rPr>
                <w:rStyle w:val="Hyperlink"/>
                <w:rFonts w:ascii="Helvetica Neue" w:hAnsi="Helvetica Neue"/>
              </w:rPr>
              <w:t>oi.org/10.4135/9781848607972.n6</w:t>
            </w:r>
          </w:hyperlink>
          <w:r w:rsidRPr="00DC087B">
            <w:rPr>
              <w:rFonts w:ascii="Helvetica Neue" w:hAnsi="Helvetica Neue"/>
            </w:rPr>
            <w:t xml:space="preserve">. </w:t>
          </w:r>
        </w:p>
        <w:p w14:paraId="3BF1C3CC" w14:textId="102AEC6E" w:rsidR="006A6CF1" w:rsidRPr="00DC087B" w:rsidRDefault="006A6CF1" w:rsidP="00DC087B">
          <w:pPr>
            <w:spacing w:line="480" w:lineRule="auto"/>
            <w:ind w:left="720" w:hanging="720"/>
            <w:rPr>
              <w:rFonts w:ascii="Helvetica Neue" w:hAnsi="Helvetica Neue"/>
            </w:rPr>
          </w:pPr>
          <w:r w:rsidRPr="00DC087B">
            <w:rPr>
              <w:rFonts w:ascii="Helvetica Neue" w:hAnsi="Helvetica Neue"/>
            </w:rPr>
            <w:t xml:space="preserve">Ingold, T. (2010). </w:t>
          </w:r>
          <w:r w:rsidR="00531736" w:rsidRPr="00DC087B">
            <w:rPr>
              <w:rFonts w:ascii="Helvetica Neue" w:hAnsi="Helvetica Neue"/>
              <w:i/>
              <w:iCs/>
            </w:rPr>
            <w:t>Bringing Things to Life: Creative Entanglements in a World of Materials</w:t>
          </w:r>
          <w:r w:rsidR="00531736" w:rsidRPr="00DC087B">
            <w:rPr>
              <w:rFonts w:ascii="Helvetica Neue" w:hAnsi="Helvetica Neue"/>
              <w:i/>
              <w:iCs/>
            </w:rPr>
            <w:t>.</w:t>
          </w:r>
          <w:r w:rsidR="00DC087B">
            <w:rPr>
              <w:rFonts w:ascii="Helvetica Neue" w:hAnsi="Helvetica Neue"/>
            </w:rPr>
            <w:t xml:space="preserve"> </w:t>
          </w:r>
          <w:hyperlink r:id="rId18" w:history="1">
            <w:r w:rsidR="00531736" w:rsidRPr="00DC087B">
              <w:rPr>
                <w:rStyle w:val="Hyperlink"/>
                <w:rFonts w:ascii="Helvetica Neue" w:hAnsi="Helvetica Neue"/>
              </w:rPr>
              <w:t>https://eprints.ncrm.ac.uk/id/eprint/1306/1/0510_creative_entanglements.pd</w:t>
            </w:r>
            <w:r w:rsidR="00DC087B" w:rsidRPr="00DC087B">
              <w:rPr>
                <w:rStyle w:val="Hyperlink"/>
                <w:rFonts w:ascii="Helvetica Neue" w:hAnsi="Helvetica Neue"/>
              </w:rPr>
              <w:t>f.</w:t>
            </w:r>
          </w:hyperlink>
          <w:r w:rsidR="00DC087B">
            <w:rPr>
              <w:rFonts w:ascii="Helvetica Neue" w:hAnsi="Helvetica Neue"/>
            </w:rPr>
            <w:t xml:space="preserve"> </w:t>
          </w:r>
          <w:r w:rsidR="00DC087B" w:rsidRPr="00DC087B">
            <w:rPr>
              <w:rFonts w:ascii="Helvetica Neue" w:hAnsi="Helvetica Neue"/>
            </w:rPr>
            <w:t xml:space="preserve"> </w:t>
          </w:r>
        </w:p>
        <w:p w14:paraId="7888BBA7" w14:textId="77777777" w:rsidR="00815425" w:rsidRPr="00DC087B" w:rsidRDefault="00815425" w:rsidP="00DC087B">
          <w:pPr>
            <w:pStyle w:val="Bibliography"/>
            <w:spacing w:line="480" w:lineRule="auto"/>
            <w:ind w:left="720" w:hanging="720"/>
            <w:rPr>
              <w:rFonts w:ascii="Helvetica Neue" w:hAnsi="Helvetica Neue"/>
            </w:rPr>
          </w:pPr>
          <w:r w:rsidRPr="00DC087B">
            <w:rPr>
              <w:rFonts w:ascii="Helvetica Neue" w:hAnsi="Helvetica Neue"/>
            </w:rPr>
            <w:t xml:space="preserve">Joyce, R. (2015). Things in Motion: Itineraries of Ulua Marble Vases. In R. Joyce &amp; S. Gillespie (Eds.), </w:t>
          </w:r>
          <w:r w:rsidRPr="00DC087B">
            <w:rPr>
              <w:rFonts w:ascii="Helvetica Neue" w:hAnsi="Helvetica Neue"/>
              <w:i/>
              <w:iCs/>
            </w:rPr>
            <w:t xml:space="preserve">Things in Motion: Object Itineraries in Anthropological Practice </w:t>
          </w:r>
          <w:r w:rsidRPr="00DC087B">
            <w:rPr>
              <w:rFonts w:ascii="Helvetica Neue" w:hAnsi="Helvetica Neue"/>
            </w:rPr>
            <w:t>(pp. 21-38). SAR Press.</w:t>
          </w:r>
        </w:p>
        <w:p w14:paraId="15D47AE2" w14:textId="4C9B2FE1" w:rsidR="00410A89" w:rsidRPr="00DC087B" w:rsidRDefault="00410A89" w:rsidP="00DC087B">
          <w:pPr>
            <w:pStyle w:val="Bibliography"/>
            <w:spacing w:line="480" w:lineRule="auto"/>
            <w:ind w:left="720" w:hanging="720"/>
            <w:rPr>
              <w:rFonts w:ascii="Helvetica Neue" w:hAnsi="Helvetica Neue"/>
              <w:noProof/>
            </w:rPr>
          </w:pPr>
          <w:r w:rsidRPr="00DC087B">
            <w:rPr>
              <w:rFonts w:ascii="Helvetica Neue" w:hAnsi="Helvetica Neue"/>
              <w:noProof/>
            </w:rPr>
            <w:t>Knappett, C. (2010). Communities of things and objects: a spatial perspective. In C. Renfrew, &amp; L. Malafouris</w:t>
          </w:r>
          <w:r w:rsidR="00757C47" w:rsidRPr="00DC087B">
            <w:rPr>
              <w:rFonts w:ascii="Helvetica Neue" w:hAnsi="Helvetica Neue"/>
              <w:noProof/>
            </w:rPr>
            <w:t xml:space="preserve"> (Eds.)</w:t>
          </w:r>
          <w:r w:rsidRPr="00DC087B">
            <w:rPr>
              <w:rFonts w:ascii="Helvetica Neue" w:hAnsi="Helvetica Neue"/>
              <w:noProof/>
            </w:rPr>
            <w:t xml:space="preserve">, </w:t>
          </w:r>
          <w:r w:rsidRPr="00DC087B">
            <w:rPr>
              <w:rFonts w:ascii="Helvetica Neue" w:hAnsi="Helvetica Neue"/>
              <w:i/>
              <w:iCs/>
              <w:noProof/>
            </w:rPr>
            <w:t>The Cognitive Life of Things: recasting the boundaries of the mind</w:t>
          </w:r>
          <w:r w:rsidRPr="00DC087B">
            <w:rPr>
              <w:rFonts w:ascii="Helvetica Neue" w:hAnsi="Helvetica Neue"/>
              <w:noProof/>
            </w:rPr>
            <w:t xml:space="preserve"> (pp. 81-89). McDonald Institute for Archaeological Research.</w:t>
          </w:r>
        </w:p>
        <w:p w14:paraId="137AED8C" w14:textId="1B06A728" w:rsidR="00410A89" w:rsidRPr="00DC087B" w:rsidRDefault="00410A89" w:rsidP="00DC087B">
          <w:pPr>
            <w:pStyle w:val="Bibliography"/>
            <w:spacing w:line="480" w:lineRule="auto"/>
            <w:ind w:left="720" w:hanging="720"/>
            <w:rPr>
              <w:rFonts w:ascii="Helvetica Neue" w:hAnsi="Helvetica Neue"/>
              <w:noProof/>
            </w:rPr>
          </w:pPr>
          <w:r w:rsidRPr="00DC087B">
            <w:rPr>
              <w:rFonts w:ascii="Helvetica Neue" w:hAnsi="Helvetica Neue"/>
              <w:noProof/>
            </w:rPr>
            <w:t>Kopytoff, I. (1986). The cultural biography of things: commoditization as process. In A. Appadura</w:t>
          </w:r>
          <w:r w:rsidR="00757C47" w:rsidRPr="00DC087B">
            <w:rPr>
              <w:rFonts w:ascii="Helvetica Neue" w:hAnsi="Helvetica Neue"/>
              <w:noProof/>
            </w:rPr>
            <w:t>i (Ed.)</w:t>
          </w:r>
          <w:r w:rsidRPr="00DC087B">
            <w:rPr>
              <w:rFonts w:ascii="Helvetica Neue" w:hAnsi="Helvetica Neue"/>
              <w:noProof/>
            </w:rPr>
            <w:t xml:space="preserve">, </w:t>
          </w:r>
          <w:r w:rsidRPr="00DC087B">
            <w:rPr>
              <w:rFonts w:ascii="Helvetica Neue" w:hAnsi="Helvetica Neue"/>
              <w:i/>
              <w:iCs/>
              <w:noProof/>
            </w:rPr>
            <w:t>The social life of things: Commodities in cultural perspective</w:t>
          </w:r>
          <w:r w:rsidRPr="00DC087B">
            <w:rPr>
              <w:rFonts w:ascii="Helvetica Neue" w:hAnsi="Helvetica Neue"/>
              <w:noProof/>
            </w:rPr>
            <w:t xml:space="preserve"> (pp. 64-91).</w:t>
          </w:r>
          <w:r w:rsidR="00A045A6" w:rsidRPr="00DC087B">
            <w:rPr>
              <w:rFonts w:ascii="Helvetica Neue" w:hAnsi="Helvetica Neue"/>
              <w:noProof/>
            </w:rPr>
            <w:t xml:space="preserve"> </w:t>
          </w:r>
          <w:r w:rsidRPr="00DC087B">
            <w:rPr>
              <w:rFonts w:ascii="Helvetica Neue" w:hAnsi="Helvetica Neue"/>
              <w:noProof/>
            </w:rPr>
            <w:t>Cambridge University Press.</w:t>
          </w:r>
        </w:p>
        <w:p w14:paraId="3942F093" w14:textId="77777777" w:rsidR="00A045A6" w:rsidRPr="00DC087B" w:rsidRDefault="00A045A6" w:rsidP="00DC087B">
          <w:pPr>
            <w:spacing w:line="480" w:lineRule="auto"/>
            <w:ind w:left="720" w:hanging="720"/>
            <w:rPr>
              <w:rFonts w:ascii="Helvetica Neue" w:hAnsi="Helvetica Neue"/>
            </w:rPr>
          </w:pPr>
          <w:r w:rsidRPr="00DC087B">
            <w:rPr>
              <w:rFonts w:ascii="Helvetica Neue" w:hAnsi="Helvetica Neue"/>
            </w:rPr>
            <w:t>Latour, B. (2005</w:t>
          </w:r>
          <w:r w:rsidRPr="00DC087B">
            <w:rPr>
              <w:rFonts w:ascii="Helvetica Neue" w:hAnsi="Helvetica Neue"/>
              <w:i/>
              <w:iCs/>
            </w:rPr>
            <w:t>). Reassembling the Social: An Introduction to Actor-Network-Theory.</w:t>
          </w:r>
          <w:r w:rsidRPr="00DC087B">
            <w:rPr>
              <w:rFonts w:ascii="Helvetica Neue" w:hAnsi="Helvetica Neue"/>
            </w:rPr>
            <w:t xml:space="preserve"> Oxford University Press. </w:t>
          </w:r>
        </w:p>
        <w:p w14:paraId="34090232" w14:textId="76EB3AFD" w:rsidR="00ED17C0" w:rsidRPr="00DC087B" w:rsidRDefault="00ED17C0" w:rsidP="00DC087B">
          <w:pPr>
            <w:spacing w:line="480" w:lineRule="auto"/>
            <w:ind w:left="720" w:hanging="720"/>
            <w:rPr>
              <w:rFonts w:ascii="Helvetica Neue" w:hAnsi="Helvetica Neue"/>
            </w:rPr>
          </w:pPr>
          <w:r w:rsidRPr="00DC087B">
            <w:rPr>
              <w:rFonts w:ascii="Helvetica Neue" w:hAnsi="Helvetica Neue"/>
            </w:rPr>
            <w:lastRenderedPageBreak/>
            <w:t xml:space="preserve">Malafouris, L. (2013). </w:t>
          </w:r>
          <w:r w:rsidRPr="00DC087B">
            <w:rPr>
              <w:rFonts w:ascii="Helvetica Neue" w:hAnsi="Helvetica Neue"/>
              <w:i/>
              <w:iCs/>
            </w:rPr>
            <w:t>How Things Shape the Mind: A Theory of Material Engagement</w:t>
          </w:r>
          <w:r w:rsidRPr="00DC087B">
            <w:rPr>
              <w:rFonts w:ascii="Helvetica Neue" w:hAnsi="Helvetica Neue"/>
            </w:rPr>
            <w:t xml:space="preserve">. The MIT Press. </w:t>
          </w:r>
        </w:p>
        <w:p w14:paraId="4FA7802A" w14:textId="0770C757" w:rsidR="00ED17C0" w:rsidRPr="00DC087B" w:rsidRDefault="00ED17C0" w:rsidP="00DC087B">
          <w:pPr>
            <w:pStyle w:val="Bibliography"/>
            <w:spacing w:line="480" w:lineRule="auto"/>
            <w:ind w:left="720" w:hanging="720"/>
            <w:rPr>
              <w:rFonts w:ascii="Helvetica Neue" w:hAnsi="Helvetica Neue"/>
            </w:rPr>
          </w:pPr>
          <w:r w:rsidRPr="00DC087B">
            <w:rPr>
              <w:rFonts w:ascii="Helvetica Neue" w:hAnsi="Helvetica Neue"/>
            </w:rPr>
            <w:t xml:space="preserve">Malafouris, L. (2008). Is it ‘me’ or is it ‘mine’? The Mycenaean sword as a body-part. In J. Robb &amp; D. Boric (Eds.), </w:t>
          </w:r>
          <w:r w:rsidRPr="00DC087B">
            <w:rPr>
              <w:rFonts w:ascii="Helvetica Neue" w:hAnsi="Helvetica Neue"/>
              <w:i/>
              <w:iCs/>
            </w:rPr>
            <w:t>Past Bodies</w:t>
          </w:r>
          <w:r w:rsidRPr="00DC087B">
            <w:rPr>
              <w:rFonts w:ascii="Helvetica Neue" w:hAnsi="Helvetica Neue"/>
            </w:rPr>
            <w:t xml:space="preserve"> (pp. 1-15). Oxbow Books. </w:t>
          </w:r>
        </w:p>
        <w:p w14:paraId="5543CFD9" w14:textId="77777777" w:rsidR="00670BF7" w:rsidRPr="00DC087B" w:rsidRDefault="00670BF7" w:rsidP="00DC087B">
          <w:pPr>
            <w:pStyle w:val="Bibliography"/>
            <w:spacing w:line="480" w:lineRule="auto"/>
            <w:ind w:left="720" w:hanging="720"/>
            <w:rPr>
              <w:rFonts w:ascii="Helvetica Neue" w:hAnsi="Helvetica Neue"/>
            </w:rPr>
          </w:pPr>
          <w:r w:rsidRPr="00DC087B">
            <w:rPr>
              <w:rFonts w:ascii="Helvetica Neue" w:hAnsi="Helvetica Neue"/>
            </w:rPr>
            <w:t>Marshall, Y., &amp; Alberti, B. (2014). A Matter of Difference: Karen Barad, Ontology and Archaeological Bodies</w:t>
          </w:r>
          <w:r w:rsidRPr="00DC087B">
            <w:rPr>
              <w:rFonts w:ascii="Helvetica Neue" w:hAnsi="Helvetica Neue"/>
              <w:i/>
              <w:iCs/>
            </w:rPr>
            <w:t xml:space="preserve">. Cambridge Archaeological Journal, 24(1), </w:t>
          </w:r>
          <w:r w:rsidRPr="00DC087B">
            <w:rPr>
              <w:rFonts w:ascii="Helvetica Neue" w:hAnsi="Helvetica Neue"/>
            </w:rPr>
            <w:t xml:space="preserve">19–36. </w:t>
          </w:r>
          <w:hyperlink r:id="rId19" w:history="1">
            <w:r w:rsidRPr="00DC087B">
              <w:rPr>
                <w:rStyle w:val="Hyperlink"/>
                <w:rFonts w:ascii="Helvetica Neue" w:hAnsi="Helvetica Neue"/>
              </w:rPr>
              <w:t>https://doi.org/doi:10.1017/S0959774314000067</w:t>
            </w:r>
          </w:hyperlink>
          <w:r w:rsidRPr="00DC087B">
            <w:rPr>
              <w:rFonts w:ascii="Helvetica Neue" w:hAnsi="Helvetica Neue"/>
            </w:rPr>
            <w:t xml:space="preserve">. </w:t>
          </w:r>
        </w:p>
        <w:p w14:paraId="20CC3002" w14:textId="545A730C" w:rsidR="00670BF7" w:rsidRPr="00DC087B" w:rsidRDefault="00410A89" w:rsidP="00DC087B">
          <w:pPr>
            <w:pStyle w:val="Bibliography"/>
            <w:spacing w:line="480" w:lineRule="auto"/>
            <w:ind w:left="720" w:hanging="720"/>
            <w:rPr>
              <w:rFonts w:ascii="Helvetica Neue" w:hAnsi="Helvetica Neue"/>
              <w:noProof/>
            </w:rPr>
          </w:pPr>
          <w:r w:rsidRPr="00DC087B">
            <w:rPr>
              <w:rFonts w:ascii="Helvetica Neue" w:hAnsi="Helvetica Neue"/>
              <w:noProof/>
            </w:rPr>
            <w:t xml:space="preserve">Merleau-Ponty, M. (1962). </w:t>
          </w:r>
          <w:r w:rsidRPr="00DC087B">
            <w:rPr>
              <w:rFonts w:ascii="Helvetica Neue" w:hAnsi="Helvetica Neue"/>
              <w:i/>
              <w:iCs/>
              <w:noProof/>
            </w:rPr>
            <w:t>Phenomenology of Perception.</w:t>
          </w:r>
          <w:r w:rsidRPr="00DC087B">
            <w:rPr>
              <w:rFonts w:ascii="Helvetica Neue" w:hAnsi="Helvetica Neue"/>
              <w:noProof/>
            </w:rPr>
            <w:t xml:space="preserve"> London: Routledge &amp; Kegan Paul.</w:t>
          </w:r>
          <w:r w:rsidR="00657980" w:rsidRPr="00DC087B">
            <w:rPr>
              <w:rFonts w:ascii="Helvetica Neue" w:hAnsi="Helvetica Neue"/>
              <w:noProof/>
            </w:rPr>
            <w:t xml:space="preserve"> </w:t>
          </w:r>
        </w:p>
        <w:p w14:paraId="23373431" w14:textId="64D299AE" w:rsidR="006A6CF1" w:rsidRPr="00817075" w:rsidRDefault="00410A89" w:rsidP="00DC087B">
          <w:pPr>
            <w:pStyle w:val="Bibliography"/>
            <w:spacing w:line="480" w:lineRule="auto"/>
            <w:rPr>
              <w:rFonts w:ascii="Helvetica Neue" w:hAnsi="Helvetica Neue"/>
            </w:rPr>
          </w:pPr>
          <w:r w:rsidRPr="00DC087B">
            <w:rPr>
              <w:rFonts w:ascii="Helvetica Neue" w:hAnsi="Helvetica Neue"/>
              <w:b/>
              <w:bCs/>
              <w:noProof/>
            </w:rPr>
            <w:fldChar w:fldCharType="end"/>
          </w:r>
        </w:p>
      </w:sdtContent>
    </w:sdt>
    <w:sectPr w:rsidR="006A6CF1" w:rsidRPr="0081707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77190"/>
    <w:multiLevelType w:val="hybridMultilevel"/>
    <w:tmpl w:val="DC6A919A"/>
    <w:lvl w:ilvl="0" w:tplc="5A48CE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72D3093"/>
    <w:multiLevelType w:val="hybridMultilevel"/>
    <w:tmpl w:val="241EF4A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4482564">
    <w:abstractNumId w:val="1"/>
  </w:num>
  <w:num w:numId="2" w16cid:durableId="288516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5D0"/>
    <w:rsid w:val="000054B5"/>
    <w:rsid w:val="0000667C"/>
    <w:rsid w:val="000159E2"/>
    <w:rsid w:val="00047E25"/>
    <w:rsid w:val="000621B6"/>
    <w:rsid w:val="000760A7"/>
    <w:rsid w:val="00076681"/>
    <w:rsid w:val="00080F11"/>
    <w:rsid w:val="000955D9"/>
    <w:rsid w:val="000D7C49"/>
    <w:rsid w:val="000E435C"/>
    <w:rsid w:val="000F4FB6"/>
    <w:rsid w:val="00105A36"/>
    <w:rsid w:val="001177A9"/>
    <w:rsid w:val="001212FA"/>
    <w:rsid w:val="00140BC0"/>
    <w:rsid w:val="00152145"/>
    <w:rsid w:val="00192967"/>
    <w:rsid w:val="00192EE9"/>
    <w:rsid w:val="00194BE6"/>
    <w:rsid w:val="001A2770"/>
    <w:rsid w:val="001B57AC"/>
    <w:rsid w:val="001B586B"/>
    <w:rsid w:val="001C537F"/>
    <w:rsid w:val="001C6793"/>
    <w:rsid w:val="00224B0F"/>
    <w:rsid w:val="00237114"/>
    <w:rsid w:val="0024406D"/>
    <w:rsid w:val="002618D0"/>
    <w:rsid w:val="0026538B"/>
    <w:rsid w:val="00273445"/>
    <w:rsid w:val="00296C41"/>
    <w:rsid w:val="002A5C54"/>
    <w:rsid w:val="002B0A55"/>
    <w:rsid w:val="002B6FAC"/>
    <w:rsid w:val="002C04F7"/>
    <w:rsid w:val="002D55E0"/>
    <w:rsid w:val="002D5F94"/>
    <w:rsid w:val="002E2DA8"/>
    <w:rsid w:val="002F3EEA"/>
    <w:rsid w:val="002F5091"/>
    <w:rsid w:val="002F77D7"/>
    <w:rsid w:val="00302E8E"/>
    <w:rsid w:val="00304F53"/>
    <w:rsid w:val="00316DCF"/>
    <w:rsid w:val="0032060E"/>
    <w:rsid w:val="003271AF"/>
    <w:rsid w:val="00331D1F"/>
    <w:rsid w:val="003367F6"/>
    <w:rsid w:val="00352ECC"/>
    <w:rsid w:val="00363101"/>
    <w:rsid w:val="003633BF"/>
    <w:rsid w:val="00375CAA"/>
    <w:rsid w:val="00382A8D"/>
    <w:rsid w:val="00391B0D"/>
    <w:rsid w:val="00392BEF"/>
    <w:rsid w:val="00396712"/>
    <w:rsid w:val="003B1DFE"/>
    <w:rsid w:val="003D0712"/>
    <w:rsid w:val="003D710A"/>
    <w:rsid w:val="003E1E8C"/>
    <w:rsid w:val="003F0369"/>
    <w:rsid w:val="003F63F8"/>
    <w:rsid w:val="004048A8"/>
    <w:rsid w:val="00410A89"/>
    <w:rsid w:val="00430CCE"/>
    <w:rsid w:val="004330A9"/>
    <w:rsid w:val="00435F24"/>
    <w:rsid w:val="004870E0"/>
    <w:rsid w:val="00493F93"/>
    <w:rsid w:val="004A5C83"/>
    <w:rsid w:val="004D0A57"/>
    <w:rsid w:val="004D7CD9"/>
    <w:rsid w:val="004E7BDA"/>
    <w:rsid w:val="00506467"/>
    <w:rsid w:val="005065B9"/>
    <w:rsid w:val="00516E01"/>
    <w:rsid w:val="00523AC5"/>
    <w:rsid w:val="00531736"/>
    <w:rsid w:val="005554FF"/>
    <w:rsid w:val="00577BE7"/>
    <w:rsid w:val="0058206F"/>
    <w:rsid w:val="00587F4E"/>
    <w:rsid w:val="005911B3"/>
    <w:rsid w:val="00593297"/>
    <w:rsid w:val="00593C86"/>
    <w:rsid w:val="005A0C71"/>
    <w:rsid w:val="005D381A"/>
    <w:rsid w:val="005D4F8B"/>
    <w:rsid w:val="005E6417"/>
    <w:rsid w:val="005F1348"/>
    <w:rsid w:val="00615654"/>
    <w:rsid w:val="00625E1C"/>
    <w:rsid w:val="0063174B"/>
    <w:rsid w:val="00633AB6"/>
    <w:rsid w:val="00657980"/>
    <w:rsid w:val="00663447"/>
    <w:rsid w:val="006638EC"/>
    <w:rsid w:val="00670BF7"/>
    <w:rsid w:val="006762EF"/>
    <w:rsid w:val="00683340"/>
    <w:rsid w:val="00685716"/>
    <w:rsid w:val="006A6CF1"/>
    <w:rsid w:val="006B1086"/>
    <w:rsid w:val="006B3984"/>
    <w:rsid w:val="006D074D"/>
    <w:rsid w:val="006F4923"/>
    <w:rsid w:val="006F4DCC"/>
    <w:rsid w:val="007127DC"/>
    <w:rsid w:val="00712941"/>
    <w:rsid w:val="007242B0"/>
    <w:rsid w:val="00740882"/>
    <w:rsid w:val="00743323"/>
    <w:rsid w:val="00744E61"/>
    <w:rsid w:val="00754D69"/>
    <w:rsid w:val="00757C47"/>
    <w:rsid w:val="007764F2"/>
    <w:rsid w:val="00780B30"/>
    <w:rsid w:val="00783D9A"/>
    <w:rsid w:val="00784BE4"/>
    <w:rsid w:val="00796631"/>
    <w:rsid w:val="007B3D53"/>
    <w:rsid w:val="007F0B98"/>
    <w:rsid w:val="007F4864"/>
    <w:rsid w:val="008117A0"/>
    <w:rsid w:val="00815425"/>
    <w:rsid w:val="0081684A"/>
    <w:rsid w:val="00817075"/>
    <w:rsid w:val="008173C7"/>
    <w:rsid w:val="00861669"/>
    <w:rsid w:val="008973C7"/>
    <w:rsid w:val="008A0108"/>
    <w:rsid w:val="008A20F8"/>
    <w:rsid w:val="008D4193"/>
    <w:rsid w:val="0090558D"/>
    <w:rsid w:val="009363E5"/>
    <w:rsid w:val="00943F46"/>
    <w:rsid w:val="00987129"/>
    <w:rsid w:val="00994F8C"/>
    <w:rsid w:val="00996B95"/>
    <w:rsid w:val="009A428C"/>
    <w:rsid w:val="009B2B21"/>
    <w:rsid w:val="009B55ED"/>
    <w:rsid w:val="009C0C5A"/>
    <w:rsid w:val="009D4432"/>
    <w:rsid w:val="009E5A4D"/>
    <w:rsid w:val="009F07E9"/>
    <w:rsid w:val="00A036DF"/>
    <w:rsid w:val="00A045A6"/>
    <w:rsid w:val="00A067D3"/>
    <w:rsid w:val="00A27AFD"/>
    <w:rsid w:val="00A519EB"/>
    <w:rsid w:val="00A53E37"/>
    <w:rsid w:val="00A66FD8"/>
    <w:rsid w:val="00A800AF"/>
    <w:rsid w:val="00A835AC"/>
    <w:rsid w:val="00A859D4"/>
    <w:rsid w:val="00A9399F"/>
    <w:rsid w:val="00AA2CD8"/>
    <w:rsid w:val="00AA3B45"/>
    <w:rsid w:val="00AA65DE"/>
    <w:rsid w:val="00AB4CA4"/>
    <w:rsid w:val="00AB5B91"/>
    <w:rsid w:val="00AE07FD"/>
    <w:rsid w:val="00B076D4"/>
    <w:rsid w:val="00B37626"/>
    <w:rsid w:val="00B42E96"/>
    <w:rsid w:val="00B53BFD"/>
    <w:rsid w:val="00B6394E"/>
    <w:rsid w:val="00B71081"/>
    <w:rsid w:val="00B76DCD"/>
    <w:rsid w:val="00B85079"/>
    <w:rsid w:val="00BC7B44"/>
    <w:rsid w:val="00BD1DE6"/>
    <w:rsid w:val="00BE4F1B"/>
    <w:rsid w:val="00BE75DE"/>
    <w:rsid w:val="00C07595"/>
    <w:rsid w:val="00C20AD6"/>
    <w:rsid w:val="00C23E98"/>
    <w:rsid w:val="00C44320"/>
    <w:rsid w:val="00C470FE"/>
    <w:rsid w:val="00C73E0E"/>
    <w:rsid w:val="00C8748E"/>
    <w:rsid w:val="00CD2742"/>
    <w:rsid w:val="00CD34B2"/>
    <w:rsid w:val="00CE59D0"/>
    <w:rsid w:val="00CF17A1"/>
    <w:rsid w:val="00D22F2E"/>
    <w:rsid w:val="00D350E4"/>
    <w:rsid w:val="00D36C13"/>
    <w:rsid w:val="00D46558"/>
    <w:rsid w:val="00D465D0"/>
    <w:rsid w:val="00D7504A"/>
    <w:rsid w:val="00D75F40"/>
    <w:rsid w:val="00D83C22"/>
    <w:rsid w:val="00D87DEA"/>
    <w:rsid w:val="00D94EE6"/>
    <w:rsid w:val="00DA09A0"/>
    <w:rsid w:val="00DA4C9D"/>
    <w:rsid w:val="00DA66AB"/>
    <w:rsid w:val="00DA7D19"/>
    <w:rsid w:val="00DB192A"/>
    <w:rsid w:val="00DC0410"/>
    <w:rsid w:val="00DC087B"/>
    <w:rsid w:val="00DD0D55"/>
    <w:rsid w:val="00DE22AD"/>
    <w:rsid w:val="00DF4EA7"/>
    <w:rsid w:val="00E06CFC"/>
    <w:rsid w:val="00E1074D"/>
    <w:rsid w:val="00E35008"/>
    <w:rsid w:val="00E37651"/>
    <w:rsid w:val="00E415A6"/>
    <w:rsid w:val="00E67FD2"/>
    <w:rsid w:val="00E900B2"/>
    <w:rsid w:val="00E974F3"/>
    <w:rsid w:val="00EA2AC3"/>
    <w:rsid w:val="00ED17C0"/>
    <w:rsid w:val="00EE79DB"/>
    <w:rsid w:val="00F14F88"/>
    <w:rsid w:val="00F24735"/>
    <w:rsid w:val="00F26648"/>
    <w:rsid w:val="00F33235"/>
    <w:rsid w:val="00F3388C"/>
    <w:rsid w:val="00F4281F"/>
    <w:rsid w:val="00F54505"/>
    <w:rsid w:val="00F67014"/>
    <w:rsid w:val="00F87660"/>
    <w:rsid w:val="00F9043D"/>
    <w:rsid w:val="00F95D55"/>
    <w:rsid w:val="00FA36C8"/>
    <w:rsid w:val="00FD4079"/>
    <w:rsid w:val="00FD5D17"/>
    <w:rsid w:val="00FE26E6"/>
    <w:rsid w:val="00FF01F8"/>
    <w:rsid w:val="00FF06B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33F98A"/>
  <w15:chartTrackingRefBased/>
  <w15:docId w15:val="{721206DF-E205-4D46-BB4F-958A5FBC8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65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465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465D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465D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465D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465D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65D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65D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65D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65D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465D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465D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465D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465D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465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65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65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65D0"/>
    <w:rPr>
      <w:rFonts w:eastAsiaTheme="majorEastAsia" w:cstheme="majorBidi"/>
      <w:color w:val="272727" w:themeColor="text1" w:themeTint="D8"/>
    </w:rPr>
  </w:style>
  <w:style w:type="paragraph" w:styleId="Title">
    <w:name w:val="Title"/>
    <w:basedOn w:val="Normal"/>
    <w:next w:val="Normal"/>
    <w:link w:val="TitleChar"/>
    <w:uiPriority w:val="10"/>
    <w:qFormat/>
    <w:rsid w:val="00D465D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65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65D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65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65D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465D0"/>
    <w:rPr>
      <w:i/>
      <w:iCs/>
      <w:color w:val="404040" w:themeColor="text1" w:themeTint="BF"/>
    </w:rPr>
  </w:style>
  <w:style w:type="paragraph" w:styleId="ListParagraph">
    <w:name w:val="List Paragraph"/>
    <w:basedOn w:val="Normal"/>
    <w:uiPriority w:val="34"/>
    <w:qFormat/>
    <w:rsid w:val="00D465D0"/>
    <w:pPr>
      <w:ind w:left="720"/>
      <w:contextualSpacing/>
    </w:pPr>
  </w:style>
  <w:style w:type="character" w:styleId="IntenseEmphasis">
    <w:name w:val="Intense Emphasis"/>
    <w:basedOn w:val="DefaultParagraphFont"/>
    <w:uiPriority w:val="21"/>
    <w:qFormat/>
    <w:rsid w:val="00D465D0"/>
    <w:rPr>
      <w:i/>
      <w:iCs/>
      <w:color w:val="2F5496" w:themeColor="accent1" w:themeShade="BF"/>
    </w:rPr>
  </w:style>
  <w:style w:type="paragraph" w:styleId="IntenseQuote">
    <w:name w:val="Intense Quote"/>
    <w:basedOn w:val="Normal"/>
    <w:next w:val="Normal"/>
    <w:link w:val="IntenseQuoteChar"/>
    <w:uiPriority w:val="30"/>
    <w:qFormat/>
    <w:rsid w:val="00D465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465D0"/>
    <w:rPr>
      <w:i/>
      <w:iCs/>
      <w:color w:val="2F5496" w:themeColor="accent1" w:themeShade="BF"/>
    </w:rPr>
  </w:style>
  <w:style w:type="character" w:styleId="IntenseReference">
    <w:name w:val="Intense Reference"/>
    <w:basedOn w:val="DefaultParagraphFont"/>
    <w:uiPriority w:val="32"/>
    <w:qFormat/>
    <w:rsid w:val="00D465D0"/>
    <w:rPr>
      <w:b/>
      <w:bCs/>
      <w:smallCaps/>
      <w:color w:val="2F5496" w:themeColor="accent1" w:themeShade="BF"/>
      <w:spacing w:val="5"/>
    </w:rPr>
  </w:style>
  <w:style w:type="paragraph" w:styleId="Bibliography">
    <w:name w:val="Bibliography"/>
    <w:basedOn w:val="Normal"/>
    <w:next w:val="Normal"/>
    <w:uiPriority w:val="37"/>
    <w:unhideWhenUsed/>
    <w:rsid w:val="006B3984"/>
  </w:style>
  <w:style w:type="character" w:styleId="Hyperlink">
    <w:name w:val="Hyperlink"/>
    <w:basedOn w:val="DefaultParagraphFont"/>
    <w:uiPriority w:val="99"/>
    <w:unhideWhenUsed/>
    <w:rsid w:val="008973C7"/>
    <w:rPr>
      <w:color w:val="0563C1" w:themeColor="hyperlink"/>
      <w:u w:val="single"/>
    </w:rPr>
  </w:style>
  <w:style w:type="character" w:styleId="UnresolvedMention">
    <w:name w:val="Unresolved Mention"/>
    <w:basedOn w:val="DefaultParagraphFont"/>
    <w:uiPriority w:val="99"/>
    <w:semiHidden/>
    <w:unhideWhenUsed/>
    <w:rsid w:val="008973C7"/>
    <w:rPr>
      <w:color w:val="605E5C"/>
      <w:shd w:val="clear" w:color="auto" w:fill="E1DFDD"/>
    </w:rPr>
  </w:style>
  <w:style w:type="paragraph" w:styleId="NormalWeb">
    <w:name w:val="Normal (Web)"/>
    <w:basedOn w:val="Normal"/>
    <w:uiPriority w:val="99"/>
    <w:semiHidden/>
    <w:unhideWhenUsed/>
    <w:rsid w:val="00A036DF"/>
    <w:rPr>
      <w:rFonts w:ascii="Times New Roman" w:hAnsi="Times New Roman" w:cs="Times New Roman"/>
    </w:rPr>
  </w:style>
  <w:style w:type="paragraph" w:styleId="Caption">
    <w:name w:val="caption"/>
    <w:basedOn w:val="Normal"/>
    <w:next w:val="Normal"/>
    <w:uiPriority w:val="35"/>
    <w:unhideWhenUsed/>
    <w:qFormat/>
    <w:rsid w:val="003D0712"/>
    <w:pPr>
      <w:spacing w:after="200"/>
    </w:pPr>
    <w:rPr>
      <w:i/>
      <w:iCs/>
      <w:color w:val="44546A" w:themeColor="text2"/>
      <w:sz w:val="18"/>
      <w:szCs w:val="18"/>
    </w:rPr>
  </w:style>
  <w:style w:type="character" w:styleId="FollowedHyperlink">
    <w:name w:val="FollowedHyperlink"/>
    <w:basedOn w:val="DefaultParagraphFont"/>
    <w:uiPriority w:val="99"/>
    <w:semiHidden/>
    <w:unhideWhenUsed/>
    <w:rsid w:val="00331D1F"/>
    <w:rPr>
      <w:color w:val="954F72" w:themeColor="followedHyperlink"/>
      <w:u w:val="single"/>
    </w:rPr>
  </w:style>
  <w:style w:type="table" w:styleId="TableGrid">
    <w:name w:val="Table Grid"/>
    <w:basedOn w:val="TableNormal"/>
    <w:uiPriority w:val="39"/>
    <w:rsid w:val="00A859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861471">
      <w:bodyDiv w:val="1"/>
      <w:marLeft w:val="0"/>
      <w:marRight w:val="0"/>
      <w:marTop w:val="0"/>
      <w:marBottom w:val="0"/>
      <w:divBdr>
        <w:top w:val="none" w:sz="0" w:space="0" w:color="auto"/>
        <w:left w:val="none" w:sz="0" w:space="0" w:color="auto"/>
        <w:bottom w:val="none" w:sz="0" w:space="0" w:color="auto"/>
        <w:right w:val="none" w:sz="0" w:space="0" w:color="auto"/>
      </w:divBdr>
    </w:div>
    <w:div w:id="166602391">
      <w:bodyDiv w:val="1"/>
      <w:marLeft w:val="0"/>
      <w:marRight w:val="0"/>
      <w:marTop w:val="0"/>
      <w:marBottom w:val="0"/>
      <w:divBdr>
        <w:top w:val="none" w:sz="0" w:space="0" w:color="auto"/>
        <w:left w:val="none" w:sz="0" w:space="0" w:color="auto"/>
        <w:bottom w:val="none" w:sz="0" w:space="0" w:color="auto"/>
        <w:right w:val="none" w:sz="0" w:space="0" w:color="auto"/>
      </w:divBdr>
    </w:div>
    <w:div w:id="185683711">
      <w:bodyDiv w:val="1"/>
      <w:marLeft w:val="0"/>
      <w:marRight w:val="0"/>
      <w:marTop w:val="0"/>
      <w:marBottom w:val="0"/>
      <w:divBdr>
        <w:top w:val="none" w:sz="0" w:space="0" w:color="auto"/>
        <w:left w:val="none" w:sz="0" w:space="0" w:color="auto"/>
        <w:bottom w:val="none" w:sz="0" w:space="0" w:color="auto"/>
        <w:right w:val="none" w:sz="0" w:space="0" w:color="auto"/>
      </w:divBdr>
    </w:div>
    <w:div w:id="517550789">
      <w:bodyDiv w:val="1"/>
      <w:marLeft w:val="0"/>
      <w:marRight w:val="0"/>
      <w:marTop w:val="0"/>
      <w:marBottom w:val="0"/>
      <w:divBdr>
        <w:top w:val="none" w:sz="0" w:space="0" w:color="auto"/>
        <w:left w:val="none" w:sz="0" w:space="0" w:color="auto"/>
        <w:bottom w:val="none" w:sz="0" w:space="0" w:color="auto"/>
        <w:right w:val="none" w:sz="0" w:space="0" w:color="auto"/>
      </w:divBdr>
    </w:div>
    <w:div w:id="518542737">
      <w:bodyDiv w:val="1"/>
      <w:marLeft w:val="0"/>
      <w:marRight w:val="0"/>
      <w:marTop w:val="0"/>
      <w:marBottom w:val="0"/>
      <w:divBdr>
        <w:top w:val="none" w:sz="0" w:space="0" w:color="auto"/>
        <w:left w:val="none" w:sz="0" w:space="0" w:color="auto"/>
        <w:bottom w:val="none" w:sz="0" w:space="0" w:color="auto"/>
        <w:right w:val="none" w:sz="0" w:space="0" w:color="auto"/>
      </w:divBdr>
    </w:div>
    <w:div w:id="614825234">
      <w:bodyDiv w:val="1"/>
      <w:marLeft w:val="0"/>
      <w:marRight w:val="0"/>
      <w:marTop w:val="0"/>
      <w:marBottom w:val="0"/>
      <w:divBdr>
        <w:top w:val="none" w:sz="0" w:space="0" w:color="auto"/>
        <w:left w:val="none" w:sz="0" w:space="0" w:color="auto"/>
        <w:bottom w:val="none" w:sz="0" w:space="0" w:color="auto"/>
        <w:right w:val="none" w:sz="0" w:space="0" w:color="auto"/>
      </w:divBdr>
    </w:div>
    <w:div w:id="623775648">
      <w:bodyDiv w:val="1"/>
      <w:marLeft w:val="0"/>
      <w:marRight w:val="0"/>
      <w:marTop w:val="0"/>
      <w:marBottom w:val="0"/>
      <w:divBdr>
        <w:top w:val="none" w:sz="0" w:space="0" w:color="auto"/>
        <w:left w:val="none" w:sz="0" w:space="0" w:color="auto"/>
        <w:bottom w:val="none" w:sz="0" w:space="0" w:color="auto"/>
        <w:right w:val="none" w:sz="0" w:space="0" w:color="auto"/>
      </w:divBdr>
    </w:div>
    <w:div w:id="916785601">
      <w:bodyDiv w:val="1"/>
      <w:marLeft w:val="0"/>
      <w:marRight w:val="0"/>
      <w:marTop w:val="0"/>
      <w:marBottom w:val="0"/>
      <w:divBdr>
        <w:top w:val="none" w:sz="0" w:space="0" w:color="auto"/>
        <w:left w:val="none" w:sz="0" w:space="0" w:color="auto"/>
        <w:bottom w:val="none" w:sz="0" w:space="0" w:color="auto"/>
        <w:right w:val="none" w:sz="0" w:space="0" w:color="auto"/>
      </w:divBdr>
    </w:div>
    <w:div w:id="957250826">
      <w:bodyDiv w:val="1"/>
      <w:marLeft w:val="0"/>
      <w:marRight w:val="0"/>
      <w:marTop w:val="0"/>
      <w:marBottom w:val="0"/>
      <w:divBdr>
        <w:top w:val="none" w:sz="0" w:space="0" w:color="auto"/>
        <w:left w:val="none" w:sz="0" w:space="0" w:color="auto"/>
        <w:bottom w:val="none" w:sz="0" w:space="0" w:color="auto"/>
        <w:right w:val="none" w:sz="0" w:space="0" w:color="auto"/>
      </w:divBdr>
    </w:div>
    <w:div w:id="1012076267">
      <w:bodyDiv w:val="1"/>
      <w:marLeft w:val="0"/>
      <w:marRight w:val="0"/>
      <w:marTop w:val="0"/>
      <w:marBottom w:val="0"/>
      <w:divBdr>
        <w:top w:val="none" w:sz="0" w:space="0" w:color="auto"/>
        <w:left w:val="none" w:sz="0" w:space="0" w:color="auto"/>
        <w:bottom w:val="none" w:sz="0" w:space="0" w:color="auto"/>
        <w:right w:val="none" w:sz="0" w:space="0" w:color="auto"/>
      </w:divBdr>
    </w:div>
    <w:div w:id="1191649241">
      <w:bodyDiv w:val="1"/>
      <w:marLeft w:val="0"/>
      <w:marRight w:val="0"/>
      <w:marTop w:val="0"/>
      <w:marBottom w:val="0"/>
      <w:divBdr>
        <w:top w:val="none" w:sz="0" w:space="0" w:color="auto"/>
        <w:left w:val="none" w:sz="0" w:space="0" w:color="auto"/>
        <w:bottom w:val="none" w:sz="0" w:space="0" w:color="auto"/>
        <w:right w:val="none" w:sz="0" w:space="0" w:color="auto"/>
      </w:divBdr>
    </w:div>
    <w:div w:id="1217818895">
      <w:bodyDiv w:val="1"/>
      <w:marLeft w:val="0"/>
      <w:marRight w:val="0"/>
      <w:marTop w:val="0"/>
      <w:marBottom w:val="0"/>
      <w:divBdr>
        <w:top w:val="none" w:sz="0" w:space="0" w:color="auto"/>
        <w:left w:val="none" w:sz="0" w:space="0" w:color="auto"/>
        <w:bottom w:val="none" w:sz="0" w:space="0" w:color="auto"/>
        <w:right w:val="none" w:sz="0" w:space="0" w:color="auto"/>
      </w:divBdr>
    </w:div>
    <w:div w:id="1281184958">
      <w:bodyDiv w:val="1"/>
      <w:marLeft w:val="0"/>
      <w:marRight w:val="0"/>
      <w:marTop w:val="0"/>
      <w:marBottom w:val="0"/>
      <w:divBdr>
        <w:top w:val="none" w:sz="0" w:space="0" w:color="auto"/>
        <w:left w:val="none" w:sz="0" w:space="0" w:color="auto"/>
        <w:bottom w:val="none" w:sz="0" w:space="0" w:color="auto"/>
        <w:right w:val="none" w:sz="0" w:space="0" w:color="auto"/>
      </w:divBdr>
    </w:div>
    <w:div w:id="1311906237">
      <w:bodyDiv w:val="1"/>
      <w:marLeft w:val="0"/>
      <w:marRight w:val="0"/>
      <w:marTop w:val="0"/>
      <w:marBottom w:val="0"/>
      <w:divBdr>
        <w:top w:val="none" w:sz="0" w:space="0" w:color="auto"/>
        <w:left w:val="none" w:sz="0" w:space="0" w:color="auto"/>
        <w:bottom w:val="none" w:sz="0" w:space="0" w:color="auto"/>
        <w:right w:val="none" w:sz="0" w:space="0" w:color="auto"/>
      </w:divBdr>
    </w:div>
    <w:div w:id="1390808203">
      <w:bodyDiv w:val="1"/>
      <w:marLeft w:val="0"/>
      <w:marRight w:val="0"/>
      <w:marTop w:val="0"/>
      <w:marBottom w:val="0"/>
      <w:divBdr>
        <w:top w:val="none" w:sz="0" w:space="0" w:color="auto"/>
        <w:left w:val="none" w:sz="0" w:space="0" w:color="auto"/>
        <w:bottom w:val="none" w:sz="0" w:space="0" w:color="auto"/>
        <w:right w:val="none" w:sz="0" w:space="0" w:color="auto"/>
      </w:divBdr>
    </w:div>
    <w:div w:id="1469006954">
      <w:bodyDiv w:val="1"/>
      <w:marLeft w:val="0"/>
      <w:marRight w:val="0"/>
      <w:marTop w:val="0"/>
      <w:marBottom w:val="0"/>
      <w:divBdr>
        <w:top w:val="none" w:sz="0" w:space="0" w:color="auto"/>
        <w:left w:val="none" w:sz="0" w:space="0" w:color="auto"/>
        <w:bottom w:val="none" w:sz="0" w:space="0" w:color="auto"/>
        <w:right w:val="none" w:sz="0" w:space="0" w:color="auto"/>
      </w:divBdr>
    </w:div>
    <w:div w:id="1561406347">
      <w:bodyDiv w:val="1"/>
      <w:marLeft w:val="0"/>
      <w:marRight w:val="0"/>
      <w:marTop w:val="0"/>
      <w:marBottom w:val="0"/>
      <w:divBdr>
        <w:top w:val="none" w:sz="0" w:space="0" w:color="auto"/>
        <w:left w:val="none" w:sz="0" w:space="0" w:color="auto"/>
        <w:bottom w:val="none" w:sz="0" w:space="0" w:color="auto"/>
        <w:right w:val="none" w:sz="0" w:space="0" w:color="auto"/>
      </w:divBdr>
    </w:div>
    <w:div w:id="1589381777">
      <w:bodyDiv w:val="1"/>
      <w:marLeft w:val="0"/>
      <w:marRight w:val="0"/>
      <w:marTop w:val="0"/>
      <w:marBottom w:val="0"/>
      <w:divBdr>
        <w:top w:val="none" w:sz="0" w:space="0" w:color="auto"/>
        <w:left w:val="none" w:sz="0" w:space="0" w:color="auto"/>
        <w:bottom w:val="none" w:sz="0" w:space="0" w:color="auto"/>
        <w:right w:val="none" w:sz="0" w:space="0" w:color="auto"/>
      </w:divBdr>
    </w:div>
    <w:div w:id="1697271619">
      <w:bodyDiv w:val="1"/>
      <w:marLeft w:val="0"/>
      <w:marRight w:val="0"/>
      <w:marTop w:val="0"/>
      <w:marBottom w:val="0"/>
      <w:divBdr>
        <w:top w:val="none" w:sz="0" w:space="0" w:color="auto"/>
        <w:left w:val="none" w:sz="0" w:space="0" w:color="auto"/>
        <w:bottom w:val="none" w:sz="0" w:space="0" w:color="auto"/>
        <w:right w:val="none" w:sz="0" w:space="0" w:color="auto"/>
      </w:divBdr>
    </w:div>
    <w:div w:id="1845314717">
      <w:bodyDiv w:val="1"/>
      <w:marLeft w:val="0"/>
      <w:marRight w:val="0"/>
      <w:marTop w:val="0"/>
      <w:marBottom w:val="0"/>
      <w:divBdr>
        <w:top w:val="none" w:sz="0" w:space="0" w:color="auto"/>
        <w:left w:val="none" w:sz="0" w:space="0" w:color="auto"/>
        <w:bottom w:val="none" w:sz="0" w:space="0" w:color="auto"/>
        <w:right w:val="none" w:sz="0" w:space="0" w:color="auto"/>
      </w:divBdr>
    </w:div>
    <w:div w:id="1950550170">
      <w:bodyDiv w:val="1"/>
      <w:marLeft w:val="0"/>
      <w:marRight w:val="0"/>
      <w:marTop w:val="0"/>
      <w:marBottom w:val="0"/>
      <w:divBdr>
        <w:top w:val="none" w:sz="0" w:space="0" w:color="auto"/>
        <w:left w:val="none" w:sz="0" w:space="0" w:color="auto"/>
        <w:bottom w:val="none" w:sz="0" w:space="0" w:color="auto"/>
        <w:right w:val="none" w:sz="0" w:space="0" w:color="auto"/>
      </w:divBdr>
    </w:div>
    <w:div w:id="1956670221">
      <w:bodyDiv w:val="1"/>
      <w:marLeft w:val="0"/>
      <w:marRight w:val="0"/>
      <w:marTop w:val="0"/>
      <w:marBottom w:val="0"/>
      <w:divBdr>
        <w:top w:val="none" w:sz="0" w:space="0" w:color="auto"/>
        <w:left w:val="none" w:sz="0" w:space="0" w:color="auto"/>
        <w:bottom w:val="none" w:sz="0" w:space="0" w:color="auto"/>
        <w:right w:val="none" w:sz="0" w:space="0" w:color="auto"/>
      </w:divBdr>
    </w:div>
    <w:div w:id="1991977426">
      <w:bodyDiv w:val="1"/>
      <w:marLeft w:val="0"/>
      <w:marRight w:val="0"/>
      <w:marTop w:val="0"/>
      <w:marBottom w:val="0"/>
      <w:divBdr>
        <w:top w:val="none" w:sz="0" w:space="0" w:color="auto"/>
        <w:left w:val="none" w:sz="0" w:space="0" w:color="auto"/>
        <w:bottom w:val="none" w:sz="0" w:space="0" w:color="auto"/>
        <w:right w:val="none" w:sz="0" w:space="0" w:color="auto"/>
      </w:divBdr>
    </w:div>
    <w:div w:id="2017733725">
      <w:bodyDiv w:val="1"/>
      <w:marLeft w:val="0"/>
      <w:marRight w:val="0"/>
      <w:marTop w:val="0"/>
      <w:marBottom w:val="0"/>
      <w:divBdr>
        <w:top w:val="none" w:sz="0" w:space="0" w:color="auto"/>
        <w:left w:val="none" w:sz="0" w:space="0" w:color="auto"/>
        <w:bottom w:val="none" w:sz="0" w:space="0" w:color="auto"/>
        <w:right w:val="none" w:sz="0" w:space="0" w:color="auto"/>
      </w:divBdr>
    </w:div>
    <w:div w:id="2019572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boredpanda.com/old-plush-toys-before-after-katja-kemnitz/" TargetMode="External"/><Relationship Id="rId18" Type="http://schemas.openxmlformats.org/officeDocument/2006/relationships/hyperlink" Target="https://eprints.ncrm.ac.uk/id/eprint/1306/1/0510_creative_entanglements.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study.com/academy/lesson/latours-actor-network-theory.html" TargetMode="External"/><Relationship Id="rId12" Type="http://schemas.openxmlformats.org/officeDocument/2006/relationships/image" Target="media/image4.jpeg"/><Relationship Id="rId17" Type="http://schemas.openxmlformats.org/officeDocument/2006/relationships/hyperlink" Target="https://doi.org/10.4135/9781848607972.n6" TargetMode="External"/><Relationship Id="rId2" Type="http://schemas.openxmlformats.org/officeDocument/2006/relationships/numbering" Target="numbering.xml"/><Relationship Id="rId16" Type="http://schemas.openxmlformats.org/officeDocument/2006/relationships/hyperlink" Target="https://doi.org/https://www.jstor.org/stable/10.1086/3453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thenewatlantis.com/text-patterns/the-blind-mans-stick" TargetMode="External"/><Relationship Id="rId5" Type="http://schemas.openxmlformats.org/officeDocument/2006/relationships/webSettings" Target="webSettings.xml"/><Relationship Id="rId15" Type="http://schemas.openxmlformats.org/officeDocument/2006/relationships/hyperlink" Target="https://www.clayworksstudios.co.uk/shop-weekly-throwing-course-mixed-ability/learn/to/throw/pots/on/wheel/beginners" TargetMode="External"/><Relationship Id="rId10" Type="http://schemas.openxmlformats.org/officeDocument/2006/relationships/image" Target="media/image3.gif"/><Relationship Id="rId19" Type="http://schemas.openxmlformats.org/officeDocument/2006/relationships/hyperlink" Target="https://doi.org/doi:10.1017/S0959774314000067" TargetMode="External"/><Relationship Id="rId4" Type="http://schemas.openxmlformats.org/officeDocument/2006/relationships/settings" Target="settings.xml"/><Relationship Id="rId9" Type="http://schemas.openxmlformats.org/officeDocument/2006/relationships/hyperlink" Target="https://filmlifestyle.com/assemblage-in-art/" TargetMode="External"/><Relationship Id="rId14" Type="http://schemas.openxmlformats.org/officeDocument/2006/relationships/image" Target="media/image5.jpeg"/></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03B483A-3A6E-DA4F-A3B2-87704007A34F}">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Mer62</b:Tag>
    <b:SourceType>Book</b:SourceType>
    <b:Guid>{63D4BC57-726D-F14A-9A02-0ECF2F21B685}</b:Guid>
    <b:Author>
      <b:Author>
        <b:NameList>
          <b:Person>
            <b:Last>Merleau-Ponty</b:Last>
            <b:First>Maurice</b:First>
          </b:Person>
        </b:NameList>
      </b:Author>
    </b:Author>
    <b:Title>Phenomenology of Perception</b:Title>
    <b:City>London</b:City>
    <b:Publisher>Routledge &amp; Kegan Paul</b:Publisher>
    <b:Year>1962</b:Year>
    <b:LCID>en-CA</b:LCID>
    <b:RefOrder>1</b:RefOrder>
  </b:Source>
  <b:Source>
    <b:Tag>Kna10</b:Tag>
    <b:SourceType>BookSection</b:SourceType>
    <b:Guid>{82D672AB-C232-6247-8088-ED9535E81E6B}</b:Guid>
    <b:Author>
      <b:Author>
        <b:NameList>
          <b:Person>
            <b:Last>Knappett</b:Last>
            <b:First>Carl</b:First>
          </b:Person>
        </b:NameList>
      </b:Author>
      <b:BookAuthor>
        <b:NameList>
          <b:Person>
            <b:Last>Renfrew</b:Last>
            <b:First>Colin</b:First>
          </b:Person>
          <b:Person>
            <b:Last>Malafouris</b:Last>
            <b:First>Lambros</b:First>
          </b:Person>
        </b:NameList>
      </b:BookAuthor>
    </b:Author>
    <b:Title>Communities of things and objects: a spatial perspective</b:Title>
    <b:City>Cambridge</b:City>
    <b:Publisher>McDonald Institute for Archaeological Research</b:Publisher>
    <b:Year>2010</b:Year>
    <b:BookTitle>The Cognitive Life of Things: recasting the boundaries of the mind</b:BookTitle>
    <b:Pages>81-89</b:Pages>
    <b:RefOrder>2</b:RefOrder>
  </b:Source>
  <b:Source>
    <b:Tag>Igo86</b:Tag>
    <b:SourceType>BookSection</b:SourceType>
    <b:Guid>{7AE809F3-4256-D24B-AC9E-EA35C6AECA87}</b:Guid>
    <b:Author>
      <b:Author>
        <b:NameList>
          <b:Person>
            <b:Last>Kopytoff</b:Last>
            <b:First>Igor</b:First>
          </b:Person>
        </b:NameList>
      </b:Author>
      <b:BookAuthor>
        <b:NameList>
          <b:Person>
            <b:Last>Appadurai</b:Last>
            <b:First>Arjun</b:First>
          </b:Person>
        </b:NameList>
      </b:BookAuthor>
    </b:Author>
    <b:Title>The cultural biography of things: commoditization as process</b:Title>
    <b:BookTitle>The social life of things: Commodities in cultural perspective</b:BookTitle>
    <b:City>Cambridge</b:City>
    <b:Publisher>Cambridge University Press</b:Publisher>
    <b:Year>1986</b:Year>
    <b:Pages>64-91</b:Pages>
    <b:LCID>en-CA</b:LCID>
    <b:RefOrder>3</b:RefOrder>
  </b:Source>
  <b:Source>
    <b:Tag>Luc19</b:Tag>
    <b:SourceType>BookSection</b:SourceType>
    <b:Guid>{51ED803F-3DB7-9246-BE53-2AAC48A2A9B9}</b:Guid>
    <b:Title>Preface</b:Title>
    <b:BookTitle>Body Matters: Exploring the Materiality of the Human Body</b:BookTitle>
    <b:City>Cardiff</b:City>
    <b:Publisher>University of Wales Press</b:Publisher>
    <b:Year>2019</b:Year>
    <b:Pages>xvii-xviii</b:Pages>
    <b:Author>
      <b:BookAuthor>
        <b:NameList>
          <b:Person>
            <b:Last>Luci</b:Last>
            <b:First>Attala</b:First>
            <b:Middle>&amp;</b:Middle>
          </b:Person>
          <b:Person>
            <b:Last>Steel</b:Last>
            <b:First>Louise</b:First>
          </b:Person>
        </b:NameList>
      </b:BookAuthor>
      <b:Author>
        <b:NameList>
          <b:Person>
            <b:Last>Attala</b:Last>
            <b:First>Luci</b:First>
          </b:Person>
        </b:NameList>
      </b:Author>
    </b:Author>
    <b:RefOrder>4</b:RefOrder>
  </b:Source>
  <b:Source>
    <b:Tag>Luc191</b:Tag>
    <b:SourceType>BookSection</b:SourceType>
    <b:Guid>{D7F2900C-E869-4543-81D6-1A39DF1D4C9B}</b:Guid>
    <b:Author>
      <b:Author>
        <b:NameList>
          <b:Person>
            <b:Last>Steel</b:Last>
            <b:First>Luci</b:First>
            <b:Middle>Attala &amp; Louise</b:Middle>
          </b:Person>
        </b:NameList>
      </b:Author>
      <b:BookAuthor>
        <b:NameList>
          <b:Person>
            <b:Last>Attala</b:Last>
            <b:First>Luci</b:First>
          </b:Person>
          <b:Person>
            <b:Last>Steel</b:Last>
            <b:First>Louise</b:First>
          </b:Person>
        </b:NameList>
      </b:BookAuthor>
    </b:Author>
    <b:Title>Introduction</b:Title>
    <b:BookTitle>Body Matters: Exploring the Materiality of the Human Body</b:BookTitle>
    <b:City>Cardiff</b:City>
    <b:Publisher>University of Wales Press</b:Publisher>
    <b:Year>2019</b:Year>
    <b:Pages>1-17</b:Pages>
    <b:RefOrder>5</b:RefOrder>
  </b:Source>
</b:Sources>
</file>

<file path=customXml/itemProps1.xml><?xml version="1.0" encoding="utf-8"?>
<ds:datastoreItem xmlns:ds="http://schemas.openxmlformats.org/officeDocument/2006/customXml" ds:itemID="{55BF24FD-C800-A440-BB8E-7E20C1AF2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634</TotalTime>
  <Pages>10</Pages>
  <Words>2479</Words>
  <Characters>14481</Characters>
  <Application>Microsoft Office Word</Application>
  <DocSecurity>0</DocSecurity>
  <Lines>308</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Ehnes-Hammel (2409336)</dc:creator>
  <cp:keywords/>
  <dc:description/>
  <cp:lastModifiedBy>Nicholas Ehnes-Hammel (2409336)</cp:lastModifiedBy>
  <cp:revision>16</cp:revision>
  <dcterms:created xsi:type="dcterms:W3CDTF">2024-11-16T05:40:00Z</dcterms:created>
  <dcterms:modified xsi:type="dcterms:W3CDTF">2024-11-17T23:55:00Z</dcterms:modified>
</cp:coreProperties>
</file>