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Calibri" w:hAnsi="Calibri" w:cs="Calibri"/>
          <w:b/>
          <w:bCs/>
          <w:sz w:val="48"/>
          <w:szCs w:val="48"/>
        </w:rPr>
      </w:pPr>
      <w:r>
        <w:rPr>
          <w:rFonts w:ascii="Calibri" w:hAnsi="Calibri" w:cs="Calibri"/>
          <w:b/>
          <w:bCs/>
          <w:sz w:val="48"/>
          <w:szCs w:val="48"/>
        </w:rPr>
        <w:drawing>
          <wp:inline distT="0" distB="0" distL="0" distR="0">
            <wp:extent cx="5633085" cy="2212975"/>
            <wp:effectExtent l="0" t="0" r="5715" b="1587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pPr>
        <w:rPr>
          <w:rStyle w:val="21"/>
          <w:rFonts w:ascii="Arial" w:hAnsi="Arial" w:cs="Arial"/>
          <w:sz w:val="48"/>
          <w:szCs w:val="48"/>
        </w:rPr>
      </w:pPr>
    </w:p>
    <w:p>
      <w:pPr>
        <w:spacing w:line="360" w:lineRule="auto"/>
        <w:jc w:val="both"/>
        <w:rPr>
          <w:rStyle w:val="21"/>
          <w:rFonts w:ascii="Arial" w:hAnsi="Arial" w:eastAsia="宋体" w:cs="Arial"/>
          <w:sz w:val="48"/>
          <w:szCs w:val="48"/>
        </w:rPr>
      </w:pPr>
    </w:p>
    <w:p>
      <w:pPr>
        <w:spacing w:line="360" w:lineRule="auto"/>
        <w:jc w:val="both"/>
        <w:rPr>
          <w:rStyle w:val="21"/>
          <w:rFonts w:ascii="Arial" w:hAnsi="Arial" w:eastAsia="宋体" w:cs="Arial"/>
          <w:sz w:val="48"/>
          <w:szCs w:val="48"/>
        </w:rPr>
      </w:pPr>
      <w:r>
        <w:rPr>
          <w:rStyle w:val="21"/>
          <w:rFonts w:ascii="Arial" w:hAnsi="Arial" w:eastAsia="宋体" w:cs="Arial"/>
          <w:sz w:val="48"/>
          <w:szCs w:val="48"/>
        </w:rPr>
        <w:t>International Business Relationship</w:t>
      </w:r>
    </w:p>
    <w:p>
      <w:pPr>
        <w:spacing w:after="0" w:line="360" w:lineRule="auto"/>
        <w:jc w:val="center"/>
        <w:rPr>
          <w:rFonts w:eastAsia="Times New Roman" w:cs="Times New Roman"/>
          <w:b/>
          <w:bCs/>
          <w:color w:val="0E101A"/>
        </w:rPr>
      </w:pPr>
    </w:p>
    <w:p>
      <w:pPr>
        <w:ind w:firstLine="2400" w:firstLineChars="500"/>
        <w:rPr>
          <w:rFonts w:ascii="Arial" w:hAnsi="Arial" w:cs="Arial"/>
          <w:sz w:val="32"/>
          <w:szCs w:val="32"/>
        </w:rPr>
      </w:pPr>
      <w:r>
        <w:rPr>
          <w:rFonts w:hint="eastAsia" w:ascii="Arial" w:hAnsi="Arial" w:eastAsia="宋体" w:cs="Arial"/>
          <w:sz w:val="48"/>
          <w:szCs w:val="48"/>
          <w:lang w:val="en-US" w:eastAsia="zh-CN"/>
        </w:rPr>
        <w:t>Chen Yilong 2100527</w:t>
      </w:r>
    </w:p>
    <w:p>
      <w:pPr>
        <w:jc w:val="center"/>
        <w:rPr>
          <w:rFonts w:hint="eastAsia" w:ascii="Arial" w:hAnsi="Arial" w:eastAsia="宋体" w:cs="Arial"/>
          <w:sz w:val="48"/>
          <w:szCs w:val="48"/>
          <w:lang w:val="en-US" w:eastAsia="zh-CN"/>
        </w:rPr>
      </w:pPr>
    </w:p>
    <w:p>
      <w:pPr>
        <w:jc w:val="center"/>
        <w:rPr>
          <w:rFonts w:hint="eastAsia" w:ascii="Arial" w:hAnsi="Arial" w:eastAsia="宋体" w:cs="Arial"/>
          <w:sz w:val="48"/>
          <w:szCs w:val="48"/>
          <w:lang w:val="en-US" w:eastAsia="zh-CN"/>
        </w:rPr>
      </w:pPr>
    </w:p>
    <w:p>
      <w:pPr>
        <w:jc w:val="center"/>
        <w:rPr>
          <w:rFonts w:hint="eastAsia" w:ascii="Arial" w:hAnsi="Arial" w:eastAsia="宋体" w:cs="Arial"/>
          <w:sz w:val="48"/>
          <w:szCs w:val="48"/>
          <w:lang w:val="en-US" w:eastAsia="zh-CN"/>
        </w:rPr>
      </w:pPr>
    </w:p>
    <w:p>
      <w:pPr>
        <w:jc w:val="both"/>
        <w:rPr>
          <w:rFonts w:hint="eastAsia" w:ascii="Arial" w:hAnsi="Arial" w:eastAsia="宋体" w:cs="Arial"/>
          <w:sz w:val="48"/>
          <w:szCs w:val="48"/>
          <w:lang w:val="en-US" w:eastAsia="zh-CN"/>
        </w:rPr>
      </w:pPr>
    </w:p>
    <w:p>
      <w:pPr>
        <w:jc w:val="center"/>
        <w:rPr>
          <w:rFonts w:hint="eastAsia" w:ascii="Arial" w:hAnsi="Arial" w:eastAsia="宋体" w:cs="Arial"/>
          <w:sz w:val="48"/>
          <w:szCs w:val="48"/>
          <w:lang w:val="en-US" w:eastAsia="zh-CN"/>
        </w:rPr>
      </w:pPr>
      <w:r>
        <w:rPr>
          <w:rFonts w:hint="eastAsia" w:ascii="Arial" w:hAnsi="Arial" w:eastAsia="宋体" w:cs="Arial"/>
          <w:sz w:val="48"/>
          <w:szCs w:val="48"/>
          <w:lang w:val="en-US" w:eastAsia="zh-CN"/>
        </w:rPr>
        <w:t>December 17(th), 2022</w:t>
      </w:r>
    </w:p>
    <w:p>
      <w:pPr>
        <w:keepNext w:val="0"/>
        <w:keepLines w:val="0"/>
        <w:widowControl/>
        <w:suppressLineNumbers w:val="0"/>
        <w:ind w:firstLine="880" w:firstLineChars="200"/>
        <w:jc w:val="left"/>
        <w:rPr>
          <w:rFonts w:hint="default" w:ascii="Arial" w:hAnsi="Arial" w:cs="Arial"/>
          <w:sz w:val="44"/>
          <w:szCs w:val="44"/>
          <w:lang w:val="en-US" w:eastAsia="zh-CN"/>
        </w:rPr>
      </w:pPr>
      <w:r>
        <w:rPr>
          <w:rFonts w:hint="default" w:ascii="Arial" w:hAnsi="Arial" w:cs="Arial"/>
          <w:sz w:val="44"/>
          <w:szCs w:val="44"/>
          <w:lang w:val="en-US" w:eastAsia="zh-CN"/>
        </w:rPr>
        <w:t>International business communication</w:t>
      </w:r>
    </w:p>
    <w:p>
      <w:pPr>
        <w:keepNext w:val="0"/>
        <w:keepLines w:val="0"/>
        <w:widowControl/>
        <w:suppressLineNumbers w:val="0"/>
        <w:ind w:firstLine="3520" w:firstLineChars="800"/>
        <w:jc w:val="left"/>
        <w:rPr>
          <w:rFonts w:ascii="Times New Roman" w:hAnsi="Times New Roman" w:cs="Times New Roman"/>
          <w:b/>
          <w:sz w:val="24"/>
          <w:szCs w:val="24"/>
        </w:rPr>
      </w:pPr>
      <w:r>
        <w:rPr>
          <w:rFonts w:hint="eastAsia" w:ascii="Arial" w:hAnsi="Arial" w:cs="Arial"/>
          <w:sz w:val="44"/>
          <w:szCs w:val="44"/>
          <w:lang w:val="en-US" w:eastAsia="zh-CN"/>
        </w:rPr>
        <w:t>BMBM6021</w:t>
      </w:r>
    </w:p>
    <w:sdt>
      <w:sdtPr>
        <w:id w:val="543411259"/>
        <w:docPartObj>
          <w:docPartGallery w:val="Table of Contents"/>
          <w:docPartUnique/>
        </w:docPartObj>
      </w:sdtPr>
      <w:sdtEndPr>
        <w:rPr>
          <w:rFonts w:asciiTheme="minorHAnsi" w:hAnsiTheme="minorHAnsi" w:eastAsiaTheme="minorEastAsia" w:cstheme="minorBidi"/>
          <w:b/>
          <w:bCs/>
          <w:color w:val="auto"/>
          <w:sz w:val="22"/>
          <w:szCs w:val="22"/>
          <w:lang w:eastAsia="zh-TW"/>
        </w:rPr>
      </w:sdtEndPr>
      <w:sdtContent>
        <w:p>
          <w:pPr>
            <w:pStyle w:val="20"/>
          </w:pPr>
          <w:r>
            <w:rPr>
              <w:rFonts w:hint="eastAsia"/>
              <w:lang w:val="en-US" w:eastAsia="zh-CN"/>
            </w:rPr>
            <w:t xml:space="preserve">                                                            </w:t>
          </w:r>
          <w:r>
            <w:t>Contents</w:t>
          </w:r>
        </w:p>
        <w:p>
          <w:pPr>
            <w:pStyle w:val="6"/>
            <w:tabs>
              <w:tab w:val="right" w:leader="dot" w:pos="9350"/>
            </w:tabs>
          </w:pPr>
          <w:r>
            <w:fldChar w:fldCharType="begin"/>
          </w:r>
          <w:r>
            <w:instrText xml:space="preserve"> TOC \o "1-3" \h \z \u </w:instrText>
          </w:r>
          <w:r>
            <w:fldChar w:fldCharType="separate"/>
          </w:r>
          <w:r>
            <w:fldChar w:fldCharType="begin"/>
          </w:r>
          <w:r>
            <w:instrText xml:space="preserve"> HYPERLINK \l "_Toc121884101" </w:instrText>
          </w:r>
          <w:r>
            <w:fldChar w:fldCharType="separate"/>
          </w:r>
          <w:r>
            <w:rPr>
              <w:rStyle w:val="10"/>
            </w:rPr>
            <w:t>1.0-Introduction</w:t>
          </w:r>
          <w:r>
            <w:tab/>
          </w:r>
          <w:r>
            <w:fldChar w:fldCharType="begin"/>
          </w:r>
          <w:r>
            <w:instrText xml:space="preserve"> PAGEREF _Toc121884101 \h </w:instrText>
          </w:r>
          <w:r>
            <w:fldChar w:fldCharType="separate"/>
          </w:r>
          <w:r>
            <w:t>4</w:t>
          </w:r>
          <w:r>
            <w:fldChar w:fldCharType="end"/>
          </w:r>
          <w:r>
            <w:fldChar w:fldCharType="end"/>
          </w:r>
        </w:p>
        <w:p>
          <w:pPr>
            <w:pStyle w:val="6"/>
            <w:tabs>
              <w:tab w:val="right" w:leader="dot" w:pos="9350"/>
            </w:tabs>
          </w:pPr>
          <w:r>
            <w:fldChar w:fldCharType="begin"/>
          </w:r>
          <w:r>
            <w:instrText xml:space="preserve"> HYPERLINK \l "_Toc121884102" </w:instrText>
          </w:r>
          <w:r>
            <w:fldChar w:fldCharType="separate"/>
          </w:r>
          <w:r>
            <w:rPr>
              <w:rStyle w:val="10"/>
            </w:rPr>
            <w:t>2.0-Main Findings</w:t>
          </w:r>
          <w:r>
            <w:tab/>
          </w:r>
          <w:r>
            <w:fldChar w:fldCharType="begin"/>
          </w:r>
          <w:r>
            <w:instrText xml:space="preserve"> PAGEREF _Toc121884102 \h </w:instrText>
          </w:r>
          <w:r>
            <w:fldChar w:fldCharType="separate"/>
          </w:r>
          <w:r>
            <w:t>4</w:t>
          </w:r>
          <w:r>
            <w:fldChar w:fldCharType="end"/>
          </w:r>
          <w:r>
            <w:fldChar w:fldCharType="end"/>
          </w:r>
        </w:p>
        <w:p>
          <w:pPr>
            <w:pStyle w:val="7"/>
            <w:tabs>
              <w:tab w:val="right" w:leader="dot" w:pos="9350"/>
            </w:tabs>
          </w:pPr>
          <w:r>
            <w:fldChar w:fldCharType="begin"/>
          </w:r>
          <w:r>
            <w:instrText xml:space="preserve"> HYPERLINK \l "_Toc121884103" </w:instrText>
          </w:r>
          <w:r>
            <w:fldChar w:fldCharType="separate"/>
          </w:r>
          <w:r>
            <w:rPr>
              <w:rStyle w:val="10"/>
            </w:rPr>
            <w:t>2.1-International Business communication</w:t>
          </w:r>
          <w:r>
            <w:tab/>
          </w:r>
          <w:r>
            <w:fldChar w:fldCharType="begin"/>
          </w:r>
          <w:r>
            <w:instrText xml:space="preserve"> PAGEREF _Toc121884103 \h </w:instrText>
          </w:r>
          <w:r>
            <w:fldChar w:fldCharType="separate"/>
          </w:r>
          <w:r>
            <w:t>4</w:t>
          </w:r>
          <w:r>
            <w:fldChar w:fldCharType="end"/>
          </w:r>
          <w:r>
            <w:fldChar w:fldCharType="end"/>
          </w:r>
        </w:p>
        <w:p>
          <w:pPr>
            <w:pStyle w:val="7"/>
            <w:tabs>
              <w:tab w:val="right" w:leader="dot" w:pos="9350"/>
            </w:tabs>
          </w:pPr>
          <w:r>
            <w:fldChar w:fldCharType="begin"/>
          </w:r>
          <w:r>
            <w:instrText xml:space="preserve"> HYPERLINK \l "_Toc121884104" </w:instrText>
          </w:r>
          <w:r>
            <w:fldChar w:fldCharType="separate"/>
          </w:r>
          <w:r>
            <w:rPr>
              <w:rStyle w:val="10"/>
            </w:rPr>
            <w:t>2.2- Skills Requirement</w:t>
          </w:r>
          <w:r>
            <w:tab/>
          </w:r>
          <w:r>
            <w:fldChar w:fldCharType="begin"/>
          </w:r>
          <w:r>
            <w:instrText xml:space="preserve"> PAGEREF _Toc121884104 \h </w:instrText>
          </w:r>
          <w:r>
            <w:fldChar w:fldCharType="separate"/>
          </w:r>
          <w:r>
            <w:t>6</w:t>
          </w:r>
          <w:r>
            <w:fldChar w:fldCharType="end"/>
          </w:r>
          <w:r>
            <w:fldChar w:fldCharType="end"/>
          </w:r>
        </w:p>
        <w:p>
          <w:pPr>
            <w:pStyle w:val="7"/>
            <w:tabs>
              <w:tab w:val="right" w:leader="dot" w:pos="9350"/>
            </w:tabs>
          </w:pPr>
          <w:r>
            <w:fldChar w:fldCharType="begin"/>
          </w:r>
          <w:r>
            <w:instrText xml:space="preserve"> HYPERLINK \l "_Toc121884105" </w:instrText>
          </w:r>
          <w:r>
            <w:fldChar w:fldCharType="separate"/>
          </w:r>
          <w:r>
            <w:rPr>
              <w:rStyle w:val="10"/>
            </w:rPr>
            <w:t>2.3-Methods of Communication</w:t>
          </w:r>
          <w:r>
            <w:tab/>
          </w:r>
          <w:r>
            <w:fldChar w:fldCharType="begin"/>
          </w:r>
          <w:r>
            <w:instrText xml:space="preserve"> PAGEREF _Toc121884105 \h </w:instrText>
          </w:r>
          <w:r>
            <w:fldChar w:fldCharType="separate"/>
          </w:r>
          <w:r>
            <w:t>8</w:t>
          </w:r>
          <w:r>
            <w:fldChar w:fldCharType="end"/>
          </w:r>
          <w:r>
            <w:fldChar w:fldCharType="end"/>
          </w:r>
        </w:p>
        <w:p>
          <w:pPr>
            <w:pStyle w:val="5"/>
            <w:tabs>
              <w:tab w:val="right" w:leader="dot" w:pos="9350"/>
            </w:tabs>
          </w:pPr>
          <w:r>
            <w:fldChar w:fldCharType="begin"/>
          </w:r>
          <w:r>
            <w:instrText xml:space="preserve"> HYPERLINK \l "_Toc121884106" </w:instrText>
          </w:r>
          <w:r>
            <w:fldChar w:fldCharType="separate"/>
          </w:r>
          <w:r>
            <w:rPr>
              <w:rStyle w:val="10"/>
              <w:b/>
            </w:rPr>
            <w:t>2.3.1-Halls High Low Context.</w:t>
          </w:r>
          <w:r>
            <w:tab/>
          </w:r>
          <w:r>
            <w:fldChar w:fldCharType="begin"/>
          </w:r>
          <w:r>
            <w:instrText xml:space="preserve"> PAGEREF _Toc121884106 \h </w:instrText>
          </w:r>
          <w:r>
            <w:fldChar w:fldCharType="separate"/>
          </w:r>
          <w:r>
            <w:t>8</w:t>
          </w:r>
          <w:r>
            <w:fldChar w:fldCharType="end"/>
          </w:r>
          <w:r>
            <w:fldChar w:fldCharType="end"/>
          </w:r>
        </w:p>
        <w:p>
          <w:pPr>
            <w:pStyle w:val="7"/>
            <w:tabs>
              <w:tab w:val="right" w:leader="dot" w:pos="9350"/>
            </w:tabs>
          </w:pPr>
          <w:r>
            <w:fldChar w:fldCharType="begin"/>
          </w:r>
          <w:r>
            <w:instrText xml:space="preserve"> HYPERLINK \l "_Toc121884107" </w:instrText>
          </w:r>
          <w:r>
            <w:fldChar w:fldCharType="separate"/>
          </w:r>
          <w:r>
            <w:rPr>
              <w:rStyle w:val="10"/>
            </w:rPr>
            <w:t>2.4-Effective communication</w:t>
          </w:r>
          <w:r>
            <w:tab/>
          </w:r>
          <w:r>
            <w:fldChar w:fldCharType="begin"/>
          </w:r>
          <w:r>
            <w:instrText xml:space="preserve"> PAGEREF _Toc121884107 \h </w:instrText>
          </w:r>
          <w:r>
            <w:fldChar w:fldCharType="separate"/>
          </w:r>
          <w:r>
            <w:t>11</w:t>
          </w:r>
          <w:r>
            <w:fldChar w:fldCharType="end"/>
          </w:r>
          <w:r>
            <w:fldChar w:fldCharType="end"/>
          </w:r>
        </w:p>
        <w:p>
          <w:pPr>
            <w:pStyle w:val="7"/>
            <w:tabs>
              <w:tab w:val="right" w:leader="dot" w:pos="9350"/>
            </w:tabs>
          </w:pPr>
          <w:r>
            <w:fldChar w:fldCharType="begin"/>
          </w:r>
          <w:r>
            <w:instrText xml:space="preserve"> HYPERLINK \l "_Toc121884108" </w:instrText>
          </w:r>
          <w:r>
            <w:fldChar w:fldCharType="separate"/>
          </w:r>
          <w:r>
            <w:rPr>
              <w:rStyle w:val="10"/>
            </w:rPr>
            <w:t>2.5 – International Culture</w:t>
          </w:r>
          <w:r>
            <w:tab/>
          </w:r>
          <w:r>
            <w:fldChar w:fldCharType="begin"/>
          </w:r>
          <w:r>
            <w:instrText xml:space="preserve"> PAGEREF _Toc121884108 \h </w:instrText>
          </w:r>
          <w:r>
            <w:fldChar w:fldCharType="separate"/>
          </w:r>
          <w:r>
            <w:t>12</w:t>
          </w:r>
          <w:r>
            <w:fldChar w:fldCharType="end"/>
          </w:r>
          <w:r>
            <w:fldChar w:fldCharType="end"/>
          </w:r>
        </w:p>
        <w:p>
          <w:pPr>
            <w:pStyle w:val="5"/>
            <w:tabs>
              <w:tab w:val="right" w:leader="dot" w:pos="9350"/>
            </w:tabs>
          </w:pPr>
          <w:r>
            <w:fldChar w:fldCharType="begin"/>
          </w:r>
          <w:r>
            <w:instrText xml:space="preserve"> HYPERLINK \l "_Toc121884109" </w:instrText>
          </w:r>
          <w:r>
            <w:fldChar w:fldCharType="separate"/>
          </w:r>
          <w:r>
            <w:rPr>
              <w:rStyle w:val="10"/>
              <w:b/>
            </w:rPr>
            <w:t>2.5.1 - Trompenaar's seven dimensions to culture</w:t>
          </w:r>
          <w:r>
            <w:tab/>
          </w:r>
          <w:r>
            <w:fldChar w:fldCharType="begin"/>
          </w:r>
          <w:r>
            <w:instrText xml:space="preserve"> PAGEREF _Toc121884109 \h </w:instrText>
          </w:r>
          <w:r>
            <w:fldChar w:fldCharType="separate"/>
          </w:r>
          <w:r>
            <w:t>12</w:t>
          </w:r>
          <w:r>
            <w:fldChar w:fldCharType="end"/>
          </w:r>
          <w:r>
            <w:fldChar w:fldCharType="end"/>
          </w:r>
        </w:p>
        <w:p>
          <w:pPr>
            <w:pStyle w:val="7"/>
            <w:tabs>
              <w:tab w:val="right" w:leader="dot" w:pos="9350"/>
            </w:tabs>
          </w:pPr>
          <w:r>
            <w:fldChar w:fldCharType="begin"/>
          </w:r>
          <w:r>
            <w:instrText xml:space="preserve"> HYPERLINK \l "_Toc121884110" </w:instrText>
          </w:r>
          <w:r>
            <w:fldChar w:fldCharType="separate"/>
          </w:r>
          <w:r>
            <w:rPr>
              <w:rStyle w:val="10"/>
            </w:rPr>
            <w:t>2.6-Importance of building relationships</w:t>
          </w:r>
          <w:r>
            <w:tab/>
          </w:r>
          <w:r>
            <w:fldChar w:fldCharType="begin"/>
          </w:r>
          <w:r>
            <w:instrText xml:space="preserve"> PAGEREF _Toc121884110 \h </w:instrText>
          </w:r>
          <w:r>
            <w:fldChar w:fldCharType="separate"/>
          </w:r>
          <w:r>
            <w:t>13</w:t>
          </w:r>
          <w:r>
            <w:fldChar w:fldCharType="end"/>
          </w:r>
          <w:r>
            <w:fldChar w:fldCharType="end"/>
          </w:r>
        </w:p>
        <w:p>
          <w:pPr>
            <w:pStyle w:val="7"/>
            <w:tabs>
              <w:tab w:val="right" w:leader="dot" w:pos="9350"/>
            </w:tabs>
          </w:pPr>
          <w:r>
            <w:fldChar w:fldCharType="begin"/>
          </w:r>
          <w:r>
            <w:instrText xml:space="preserve"> HYPERLINK \l "_Toc121884111" </w:instrText>
          </w:r>
          <w:r>
            <w:fldChar w:fldCharType="separate"/>
          </w:r>
          <w:r>
            <w:rPr>
              <w:rStyle w:val="10"/>
            </w:rPr>
            <w:t>2.7 – How to build Trust</w:t>
          </w:r>
          <w:r>
            <w:tab/>
          </w:r>
          <w:r>
            <w:fldChar w:fldCharType="begin"/>
          </w:r>
          <w:r>
            <w:instrText xml:space="preserve"> PAGEREF _Toc121884111 \h </w:instrText>
          </w:r>
          <w:r>
            <w:fldChar w:fldCharType="separate"/>
          </w:r>
          <w:r>
            <w:t>14</w:t>
          </w:r>
          <w:r>
            <w:fldChar w:fldCharType="end"/>
          </w:r>
          <w:r>
            <w:fldChar w:fldCharType="end"/>
          </w:r>
        </w:p>
        <w:p>
          <w:pPr>
            <w:pStyle w:val="7"/>
            <w:tabs>
              <w:tab w:val="right" w:leader="dot" w:pos="9350"/>
            </w:tabs>
          </w:pPr>
          <w:r>
            <w:fldChar w:fldCharType="begin"/>
          </w:r>
          <w:r>
            <w:instrText xml:space="preserve"> HYPERLINK \l "_Toc121884112" </w:instrText>
          </w:r>
          <w:r>
            <w:fldChar w:fldCharType="separate"/>
          </w:r>
          <w:r>
            <w:rPr>
              <w:rStyle w:val="10"/>
            </w:rPr>
            <w:t>2.8 – Failed Relationships</w:t>
          </w:r>
          <w:r>
            <w:tab/>
          </w:r>
          <w:r>
            <w:fldChar w:fldCharType="begin"/>
          </w:r>
          <w:r>
            <w:instrText xml:space="preserve"> PAGEREF _Toc121884112 \h </w:instrText>
          </w:r>
          <w:r>
            <w:fldChar w:fldCharType="separate"/>
          </w:r>
          <w:r>
            <w:t>15</w:t>
          </w:r>
          <w:r>
            <w:fldChar w:fldCharType="end"/>
          </w:r>
          <w:r>
            <w:fldChar w:fldCharType="end"/>
          </w:r>
        </w:p>
        <w:p>
          <w:pPr>
            <w:pStyle w:val="6"/>
            <w:tabs>
              <w:tab w:val="right" w:leader="dot" w:pos="9350"/>
            </w:tabs>
          </w:pPr>
          <w:r>
            <w:fldChar w:fldCharType="begin"/>
          </w:r>
          <w:r>
            <w:instrText xml:space="preserve"> HYPERLINK \l "_Toc121884113" </w:instrText>
          </w:r>
          <w:r>
            <w:fldChar w:fldCharType="separate"/>
          </w:r>
          <w:r>
            <w:rPr>
              <w:rStyle w:val="10"/>
            </w:rPr>
            <w:t>3.0-Conclusion</w:t>
          </w:r>
          <w:r>
            <w:tab/>
          </w:r>
          <w:r>
            <w:fldChar w:fldCharType="begin"/>
          </w:r>
          <w:r>
            <w:instrText xml:space="preserve"> PAGEREF _Toc121884113 \h </w:instrText>
          </w:r>
          <w:r>
            <w:fldChar w:fldCharType="separate"/>
          </w:r>
          <w:r>
            <w:t>15</w:t>
          </w:r>
          <w:r>
            <w:fldChar w:fldCharType="end"/>
          </w:r>
          <w:r>
            <w:fldChar w:fldCharType="end"/>
          </w:r>
        </w:p>
        <w:p>
          <w:pPr>
            <w:pStyle w:val="6"/>
            <w:tabs>
              <w:tab w:val="right" w:leader="dot" w:pos="9350"/>
            </w:tabs>
          </w:pPr>
          <w:r>
            <w:fldChar w:fldCharType="begin"/>
          </w:r>
          <w:r>
            <w:instrText xml:space="preserve"> HYPERLINK \l "_Toc121884114" </w:instrText>
          </w:r>
          <w:r>
            <w:fldChar w:fldCharType="separate"/>
          </w:r>
          <w:r>
            <w:rPr>
              <w:rStyle w:val="10"/>
            </w:rPr>
            <w:t>4.0-Recommendations</w:t>
          </w:r>
          <w:r>
            <w:tab/>
          </w:r>
          <w:r>
            <w:fldChar w:fldCharType="begin"/>
          </w:r>
          <w:r>
            <w:instrText xml:space="preserve"> PAGEREF _Toc121884114 \h </w:instrText>
          </w:r>
          <w:r>
            <w:fldChar w:fldCharType="separate"/>
          </w:r>
          <w:r>
            <w:t>16</w:t>
          </w:r>
          <w:r>
            <w:fldChar w:fldCharType="end"/>
          </w:r>
          <w:r>
            <w:fldChar w:fldCharType="end"/>
          </w:r>
        </w:p>
        <w:p>
          <w:pPr>
            <w:pStyle w:val="6"/>
            <w:tabs>
              <w:tab w:val="right" w:leader="dot" w:pos="9350"/>
            </w:tabs>
          </w:pPr>
          <w:r>
            <w:fldChar w:fldCharType="begin"/>
          </w:r>
          <w:r>
            <w:instrText xml:space="preserve"> HYPERLINK \l "_Toc121884115" </w:instrText>
          </w:r>
          <w:r>
            <w:fldChar w:fldCharType="separate"/>
          </w:r>
          <w:r>
            <w:rPr>
              <w:rStyle w:val="10"/>
            </w:rPr>
            <w:t>5.0-References</w:t>
          </w:r>
          <w:r>
            <w:tab/>
          </w:r>
          <w:r>
            <w:fldChar w:fldCharType="begin"/>
          </w:r>
          <w:r>
            <w:instrText xml:space="preserve"> PAGEREF _Toc121884115 \h </w:instrText>
          </w:r>
          <w:r>
            <w:fldChar w:fldCharType="separate"/>
          </w:r>
          <w:r>
            <w:t>17</w:t>
          </w:r>
          <w:r>
            <w:fldChar w:fldCharType="end"/>
          </w:r>
          <w:r>
            <w:fldChar w:fldCharType="end"/>
          </w:r>
        </w:p>
        <w:p>
          <w:pPr>
            <w:spacing w:line="480" w:lineRule="auto"/>
            <w:ind w:left="90"/>
            <w:rPr>
              <w:rFonts w:asciiTheme="minorHAnsi" w:hAnsiTheme="minorHAnsi" w:eastAsiaTheme="minorEastAsia" w:cstheme="minorBidi"/>
              <w:b/>
              <w:bCs/>
              <w:color w:val="auto"/>
              <w:sz w:val="22"/>
              <w:szCs w:val="22"/>
              <w:lang w:eastAsia="zh-TW"/>
            </w:rPr>
          </w:pPr>
          <w:r>
            <w:rPr>
              <w:b/>
              <w:bCs/>
            </w:rPr>
            <w:fldChar w:fldCharType="end"/>
          </w:r>
        </w:p>
      </w:sdtContent>
    </w:sdt>
    <w:p>
      <w:pPr>
        <w:spacing w:line="480" w:lineRule="auto"/>
        <w:ind w:left="90"/>
        <w:rPr>
          <w:rFonts w:ascii="Times New Roman" w:hAnsi="Times New Roman" w:cs="Times New Roman"/>
          <w:b/>
          <w:sz w:val="24"/>
          <w:szCs w:val="24"/>
        </w:rPr>
      </w:pPr>
    </w:p>
    <w:p>
      <w:pPr>
        <w:spacing w:line="480" w:lineRule="auto"/>
        <w:ind w:left="90"/>
        <w:rPr>
          <w:rFonts w:hint="eastAsia" w:ascii="Times New Roman" w:hAnsi="Times New Roman" w:cs="Times New Roman"/>
          <w:b/>
          <w:sz w:val="24"/>
          <w:szCs w:val="24"/>
          <w:lang w:val="en-US" w:eastAsia="zh-CN"/>
        </w:rPr>
      </w:pPr>
    </w:p>
    <w:p>
      <w:pPr>
        <w:spacing w:line="480" w:lineRule="auto"/>
        <w:ind w:left="90"/>
        <w:rPr>
          <w:rFonts w:hint="eastAsia" w:ascii="Times New Roman" w:hAnsi="Times New Roman" w:cs="Times New Roman"/>
          <w:b/>
          <w:sz w:val="24"/>
          <w:szCs w:val="24"/>
          <w:lang w:val="en-US" w:eastAsia="zh-CN"/>
        </w:rPr>
      </w:pPr>
    </w:p>
    <w:p>
      <w:pPr>
        <w:spacing w:line="480" w:lineRule="auto"/>
        <w:ind w:left="90"/>
        <w:rPr>
          <w:rFonts w:hint="eastAsia" w:ascii="Times New Roman" w:hAnsi="Times New Roman" w:cs="Times New Roman"/>
          <w:b/>
          <w:sz w:val="24"/>
          <w:szCs w:val="24"/>
          <w:lang w:val="en-US" w:eastAsia="zh-CN"/>
        </w:rPr>
      </w:pPr>
    </w:p>
    <w:p>
      <w:pPr>
        <w:spacing w:line="480" w:lineRule="auto"/>
        <w:ind w:left="90"/>
        <w:rPr>
          <w:rFonts w:hint="eastAsia" w:ascii="Times New Roman" w:hAnsi="Times New Roman" w:cs="Times New Roman"/>
          <w:b/>
          <w:sz w:val="24"/>
          <w:szCs w:val="24"/>
          <w:lang w:val="en-US" w:eastAsia="zh-CN"/>
        </w:rPr>
      </w:pPr>
    </w:p>
    <w:p>
      <w:pPr>
        <w:spacing w:line="480" w:lineRule="auto"/>
        <w:ind w:left="90"/>
        <w:rPr>
          <w:rFonts w:hint="eastAsia" w:ascii="Times New Roman" w:hAnsi="Times New Roman" w:cs="Times New Roman"/>
          <w:b/>
          <w:sz w:val="24"/>
          <w:szCs w:val="24"/>
          <w:lang w:val="en-US" w:eastAsia="zh-CN"/>
        </w:rPr>
      </w:pPr>
    </w:p>
    <w:p>
      <w:pPr>
        <w:spacing w:line="480" w:lineRule="auto"/>
        <w:ind w:left="90"/>
        <w:rPr>
          <w:rFonts w:hint="eastAsia" w:ascii="Times New Roman" w:hAnsi="Times New Roman" w:cs="Times New Roman"/>
          <w:b/>
          <w:sz w:val="24"/>
          <w:szCs w:val="24"/>
          <w:lang w:val="en-US" w:eastAsia="zh-CN"/>
        </w:rPr>
      </w:pPr>
    </w:p>
    <w:p>
      <w:pPr>
        <w:spacing w:line="480" w:lineRule="auto"/>
        <w:ind w:left="90"/>
        <w:rPr>
          <w:rFonts w:hint="eastAsia" w:ascii="Times New Roman" w:hAnsi="Times New Roman" w:cs="Times New Roman"/>
          <w:b/>
          <w:sz w:val="24"/>
          <w:szCs w:val="24"/>
          <w:lang w:val="en-US" w:eastAsia="zh-CN"/>
        </w:rPr>
      </w:pPr>
    </w:p>
    <w:p>
      <w:pPr>
        <w:spacing w:line="480" w:lineRule="auto"/>
        <w:ind w:left="90"/>
        <w:rPr>
          <w:rFonts w:hint="eastAsia" w:ascii="Times New Roman" w:hAnsi="Times New Roman" w:cs="Times New Roman"/>
          <w:b/>
          <w:sz w:val="24"/>
          <w:szCs w:val="24"/>
          <w:lang w:val="en-US" w:eastAsia="zh-CN"/>
        </w:rPr>
      </w:pPr>
    </w:p>
    <w:p>
      <w:pPr>
        <w:spacing w:line="480" w:lineRule="auto"/>
        <w:ind w:left="90"/>
        <w:rPr>
          <w:rFonts w:ascii="Times New Roman" w:hAnsi="Times New Roman" w:cs="Times New Roman"/>
          <w:b/>
          <w:sz w:val="24"/>
          <w:szCs w:val="24"/>
        </w:rPr>
      </w:pPr>
      <w:r>
        <w:rPr>
          <w:rFonts w:ascii="Times New Roman" w:hAnsi="Times New Roman" w:cs="Times New Roman"/>
          <w:b/>
          <w:sz w:val="24"/>
          <w:szCs w:val="24"/>
        </w:rPr>
        <w:t>Executive Summary</w:t>
      </w:r>
    </w:p>
    <w:p>
      <w:pPr>
        <w:spacing w:line="480" w:lineRule="auto"/>
        <w:ind w:left="90"/>
        <w:rPr>
          <w:rFonts w:ascii="Times New Roman" w:hAnsi="Times New Roman" w:cs="Times New Roman"/>
          <w:sz w:val="24"/>
          <w:szCs w:val="24"/>
        </w:rPr>
      </w:pPr>
      <w:r>
        <w:rPr>
          <w:rFonts w:ascii="Times New Roman" w:hAnsi="Times New Roman" w:cs="Times New Roman"/>
          <w:sz w:val="24"/>
          <w:szCs w:val="24"/>
        </w:rPr>
        <w:t>An international business relationship is increasingly becoming significant in the current globalized economy. Technology has made the world look like a small village. Companies have realized that they must establish and maintain a solid relationship with their stakeholders and other global partners to remain competitive. This has introduced a variety of strategies, such as introducing new services and products, implementing technology to facilitate communication and quality products, and finding innovative means of collaboration. Companies will only succeed in global markets by creating and maintaining relationships with international partners and other stakeholders. To make this relationship, they need to understand the culture, language and customs of the countries and regions where the business is conducting its operations. In our case, we will discuss Debenhams' fashion industry in the UK, which is planning to penetrate a new market in Asia. This paper will discuss the international business relationship, its importance and other ways Debenhams will survive in the Asian market.</w:t>
      </w:r>
    </w:p>
    <w:p>
      <w:pPr>
        <w:spacing w:line="480" w:lineRule="auto"/>
        <w:ind w:left="90"/>
        <w:rPr>
          <w:rFonts w:ascii="Times New Roman" w:hAnsi="Times New Roman" w:cs="Times New Roman"/>
          <w:sz w:val="24"/>
          <w:szCs w:val="24"/>
        </w:rPr>
      </w:pPr>
    </w:p>
    <w:p>
      <w:pPr>
        <w:spacing w:line="480" w:lineRule="auto"/>
        <w:ind w:left="90"/>
        <w:rPr>
          <w:rFonts w:ascii="Times New Roman" w:hAnsi="Times New Roman" w:cs="Times New Roman"/>
          <w:b/>
          <w:sz w:val="24"/>
          <w:szCs w:val="24"/>
        </w:rPr>
      </w:pPr>
    </w:p>
    <w:p>
      <w:pPr>
        <w:spacing w:line="480" w:lineRule="auto"/>
        <w:ind w:left="90"/>
        <w:rPr>
          <w:rFonts w:ascii="Times New Roman" w:hAnsi="Times New Roman" w:cs="Times New Roman"/>
          <w:b/>
          <w:sz w:val="24"/>
          <w:szCs w:val="24"/>
        </w:rPr>
      </w:pPr>
    </w:p>
    <w:p>
      <w:pPr>
        <w:spacing w:line="480" w:lineRule="auto"/>
        <w:ind w:left="90"/>
        <w:rPr>
          <w:rFonts w:ascii="Times New Roman" w:hAnsi="Times New Roman" w:cs="Times New Roman"/>
          <w:b/>
          <w:sz w:val="24"/>
          <w:szCs w:val="24"/>
        </w:rPr>
      </w:pPr>
    </w:p>
    <w:p>
      <w:pPr>
        <w:spacing w:line="480" w:lineRule="auto"/>
        <w:ind w:left="90"/>
        <w:rPr>
          <w:rFonts w:ascii="Times New Roman" w:hAnsi="Times New Roman" w:cs="Times New Roman"/>
          <w:b/>
          <w:sz w:val="24"/>
          <w:szCs w:val="24"/>
        </w:rPr>
      </w:pPr>
    </w:p>
    <w:p>
      <w:pPr>
        <w:spacing w:line="480" w:lineRule="auto"/>
        <w:ind w:left="90"/>
        <w:rPr>
          <w:rFonts w:ascii="Times New Roman" w:hAnsi="Times New Roman" w:cs="Times New Roman"/>
          <w:b/>
          <w:sz w:val="24"/>
          <w:szCs w:val="24"/>
        </w:rPr>
      </w:pPr>
    </w:p>
    <w:p/>
    <w:p>
      <w:pPr>
        <w:spacing w:line="480" w:lineRule="auto"/>
        <w:rPr>
          <w:rFonts w:ascii="Times New Roman" w:hAnsi="Times New Roman" w:cs="Times New Roman"/>
          <w:b/>
          <w:sz w:val="24"/>
          <w:szCs w:val="24"/>
        </w:rPr>
      </w:pPr>
    </w:p>
    <w:p>
      <w:pPr>
        <w:pStyle w:val="2"/>
      </w:pPr>
      <w:bookmarkStart w:id="0" w:name="_Toc121884101"/>
      <w:r>
        <w:t>1.0-Introduction</w:t>
      </w:r>
      <w:bookmarkEnd w:id="0"/>
    </w:p>
    <w:p>
      <w:pPr>
        <w:pStyle w:val="11"/>
        <w:spacing w:line="480" w:lineRule="auto"/>
        <w:ind w:left="450"/>
        <w:rPr>
          <w:rFonts w:ascii="Times New Roman" w:hAnsi="Times New Roman" w:cs="Times New Roman"/>
          <w:b/>
          <w:sz w:val="24"/>
          <w:szCs w:val="24"/>
        </w:rPr>
      </w:pPr>
    </w:p>
    <w:p>
      <w:pPr>
        <w:spacing w:line="480" w:lineRule="auto"/>
        <w:rPr>
          <w:rFonts w:ascii="Times New Roman" w:hAnsi="Times New Roman" w:cs="Times New Roman"/>
          <w:sz w:val="24"/>
          <w:szCs w:val="24"/>
        </w:rPr>
      </w:pPr>
      <w:r>
        <w:rPr>
          <w:rFonts w:ascii="Times New Roman" w:hAnsi="Times New Roman" w:cs="Times New Roman"/>
          <w:sz w:val="24"/>
          <w:szCs w:val="24"/>
        </w:rPr>
        <w:t>Debenhams Plc is a multinational retailing company located in Britain whose primary function is selling end products in departmental stores. William Clarke founded the departmental stores in the year 1778. The first Debenhams store opened by Clarke was located in London. London is the headquarter of Debenhams.</w:t>
      </w:r>
    </w:p>
    <w:p>
      <w:pPr>
        <w:spacing w:line="480" w:lineRule="auto"/>
        <w:rPr>
          <w:rFonts w:ascii="Times New Roman" w:hAnsi="Times New Roman" w:cs="Times New Roman"/>
          <w:sz w:val="24"/>
          <w:szCs w:val="24"/>
        </w:rPr>
      </w:pPr>
      <w:r>
        <w:rPr>
          <w:rFonts w:ascii="Times New Roman" w:hAnsi="Times New Roman" w:cs="Times New Roman"/>
          <w:sz w:val="24"/>
          <w:szCs w:val="24"/>
        </w:rPr>
        <w:t>Debenhams Plc, also known as Britain's favourite department store, has been leading in the UK fashion retail for over two hundred years. This retail runs approximately a hundred departmental stores on the high streets in the UK and Ireland. However, recently the Company has begun diversifying by expanding its business towards the Middle East and East Asia. In this report, under the main findings, we will discuss international communication, skills and requirements, and methods of communication, whereby we will discuss Halls's High Low context as a theory. In addition, we will also discuss effective means of communication and international culture, whereby we will discuss the theory of Trompenaars' 7 dimensions of culture. We will also discuss the importance of building international relationships with fashion industries, how they can make their TrustTrust and how to handle failed relationships, after which a conclusion will be given.</w:t>
      </w:r>
    </w:p>
    <w:p>
      <w:pPr>
        <w:pStyle w:val="2"/>
      </w:pPr>
      <w:bookmarkStart w:id="1" w:name="_Toc121884102"/>
      <w:r>
        <w:t>2.0-Main Findings</w:t>
      </w:r>
      <w:bookmarkEnd w:id="1"/>
    </w:p>
    <w:p>
      <w:pPr>
        <w:pStyle w:val="11"/>
        <w:spacing w:line="480" w:lineRule="auto"/>
        <w:ind w:left="360"/>
        <w:rPr>
          <w:rFonts w:ascii="Times New Roman" w:hAnsi="Times New Roman" w:cs="Times New Roman"/>
          <w:sz w:val="24"/>
          <w:szCs w:val="24"/>
        </w:rPr>
      </w:pPr>
      <w:r>
        <w:rPr>
          <w:rFonts w:ascii="Times New Roman" w:hAnsi="Times New Roman" w:cs="Times New Roman"/>
          <w:sz w:val="24"/>
          <w:szCs w:val="24"/>
        </w:rPr>
        <w:t>This section will discuss international business communication, its importance to the fashion industry, the failures experienced, and how they can be managed.</w:t>
      </w:r>
    </w:p>
    <w:p>
      <w:pPr>
        <w:pStyle w:val="3"/>
      </w:pPr>
      <w:bookmarkStart w:id="2" w:name="_Toc121884103"/>
      <w:r>
        <w:t>2.1-International Business communication</w:t>
      </w:r>
      <w:bookmarkEnd w:id="2"/>
    </w:p>
    <w:p>
      <w:pPr>
        <w:spacing w:line="480" w:lineRule="auto"/>
        <w:rPr>
          <w:rFonts w:ascii="Times New Roman" w:hAnsi="Times New Roman" w:cs="Times New Roman"/>
          <w:sz w:val="24"/>
          <w:szCs w:val="24"/>
        </w:rPr>
      </w:pPr>
      <w:r>
        <w:rPr>
          <w:rFonts w:ascii="Times New Roman" w:hAnsi="Times New Roman" w:cs="Times New Roman"/>
          <w:sz w:val="24"/>
          <w:szCs w:val="24"/>
        </w:rPr>
        <w:t>Communication is fundamental for most business operations conducted globally. The Company's creation, Management, leadership and dissolvent companies occur through communication. This is because communication plays a significant role in exchanging knowledge, developing and maintaining international relationships, negotiating deals and helping global companies establish partnerships. “A successful communication has been recognized as a very critical element in the operations of multinational companies at different levels namely, interpersonal level,ognaizational level and at group level"(Barner-RasmussenEhrnrooth, Koveshnikov,&amp;Makela,2014). International business research has created a link to effective communication to adjustment of expatriates, effective global leadership, multicultural creativity and outcomes of teams. In addition, it has also led to company-level activities such as the decision on which entry mode they will use to enter foreign markets, how the joint venture will perform in foreign countries and companies will gain knowledge on global corporation flows.</w:t>
      </w:r>
    </w:p>
    <w:p>
      <w:pPr>
        <w:spacing w:line="480" w:lineRule="auto"/>
        <w:rPr>
          <w:rFonts w:ascii="Times New Roman" w:hAnsi="Times New Roman" w:cs="Times New Roman"/>
          <w:sz w:val="24"/>
          <w:szCs w:val="24"/>
        </w:rPr>
      </w:pPr>
      <w:r>
        <w:rPr>
          <w:rFonts w:ascii="Times New Roman" w:hAnsi="Times New Roman" w:cs="Times New Roman"/>
          <w:sz w:val="24"/>
          <w:szCs w:val="24"/>
        </w:rPr>
        <w:t>Companies require increased attention and a better understanding of communication processes and organizations' implications to improve the level and type of business globalization, mobility globally, virtual teams and new communication technologies globally. Many domains are related, such as (Tiettze&amp;Piekkari,2020)or transfer of knowledge(Gaur et al.,2019), established and systemized the body of language, which had limited attention and had been given to the significance of interpersonal communication which is fundamental to our world today of any business operations. Debenhams is a fashion industry in the UK that wants to diversify and penetrate the new market of Asia. International business communication makes it easier for foreign companies such as Debenhams to penetrate the market and launch their products in the new market; however, for the Company to satisfy their consumers, they must have sufficient knowledge of International business communication because it will aid the Company to survive and make sales.</w:t>
      </w:r>
    </w:p>
    <w:p>
      <w:pPr>
        <w:pStyle w:val="3"/>
      </w:pPr>
      <w:bookmarkStart w:id="3" w:name="_Toc121884104"/>
      <w:r>
        <w:t>2.2- Skills Requirement</w:t>
      </w:r>
      <w:bookmarkEnd w:id="3"/>
    </w:p>
    <w:p>
      <w:pPr>
        <w:spacing w:line="480" w:lineRule="auto"/>
        <w:rPr>
          <w:rFonts w:ascii="Times New Roman" w:hAnsi="Times New Roman" w:cs="Times New Roman"/>
          <w:sz w:val="24"/>
          <w:szCs w:val="24"/>
        </w:rPr>
      </w:pPr>
      <w:r>
        <w:rPr>
          <w:rFonts w:ascii="Times New Roman" w:hAnsi="Times New Roman" w:cs="Times New Roman"/>
          <w:sz w:val="24"/>
          <w:szCs w:val="24"/>
        </w:rPr>
        <w:t>Individuals will communicate effectively when they have specific tools that help them communicate with other businesses and reach an understanding. Businesses with practical communication skills will find it easy to penetrate new markets, which are perceived to have challenges when entering them. The following skills are required;</w:t>
      </w:r>
    </w:p>
    <w:p>
      <w:pPr>
        <w:spacing w:line="480" w:lineRule="auto"/>
        <w:rPr>
          <w:rFonts w:ascii="Times New Roman" w:hAnsi="Times New Roman" w:cs="Times New Roman"/>
          <w:b/>
          <w:sz w:val="24"/>
          <w:szCs w:val="24"/>
        </w:rPr>
      </w:pPr>
      <w:r>
        <w:rPr>
          <w:rFonts w:ascii="Times New Roman" w:hAnsi="Times New Roman" w:cs="Times New Roman"/>
          <w:b/>
          <w:sz w:val="24"/>
          <w:szCs w:val="24"/>
        </w:rPr>
        <w:t>Language skill</w:t>
      </w:r>
    </w:p>
    <w:p>
      <w:pPr>
        <w:spacing w:line="480" w:lineRule="auto"/>
        <w:rPr>
          <w:rFonts w:ascii="Times New Roman" w:hAnsi="Times New Roman" w:cs="Times New Roman"/>
          <w:sz w:val="24"/>
          <w:szCs w:val="24"/>
        </w:rPr>
      </w:pPr>
      <w:r>
        <w:rPr>
          <w:rFonts w:ascii="Times New Roman" w:hAnsi="Times New Roman" w:cs="Times New Roman"/>
          <w:sz w:val="24"/>
          <w:szCs w:val="24"/>
        </w:rPr>
        <w:t>The primary source of conflict in companies is poor communication. Debenhams Plc is a British company penetrating an Asian company; therefore language barrier will be one of the challenges they will face when communicating. Language plays a very significant role in sharing of both information and knowledge. Trust and friendly relationship among embers is created by language. Communication in a business is essential because it is vital for the Company's growth and prospects. An existing gap in the communication process lowers the Company's confidence and growth (Archana, 2012). Better language skills make the adjustment process easier because language has a powerful impact on the adjustment of expatriates (Puck et al., 2008). The main issues in a multicultural society are languages and cultural differences between which context cultures and low-context cultures. , use of interpreters and non-verbal communication.</w:t>
      </w:r>
    </w:p>
    <w:p>
      <w:pPr>
        <w:spacing w:line="480" w:lineRule="auto"/>
        <w:rPr>
          <w:rFonts w:ascii="Times New Roman" w:hAnsi="Times New Roman" w:cs="Times New Roman"/>
          <w:b/>
          <w:sz w:val="24"/>
          <w:szCs w:val="24"/>
        </w:rPr>
      </w:pPr>
      <w:r>
        <w:rPr>
          <w:rFonts w:ascii="Times New Roman" w:hAnsi="Times New Roman" w:cs="Times New Roman"/>
          <w:b/>
          <w:sz w:val="24"/>
          <w:szCs w:val="24"/>
        </w:rPr>
        <w:t>Effective cross-culture communication</w:t>
      </w:r>
    </w:p>
    <w:p>
      <w:pPr>
        <w:spacing w:line="480" w:lineRule="auto"/>
        <w:rPr>
          <w:rFonts w:ascii="Times New Roman" w:hAnsi="Times New Roman" w:cs="Times New Roman"/>
          <w:sz w:val="24"/>
          <w:szCs w:val="24"/>
        </w:rPr>
      </w:pPr>
      <w:r>
        <w:rPr>
          <w:rFonts w:ascii="Times New Roman" w:hAnsi="Times New Roman" w:cs="Times New Roman"/>
          <w:sz w:val="24"/>
          <w:szCs w:val="24"/>
        </w:rPr>
        <w:t>Successful Management performing its activities internationally needs effective cross-cultural communication. Debenhams, which is penetrating a new market, should ensure that its Management has the skill of effective cross-cultural communication because this will help the Company's Management in conducting activities such as leadership, motivation decision making, smooth exchange of ideas and information and problem-solving, all of the above will be conducted depending on the managers and employees ability from Debenhams communicating successfully with their Asian stakeholders such as suppliers, clients and colleagues(Astwathappa,2008).</w:t>
      </w:r>
    </w:p>
    <w:p>
      <w:pPr>
        <w:spacing w:line="480" w:lineRule="auto"/>
        <w:rPr>
          <w:rFonts w:ascii="Times New Roman" w:hAnsi="Times New Roman" w:cs="Times New Roman"/>
          <w:b/>
          <w:sz w:val="24"/>
          <w:szCs w:val="24"/>
        </w:rPr>
      </w:pPr>
      <w:r>
        <w:rPr>
          <w:rFonts w:ascii="Times New Roman" w:hAnsi="Times New Roman" w:cs="Times New Roman"/>
          <w:b/>
          <w:sz w:val="24"/>
          <w:szCs w:val="24"/>
        </w:rPr>
        <w:t>Cultural sensitivity</w:t>
      </w:r>
    </w:p>
    <w:p>
      <w:pPr>
        <w:spacing w:line="480" w:lineRule="auto"/>
        <w:rPr>
          <w:rFonts w:ascii="Times New Roman" w:hAnsi="Times New Roman" w:cs="Times New Roman"/>
          <w:sz w:val="24"/>
          <w:szCs w:val="24"/>
        </w:rPr>
      </w:pPr>
      <w:r>
        <w:rPr>
          <w:rFonts w:ascii="Times New Roman" w:hAnsi="Times New Roman" w:cs="Times New Roman"/>
          <w:sz w:val="24"/>
          <w:szCs w:val="24"/>
        </w:rPr>
        <w:t>According to Harris and Moran,2008, the corporate culture of world firms affects how companies cope with competition and environmental changes such as government policies, especially tax rates, the culture of the market, the available technology that gives quality output and the economy. Therefore to achieve a competitive advantage in such a market, the manager of Debenhams should be culturally sensitive, the manager should have the ability to understand the implications of cultural synergy, and managers should be prepared for the new Asian culture. To avoid conflict, managers are engaged in the group to think because of their knowledge and awareness of cultural differences (Valerie, 2007).</w:t>
      </w:r>
    </w:p>
    <w:p>
      <w:pPr>
        <w:spacing w:line="480" w:lineRule="auto"/>
        <w:rPr>
          <w:rFonts w:ascii="Times New Roman" w:hAnsi="Times New Roman" w:cs="Times New Roman"/>
          <w:b/>
          <w:sz w:val="24"/>
          <w:szCs w:val="24"/>
        </w:rPr>
      </w:pPr>
      <w:r>
        <w:rPr>
          <w:rFonts w:ascii="Times New Roman" w:hAnsi="Times New Roman" w:cs="Times New Roman"/>
          <w:b/>
          <w:sz w:val="24"/>
          <w:szCs w:val="24"/>
        </w:rPr>
        <w:t>Adaptation</w:t>
      </w:r>
    </w:p>
    <w:p>
      <w:pPr>
        <w:spacing w:line="480" w:lineRule="auto"/>
        <w:rPr>
          <w:rFonts w:ascii="Times New Roman" w:hAnsi="Times New Roman" w:cs="Times New Roman"/>
          <w:sz w:val="24"/>
          <w:szCs w:val="24"/>
        </w:rPr>
      </w:pPr>
      <w:r>
        <w:rPr>
          <w:rFonts w:ascii="Times New Roman" w:hAnsi="Times New Roman" w:cs="Times New Roman"/>
          <w:sz w:val="24"/>
          <w:szCs w:val="24"/>
        </w:rPr>
        <w:t>Adaptation is the most critical and significant component for the success of a corporate. Managers of Debenhams will always need help to adapt to a new environment with a different culture from theirs. Good managers with such a skill will treat other employees as individuals, not as a group. They consciously avoid stereotyping their employees. However, to begin with, a cultural profile is an excellent point because it aids managers in developing tentative expectations from the Asian cultural context as a backdrop to Management in the Asian international setting (Deresky, 2006). An individual having such a skill must be able to accommodate different living and working conditions. Individual skills, adaptability, flexibility and emotional maturity are the attributes that most expatriate managers desire.</w:t>
      </w:r>
    </w:p>
    <w:p>
      <w:pPr>
        <w:spacing w:line="480" w:lineRule="auto"/>
        <w:rPr>
          <w:rFonts w:ascii="Times New Roman" w:hAnsi="Times New Roman" w:cs="Times New Roman"/>
          <w:b/>
          <w:sz w:val="24"/>
          <w:szCs w:val="24"/>
        </w:rPr>
      </w:pPr>
      <w:r>
        <w:rPr>
          <w:rFonts w:ascii="Times New Roman" w:hAnsi="Times New Roman" w:cs="Times New Roman"/>
          <w:b/>
          <w:sz w:val="24"/>
          <w:szCs w:val="24"/>
        </w:rPr>
        <w:t>Innovation and creativity</w:t>
      </w:r>
    </w:p>
    <w:p>
      <w:pPr>
        <w:spacing w:line="480" w:lineRule="auto"/>
        <w:rPr>
          <w:rFonts w:ascii="Times New Roman" w:hAnsi="Times New Roman" w:cs="Times New Roman"/>
          <w:sz w:val="24"/>
          <w:szCs w:val="24"/>
        </w:rPr>
      </w:pPr>
      <w:r>
        <w:rPr>
          <w:rFonts w:ascii="Times New Roman" w:hAnsi="Times New Roman" w:cs="Times New Roman"/>
          <w:sz w:val="24"/>
          <w:szCs w:val="24"/>
        </w:rPr>
        <w:t>Multicultural teams with high cultural and functional diversity tend to be more effective, especially when the task is creative (Takeuchi &amp; Durian,2000). Managers believe that workforce diversity creates an opportunity for managers to meet the needs of consumers more effectively and efficiently and makes it easier for companies to penetrate new markets. Cultural diversity leads to losses made during the production process due to conflicts arising from tasks, and at the same time, they gain creativity and satisfaction (Stahl et al., .2009).</w:t>
      </w:r>
    </w:p>
    <w:p>
      <w:pPr>
        <w:spacing w:line="480" w:lineRule="auto"/>
        <w:rPr>
          <w:rFonts w:ascii="Times New Roman" w:hAnsi="Times New Roman" w:cs="Times New Roman"/>
          <w:b/>
          <w:sz w:val="24"/>
          <w:szCs w:val="24"/>
        </w:rPr>
      </w:pPr>
      <w:r>
        <w:rPr>
          <w:rFonts w:ascii="Times New Roman" w:hAnsi="Times New Roman" w:cs="Times New Roman"/>
          <w:b/>
          <w:sz w:val="24"/>
          <w:szCs w:val="24"/>
        </w:rPr>
        <w:t>Cooperation, flexibility and an open mind</w:t>
      </w:r>
    </w:p>
    <w:p>
      <w:pPr>
        <w:spacing w:line="480" w:lineRule="auto"/>
        <w:rPr>
          <w:rFonts w:ascii="Times New Roman" w:hAnsi="Times New Roman" w:cs="Times New Roman"/>
          <w:sz w:val="24"/>
          <w:szCs w:val="24"/>
        </w:rPr>
      </w:pPr>
      <w:r>
        <w:rPr>
          <w:rFonts w:ascii="Times New Roman" w:hAnsi="Times New Roman" w:cs="Times New Roman"/>
          <w:sz w:val="24"/>
          <w:szCs w:val="24"/>
        </w:rPr>
        <w:t>Social capital and TrustTrust lead to the achievement of cooperation. Knowledge and skills are the primary traded goods, and TrustTrust is more significant in ensuring cooperation with Asians. Cooperation will enable both cultures to work together towards achieving the same goal.</w:t>
      </w:r>
    </w:p>
    <w:p>
      <w:pPr>
        <w:spacing w:line="480" w:lineRule="auto"/>
        <w:rPr>
          <w:rFonts w:ascii="Times New Roman" w:hAnsi="Times New Roman" w:cs="Times New Roman"/>
          <w:sz w:val="24"/>
          <w:szCs w:val="24"/>
        </w:rPr>
      </w:pPr>
      <w:r>
        <w:rPr>
          <w:rFonts w:ascii="Times New Roman" w:hAnsi="Times New Roman" w:cs="Times New Roman"/>
          <w:sz w:val="24"/>
          <w:szCs w:val="24"/>
        </w:rPr>
        <w:t>The Management should build strong relationships and respect the Asian minority and majority workers; therefore, for this to occur, Management needs to be open-minded. They should research the existing differences and treat the entire workforce equally. However, treating all employees reasonably does not mean treating them the same way. There exist different values and needs regarding the flexibility of employee demand from companies. The needs of employees due to different cultures will differ, and they will keep changing over time. However, the main goal is bridging the cultural gap within the organization (Kleiner, 1992).</w:t>
      </w:r>
    </w:p>
    <w:p>
      <w:pPr>
        <w:pStyle w:val="3"/>
      </w:pPr>
      <w:bookmarkStart w:id="4" w:name="_Toc121884105"/>
      <w:r>
        <w:t>2.3-Methods of Communication</w:t>
      </w:r>
      <w:bookmarkEnd w:id="4"/>
    </w:p>
    <w:p>
      <w:pPr>
        <w:pStyle w:val="4"/>
        <w:rPr>
          <w:b/>
        </w:rPr>
      </w:pPr>
      <w:bookmarkStart w:id="5" w:name="_Toc121884106"/>
      <w:r>
        <w:rPr>
          <w:b/>
        </w:rPr>
        <w:t>2.3.1-Halls High Low Context.</w:t>
      </w:r>
      <w:bookmarkEnd w:id="5"/>
    </w:p>
    <w:p>
      <w:pPr>
        <w:spacing w:line="480" w:lineRule="auto"/>
        <w:rPr>
          <w:rFonts w:ascii="Times New Roman" w:hAnsi="Times New Roman" w:cs="Times New Roman"/>
          <w:sz w:val="24"/>
          <w:szCs w:val="24"/>
        </w:rPr>
      </w:pPr>
      <w:r>
        <w:rPr>
          <w:rFonts w:ascii="Times New Roman" w:hAnsi="Times New Roman" w:cs="Times New Roman"/>
          <w:sz w:val="24"/>
          <w:szCs w:val="24"/>
        </w:rPr>
        <w:t>The mystery of cultural differences was studied, researched and written by Anthropologist Edward Twitchell Hall, Jr in 1959. proxemics was among his best constructs which are known. Proxemics majorly deals with the notion of an individual’s personal space, which can be defined as the difference in distance between individuals needed for different cultural comfortability. Another construct is high context and low context cultures and applying the dimensions in leadership and Management of low context cultures.</w:t>
      </w:r>
    </w:p>
    <w:p>
      <w:pPr>
        <w:spacing w:line="480" w:lineRule="auto"/>
        <w:rPr>
          <w:rFonts w:ascii="Times New Roman" w:hAnsi="Times New Roman" w:cs="Times New Roman"/>
          <w:sz w:val="24"/>
          <w:szCs w:val="24"/>
        </w:rPr>
      </w:pPr>
      <w:r>
        <w:rPr>
          <w:rFonts w:ascii="Times New Roman" w:hAnsi="Times New Roman" w:cs="Times New Roman"/>
          <w:sz w:val="24"/>
          <w:szCs w:val="24"/>
        </w:rPr>
        <w:t>Communication differs between the context cultures. A low-in-text culture decodes information in terms of a message from the words that were used in encoding the message. This means that in low context, culture mainly focuses on direct communication. A high-context culture decodes the message from environmental clues and non-verbal cues. This means that high-context culture can be defined as indirect communication.</w:t>
      </w:r>
    </w:p>
    <w:p>
      <w:pPr>
        <w:spacing w:line="480" w:lineRule="auto"/>
        <w:rPr>
          <w:rFonts w:ascii="Times New Roman" w:hAnsi="Times New Roman" w:cs="Times New Roman"/>
          <w:b/>
          <w:sz w:val="24"/>
          <w:szCs w:val="24"/>
        </w:rPr>
      </w:pPr>
      <w:r>
        <w:rPr>
          <w:rFonts w:ascii="Times New Roman" w:hAnsi="Times New Roman" w:cs="Times New Roman"/>
          <w:b/>
          <w:sz w:val="24"/>
          <w:szCs w:val="24"/>
        </w:rPr>
        <w:t>Characteristics of Low and High context cultures</w:t>
      </w:r>
    </w:p>
    <w:p>
      <w:pPr>
        <w:spacing w:line="480" w:lineRule="auto"/>
        <w:rPr>
          <w:rFonts w:ascii="Times New Roman" w:hAnsi="Times New Roman" w:cs="Times New Roman"/>
          <w:b/>
          <w:sz w:val="24"/>
          <w:szCs w:val="24"/>
        </w:rPr>
      </w:pPr>
      <w:r>
        <w:rPr>
          <w:rFonts w:ascii="Times New Roman" w:hAnsi="Times New Roman" w:cs="Times New Roman"/>
          <w:b/>
          <w:sz w:val="24"/>
          <w:szCs w:val="24"/>
        </w:rPr>
        <w:t>Low context cultures</w:t>
      </w:r>
    </w:p>
    <w:p>
      <w:pPr>
        <w:spacing w:line="480" w:lineRule="auto"/>
        <w:rPr>
          <w:rFonts w:ascii="Times New Roman" w:hAnsi="Times New Roman" w:cs="Times New Roman"/>
          <w:sz w:val="24"/>
          <w:szCs w:val="24"/>
        </w:rPr>
      </w:pPr>
      <w:r>
        <w:rPr>
          <w:rFonts w:ascii="Times New Roman" w:hAnsi="Times New Roman" w:cs="Times New Roman"/>
          <w:sz w:val="24"/>
          <w:szCs w:val="24"/>
        </w:rPr>
        <w:t>Individual achievements celebrated- Under this culture, the organization celebrates any achievements made by an individual employee. An example is an employee whose innovative project has been implemented in the business, and success can be notice</w:t>
      </w:r>
    </w:p>
    <w:p>
      <w:r>
        <w:t>d.
</w:t>
      </w:r>
    </w:p>
    <w:p>
      <w:pPr>
        <w:spacing w:line="480" w:lineRule="auto"/>
        <w:rPr>
          <w:rFonts w:ascii="Times New Roman" w:hAnsi="Times New Roman" w:cs="Times New Roman"/>
          <w:sz w:val="24"/>
          <w:szCs w:val="24"/>
        </w:rPr>
      </w:pPr>
      <w:r>
        <w:rPr>
          <w:rFonts w:ascii="Times New Roman" w:hAnsi="Times New Roman" w:cs="Times New Roman"/>
          <w:sz w:val="24"/>
          <w:szCs w:val="24"/>
        </w:rPr>
        <w:t>Fact-based-fact-based means no assumptions or myths are used under this culture. Only facts are being used.</w:t>
      </w:r>
    </w:p>
    <w:p>
      <w:pPr>
        <w:spacing w:line="480" w:lineRule="auto"/>
        <w:rPr>
          <w:rFonts w:ascii="Times New Roman" w:hAnsi="Times New Roman" w:cs="Times New Roman"/>
          <w:sz w:val="24"/>
          <w:szCs w:val="24"/>
        </w:rPr>
      </w:pPr>
      <w:r>
        <w:rPr>
          <w:rFonts w:ascii="Times New Roman" w:hAnsi="Times New Roman" w:cs="Times New Roman"/>
          <w:sz w:val="24"/>
          <w:szCs w:val="24"/>
        </w:rPr>
        <w:t>Results oriented-The main aim of this culture is to get the desired results to attain the agreed goal set up by the Management.</w:t>
      </w:r>
    </w:p>
    <w:p>
      <w:pPr>
        <w:spacing w:line="480" w:lineRule="auto"/>
        <w:rPr>
          <w:rFonts w:ascii="Times New Roman" w:hAnsi="Times New Roman" w:cs="Times New Roman"/>
          <w:sz w:val="24"/>
          <w:szCs w:val="24"/>
        </w:rPr>
      </w:pPr>
      <w:r>
        <w:rPr>
          <w:rFonts w:ascii="Times New Roman" w:hAnsi="Times New Roman" w:cs="Times New Roman"/>
          <w:sz w:val="24"/>
          <w:szCs w:val="24"/>
        </w:rPr>
        <w:t>Personal space- The Company also has a larger personal space where employees can mediate and develop creative and innovative ideas.</w:t>
      </w:r>
    </w:p>
    <w:p>
      <w:pPr>
        <w:spacing w:line="480" w:lineRule="auto"/>
        <w:rPr>
          <w:rFonts w:ascii="Times New Roman" w:hAnsi="Times New Roman" w:cs="Times New Roman"/>
          <w:sz w:val="24"/>
          <w:szCs w:val="24"/>
        </w:rPr>
      </w:pPr>
      <w:r>
        <w:rPr>
          <w:rFonts w:ascii="Times New Roman" w:hAnsi="Times New Roman" w:cs="Times New Roman"/>
          <w:sz w:val="24"/>
          <w:szCs w:val="24"/>
        </w:rPr>
        <w:t>The pace of this low context culture I fast in companion to others.</w:t>
      </w:r>
    </w:p>
    <w:p>
      <w:pPr>
        <w:spacing w:line="480" w:lineRule="auto"/>
        <w:rPr>
          <w:rFonts w:ascii="Times New Roman" w:hAnsi="Times New Roman" w:cs="Times New Roman"/>
          <w:b/>
          <w:sz w:val="24"/>
          <w:szCs w:val="24"/>
        </w:rPr>
      </w:pPr>
      <w:r>
        <w:rPr>
          <w:rFonts w:ascii="Times New Roman" w:hAnsi="Times New Roman" w:cs="Times New Roman"/>
          <w:b/>
          <w:sz w:val="24"/>
          <w:szCs w:val="24"/>
        </w:rPr>
        <w:t>High context Cultures</w:t>
      </w:r>
    </w:p>
    <w:p>
      <w:pPr>
        <w:spacing w:line="480" w:lineRule="auto"/>
        <w:rPr>
          <w:rFonts w:ascii="Times New Roman" w:hAnsi="Times New Roman" w:cs="Times New Roman"/>
          <w:sz w:val="24"/>
          <w:szCs w:val="24"/>
        </w:rPr>
      </w:pPr>
      <w:r>
        <w:rPr>
          <w:rFonts w:ascii="Times New Roman" w:hAnsi="Times New Roman" w:cs="Times New Roman"/>
          <w:sz w:val="24"/>
          <w:szCs w:val="24"/>
        </w:rPr>
        <w:t>Group Achievements- The achievements made by groups and not an individual being celebrated by the Company to motivate them to do more and more as a group.</w:t>
      </w:r>
    </w:p>
    <w:p>
      <w:pPr>
        <w:spacing w:line="480" w:lineRule="auto"/>
        <w:rPr>
          <w:rFonts w:ascii="Times New Roman" w:hAnsi="Times New Roman" w:cs="Times New Roman"/>
          <w:sz w:val="24"/>
          <w:szCs w:val="24"/>
        </w:rPr>
      </w:pPr>
      <w:r>
        <w:rPr>
          <w:rFonts w:ascii="Times New Roman" w:hAnsi="Times New Roman" w:cs="Times New Roman"/>
          <w:sz w:val="24"/>
          <w:szCs w:val="24"/>
        </w:rPr>
        <w:t>Based on value-the achievements of the Company only comes from the value of the Company.</w:t>
      </w:r>
    </w:p>
    <w:p>
      <w:pPr>
        <w:spacing w:line="480" w:lineRule="auto"/>
        <w:rPr>
          <w:rFonts w:ascii="Times New Roman" w:hAnsi="Times New Roman" w:cs="Times New Roman"/>
          <w:sz w:val="24"/>
          <w:szCs w:val="24"/>
        </w:rPr>
      </w:pPr>
      <w:r>
        <w:rPr>
          <w:rFonts w:ascii="Times New Roman" w:hAnsi="Times New Roman" w:cs="Times New Roman"/>
          <w:sz w:val="24"/>
          <w:szCs w:val="24"/>
        </w:rPr>
        <w:t>Orientation-High context cultures are relationship orientations where the relationship among employees is highly dependent on the value of the Company.</w:t>
      </w:r>
    </w:p>
    <w:p>
      <w:pPr>
        <w:spacing w:line="480" w:lineRule="auto"/>
        <w:rPr>
          <w:rFonts w:ascii="Times New Roman" w:hAnsi="Times New Roman" w:cs="Times New Roman"/>
          <w:sz w:val="24"/>
          <w:szCs w:val="24"/>
        </w:rPr>
      </w:pPr>
      <w:r>
        <w:rPr>
          <w:rFonts w:ascii="Times New Roman" w:hAnsi="Times New Roman" w:cs="Times New Roman"/>
          <w:sz w:val="24"/>
          <w:szCs w:val="24"/>
        </w:rPr>
        <w:t>Personal space- the personal space of this culture I closed, meaning that there is no personal space for an individual, so individuals work as a group.</w:t>
      </w:r>
    </w:p>
    <w:p>
      <w:pPr>
        <w:spacing w:line="480" w:lineRule="auto"/>
        <w:rPr>
          <w:rFonts w:ascii="Times New Roman" w:hAnsi="Times New Roman" w:cs="Times New Roman"/>
          <w:sz w:val="24"/>
          <w:szCs w:val="24"/>
        </w:rPr>
      </w:pPr>
      <w:r>
        <w:rPr>
          <w:rFonts w:ascii="Times New Roman" w:hAnsi="Times New Roman" w:cs="Times New Roman"/>
          <w:sz w:val="24"/>
          <w:szCs w:val="24"/>
        </w:rPr>
        <w:t>Pace-its pace is slower.</w:t>
      </w:r>
    </w:p>
    <w:p>
      <w:pPr>
        <w:spacing w:line="480" w:lineRule="auto"/>
        <w:rPr>
          <w:rFonts w:ascii="Times New Roman" w:hAnsi="Times New Roman" w:cs="Times New Roman"/>
          <w:b/>
          <w:sz w:val="24"/>
          <w:szCs w:val="24"/>
        </w:rPr>
      </w:pPr>
      <w:r>
        <w:rPr>
          <w:rFonts w:ascii="Times New Roman" w:hAnsi="Times New Roman" w:cs="Times New Roman"/>
          <w:b/>
          <w:sz w:val="24"/>
          <w:szCs w:val="24"/>
        </w:rPr>
        <w:t>Application</w:t>
      </w:r>
    </w:p>
    <w:p>
      <w:pPr>
        <w:spacing w:line="480" w:lineRule="auto"/>
        <w:rPr>
          <w:rFonts w:ascii="Times New Roman" w:hAnsi="Times New Roman" w:cs="Times New Roman"/>
          <w:sz w:val="24"/>
          <w:szCs w:val="24"/>
        </w:rPr>
      </w:pPr>
      <w:r>
        <w:rPr>
          <w:rFonts w:ascii="Times New Roman" w:hAnsi="Times New Roman" w:cs="Times New Roman"/>
          <w:sz w:val="24"/>
          <w:szCs w:val="24"/>
        </w:rPr>
        <w:t>The significance of this kind of culture is for understanding that the knowledge we have on the difference in culture requires a generation of actions and applications in the job, whether in the US, Abroad or at home. Managers from high-context cultures are the most comfortable leaders because they move with how things flow and take their time in reaching a consensus, but this style will not work in a low-context team. Managers would require the following;</w:t>
      </w:r>
    </w:p>
    <w:p>
      <w:pPr>
        <w:spacing w:line="480" w:lineRule="auto"/>
        <w:rPr>
          <w:rFonts w:ascii="Times New Roman" w:hAnsi="Times New Roman" w:cs="Times New Roman"/>
          <w:sz w:val="24"/>
          <w:szCs w:val="24"/>
        </w:rPr>
      </w:pPr>
      <w:r>
        <w:rPr>
          <w:rFonts w:ascii="Times New Roman" w:hAnsi="Times New Roman" w:cs="Times New Roman"/>
          <w:sz w:val="24"/>
          <w:szCs w:val="24"/>
        </w:rPr>
        <w:t>-They should set written grounds for rules for engagement</w:t>
      </w:r>
    </w:p>
    <w:p>
      <w:pPr>
        <w:spacing w:line="480" w:lineRule="auto"/>
        <w:rPr>
          <w:rFonts w:ascii="Times New Roman" w:hAnsi="Times New Roman" w:cs="Times New Roman"/>
          <w:sz w:val="24"/>
          <w:szCs w:val="24"/>
        </w:rPr>
      </w:pPr>
      <w:r>
        <w:rPr>
          <w:rFonts w:ascii="Times New Roman" w:hAnsi="Times New Roman" w:cs="Times New Roman"/>
          <w:sz w:val="24"/>
          <w:szCs w:val="24"/>
        </w:rPr>
        <w:t>-They give explicit and direct messages which have been stated in obvious and unambiguous words</w:t>
      </w:r>
    </w:p>
    <w:p>
      <w:pPr>
        <w:spacing w:line="480" w:lineRule="auto"/>
        <w:rPr>
          <w:rFonts w:ascii="Times New Roman" w:hAnsi="Times New Roman" w:cs="Times New Roman"/>
          <w:sz w:val="24"/>
          <w:szCs w:val="24"/>
        </w:rPr>
      </w:pPr>
      <w:r>
        <w:rPr>
          <w:rFonts w:ascii="Times New Roman" w:hAnsi="Times New Roman" w:cs="Times New Roman"/>
          <w:sz w:val="24"/>
          <w:szCs w:val="24"/>
        </w:rPr>
        <w:t>-The organizational goals are assigned to individuals for personal accountability.</w:t>
      </w:r>
    </w:p>
    <w:p>
      <w:pPr>
        <w:spacing w:line="480" w:lineRule="auto"/>
        <w:rPr>
          <w:rFonts w:ascii="Times New Roman" w:hAnsi="Times New Roman" w:cs="Times New Roman"/>
          <w:sz w:val="24"/>
          <w:szCs w:val="24"/>
        </w:rPr>
      </w:pPr>
      <w:r>
        <w:rPr>
          <w:rFonts w:ascii="Times New Roman" w:hAnsi="Times New Roman" w:cs="Times New Roman"/>
          <w:sz w:val="24"/>
          <w:szCs w:val="24"/>
        </w:rPr>
        <w:t>-It also drives towards the achievement of the goal using data that is valid and reliable data.</w:t>
      </w:r>
    </w:p>
    <w:p>
      <w:pPr>
        <w:spacing w:line="480" w:lineRule="auto"/>
        <w:rPr>
          <w:rFonts w:ascii="Times New Roman" w:hAnsi="Times New Roman" w:cs="Times New Roman"/>
          <w:sz w:val="24"/>
          <w:szCs w:val="24"/>
        </w:rPr>
      </w:pPr>
      <w:r>
        <w:rPr>
          <w:rFonts w:ascii="Times New Roman" w:hAnsi="Times New Roman" w:cs="Times New Roman"/>
          <w:sz w:val="24"/>
          <w:szCs w:val="24"/>
        </w:rPr>
        <w:t>-Display of emotions is allowed, but conflicts are managed to reach resolutions in rational terms.</w:t>
      </w:r>
    </w:p>
    <w:p>
      <w:pPr>
        <w:spacing w:line="480" w:lineRule="auto"/>
        <w:rPr>
          <w:rFonts w:ascii="Times New Roman" w:hAnsi="Times New Roman" w:cs="Times New Roman"/>
          <w:sz w:val="24"/>
          <w:szCs w:val="24"/>
        </w:rPr>
      </w:pPr>
      <w:r>
        <w:rPr>
          <w:rFonts w:ascii="Times New Roman" w:hAnsi="Times New Roman" w:cs="Times New Roman"/>
          <w:sz w:val="24"/>
          <w:szCs w:val="24"/>
        </w:rPr>
        <w:t>Therefore from the above, the high-context managers should adjust their styles to meet the preferences of the low-context team. This might take high-context managers outside their comfort zones because they will have to overwork. It will also lead to the facilitation of driving the goal because low-context work groups mainly prefer the direct approach.</w:t>
      </w:r>
    </w:p>
    <w:p>
      <w:pPr>
        <w:spacing w:line="480" w:lineRule="auto"/>
        <w:rPr>
          <w:rFonts w:ascii="Times New Roman" w:hAnsi="Times New Roman" w:cs="Times New Roman"/>
          <w:b/>
          <w:sz w:val="24"/>
          <w:szCs w:val="24"/>
        </w:rPr>
      </w:pPr>
      <w:r>
        <w:rPr>
          <w:rFonts w:ascii="Times New Roman" w:hAnsi="Times New Roman" w:cs="Times New Roman"/>
          <w:b/>
          <w:sz w:val="24"/>
          <w:szCs w:val="24"/>
        </w:rPr>
        <w:t>Limitations</w:t>
      </w:r>
    </w:p>
    <w:p>
      <w:pPr>
        <w:spacing w:line="480" w:lineRule="auto"/>
        <w:rPr>
          <w:rFonts w:ascii="Times New Roman" w:hAnsi="Times New Roman" w:cs="Times New Roman"/>
          <w:sz w:val="24"/>
          <w:szCs w:val="24"/>
        </w:rPr>
      </w:pPr>
      <w:r>
        <w:rPr>
          <w:rFonts w:ascii="Times New Roman" w:hAnsi="Times New Roman" w:cs="Times New Roman"/>
          <w:sz w:val="24"/>
          <w:szCs w:val="24"/>
        </w:rPr>
        <w:t>The methodological issue on context culture is not unique because the differences observed between the groups are only attributed to the context culture of consumers. A review made by Cardon 2008, noted that context culture was only measured at the level of individuals.</w:t>
      </w:r>
    </w:p>
    <w:p>
      <w:pPr>
        <w:pStyle w:val="3"/>
      </w:pPr>
      <w:bookmarkStart w:id="6" w:name="_Toc121884107"/>
      <w:r>
        <w:t>2.4-Effective communication</w:t>
      </w:r>
      <w:bookmarkEnd w:id="6"/>
    </w:p>
    <w:p>
      <w:pPr>
        <w:spacing w:line="480" w:lineRule="auto"/>
        <w:rPr>
          <w:rFonts w:ascii="Times New Roman" w:hAnsi="Times New Roman" w:cs="Times New Roman"/>
          <w:sz w:val="24"/>
          <w:szCs w:val="24"/>
        </w:rPr>
      </w:pPr>
      <w:r>
        <w:rPr>
          <w:rFonts w:ascii="Times New Roman" w:hAnsi="Times New Roman" w:cs="Times New Roman"/>
          <w:sz w:val="24"/>
          <w:szCs w:val="24"/>
        </w:rPr>
        <w:t>In a cross-cultural business environment, employees from different cultures need to communicate with each other effectively to understand each other and increase productivity at the workplace. Employees who perform all the tasks independently due to poor communication skills are overburdened and will fail to deliver quality output. Effective communication allows information to flow from among Company employees in the required form. Managers should interact with their team members or employees to get the best out of themselves. Poor communication leads to increased conflict in the organization; hence, significant problems will not be solved. For effective communication in an organization, managers should;</w:t>
      </w:r>
    </w:p>
    <w:p>
      <w:pPr>
        <w:spacing w:line="480" w:lineRule="auto"/>
        <w:rPr>
          <w:rFonts w:ascii="Times New Roman" w:hAnsi="Times New Roman" w:cs="Times New Roman"/>
          <w:sz w:val="24"/>
          <w:szCs w:val="24"/>
        </w:rPr>
      </w:pPr>
      <w:r>
        <w:rPr>
          <w:rFonts w:ascii="Times New Roman" w:hAnsi="Times New Roman" w:cs="Times New Roman"/>
          <w:sz w:val="24"/>
          <w:szCs w:val="24"/>
        </w:rPr>
        <w:t>Interaction among employees and managers regularly helps managers determine if their goals match that of the Company.</w:t>
      </w:r>
    </w:p>
    <w:p>
      <w:pPr>
        <w:spacing w:line="480" w:lineRule="auto"/>
        <w:rPr>
          <w:rFonts w:ascii="Times New Roman" w:hAnsi="Times New Roman" w:cs="Times New Roman"/>
          <w:sz w:val="24"/>
          <w:szCs w:val="24"/>
        </w:rPr>
      </w:pPr>
      <w:r>
        <w:rPr>
          <w:rFonts w:ascii="Times New Roman" w:hAnsi="Times New Roman" w:cs="Times New Roman"/>
          <w:sz w:val="24"/>
          <w:szCs w:val="24"/>
        </w:rPr>
        <w:t>Promotion of the concept in morning meetings in the office because through this morning meeting, managers can interact with their teams in an open platform whereby employees are free to express their views.</w:t>
      </w:r>
    </w:p>
    <w:p>
      <w:pPr>
        <w:spacing w:line="480" w:lineRule="auto"/>
        <w:rPr>
          <w:rFonts w:ascii="Times New Roman" w:hAnsi="Times New Roman" w:cs="Times New Roman"/>
          <w:sz w:val="24"/>
          <w:szCs w:val="24"/>
        </w:rPr>
      </w:pPr>
      <w:r>
        <w:rPr>
          <w:rFonts w:ascii="Times New Roman" w:hAnsi="Times New Roman" w:cs="Times New Roman"/>
          <w:sz w:val="24"/>
          <w:szCs w:val="24"/>
        </w:rPr>
        <w:t>Increasing listening skills is essential because a good listener will communicate well. Listening to other people is important, and interruption will lead to a loss of impact on the information passed.</w:t>
      </w:r>
    </w:p>
    <w:p>
      <w:pPr>
        <w:spacing w:line="480" w:lineRule="auto"/>
        <w:rPr>
          <w:rFonts w:ascii="Times New Roman" w:hAnsi="Times New Roman" w:cs="Times New Roman"/>
          <w:sz w:val="24"/>
          <w:szCs w:val="24"/>
        </w:rPr>
      </w:pPr>
      <w:r>
        <w:rPr>
          <w:rFonts w:ascii="Times New Roman" w:hAnsi="Times New Roman" w:cs="Times New Roman"/>
          <w:sz w:val="24"/>
          <w:szCs w:val="24"/>
        </w:rPr>
        <w:t>The Company should work as a team to achieve the ultimate set goal of the organization. Teams should discuss and work together.</w:t>
      </w:r>
    </w:p>
    <w:p>
      <w:pPr>
        <w:spacing w:line="480" w:lineRule="auto"/>
        <w:rPr>
          <w:rFonts w:ascii="Times New Roman" w:hAnsi="Times New Roman" w:cs="Times New Roman"/>
          <w:sz w:val="24"/>
          <w:szCs w:val="24"/>
        </w:rPr>
      </w:pPr>
      <w:r>
        <w:rPr>
          <w:rFonts w:ascii="Times New Roman" w:hAnsi="Times New Roman" w:cs="Times New Roman"/>
          <w:sz w:val="24"/>
          <w:szCs w:val="24"/>
        </w:rPr>
        <w:t>They are mastering the art of email writing, whereby managers can train their employees on how official emails are written. The team members should not be addressed as an individual, but instead, they should be addressed as a group.</w:t>
      </w:r>
    </w:p>
    <w:p>
      <w:pPr>
        <w:spacing w:line="480" w:lineRule="auto"/>
        <w:rPr>
          <w:rFonts w:ascii="Times New Roman" w:hAnsi="Times New Roman" w:cs="Times New Roman"/>
          <w:sz w:val="24"/>
          <w:szCs w:val="24"/>
        </w:rPr>
      </w:pPr>
      <w:r>
        <w:rPr>
          <w:rFonts w:ascii="Times New Roman" w:hAnsi="Times New Roman" w:cs="Times New Roman"/>
          <w:sz w:val="24"/>
          <w:szCs w:val="24"/>
        </w:rPr>
        <w:t>Before speaking, I suggest that the communication intended for the audience is relevant and fits that audience.</w:t>
      </w:r>
    </w:p>
    <w:p>
      <w:pPr>
        <w:spacing w:line="480" w:lineRule="auto"/>
        <w:rPr>
          <w:rFonts w:ascii="Times New Roman" w:hAnsi="Times New Roman" w:cs="Times New Roman"/>
          <w:sz w:val="24"/>
          <w:szCs w:val="24"/>
        </w:rPr>
      </w:pPr>
      <w:r>
        <w:rPr>
          <w:rFonts w:ascii="Times New Roman" w:hAnsi="Times New Roman" w:cs="Times New Roman"/>
          <w:sz w:val="24"/>
          <w:szCs w:val="24"/>
        </w:rPr>
        <w:t>Communication will be said to have occurred only when the message intended has been clearly understood by the audience.</w:t>
      </w:r>
    </w:p>
    <w:p>
      <w:pPr>
        <w:pStyle w:val="3"/>
      </w:pPr>
      <w:bookmarkStart w:id="7" w:name="_Toc121884108"/>
      <w:r>
        <w:t>2.5 – International Culture</w:t>
      </w:r>
      <w:bookmarkEnd w:id="7"/>
    </w:p>
    <w:p>
      <w:pPr>
        <w:pStyle w:val="4"/>
        <w:rPr>
          <w:b/>
        </w:rPr>
      </w:pPr>
      <w:bookmarkStart w:id="8" w:name="_Toc121884109"/>
      <w:r>
        <w:rPr>
          <w:b/>
        </w:rPr>
        <w:t>2.5.1 - Trompenaar's seven dimensions of culture</w:t>
      </w:r>
      <w:bookmarkEnd w:id="8"/>
    </w:p>
    <w:p>
      <w:pPr>
        <w:spacing w:line="480" w:lineRule="auto"/>
        <w:rPr>
          <w:rFonts w:ascii="Times New Roman" w:hAnsi="Times New Roman" w:cs="Times New Roman"/>
          <w:sz w:val="24"/>
          <w:szCs w:val="24"/>
        </w:rPr>
      </w:pPr>
      <w:r>
        <w:rPr>
          <w:rFonts w:ascii="Times New Roman" w:hAnsi="Times New Roman" w:cs="Times New Roman"/>
          <w:sz w:val="24"/>
          <w:szCs w:val="24"/>
        </w:rPr>
        <w:t>The main concern of Fons Trompenaars regarding the national culture commenced from the master of his research, where he addresses the patterns of different cultures in an organization. By conducting his business, the majority of global companies he interacted with offered him the opportunity to examine their cultural differences and access data permanently. Through this, Trompenaars developed a model having seven scales (A.Maleki, M.de Jong, 2014). The 7-D model consists of the following;</w:t>
      </w:r>
    </w:p>
    <w:p>
      <w:pPr>
        <w:spacing w:line="480" w:lineRule="auto"/>
        <w:rPr>
          <w:rFonts w:ascii="Times New Roman" w:hAnsi="Times New Roman" w:cs="Times New Roman"/>
          <w:sz w:val="24"/>
          <w:szCs w:val="24"/>
        </w:rPr>
      </w:pPr>
      <w:r>
        <w:rPr>
          <w:rFonts w:ascii="Times New Roman" w:hAnsi="Times New Roman" w:cs="Times New Roman"/>
          <w:sz w:val="24"/>
          <w:szCs w:val="24"/>
        </w:rPr>
        <w:t>Universes versus particularism, whose primary research question was which between the two is the essential law or relation. The second one is individualism or collectivism, whose main questions were how companies operate. Do employees operate as individuals or a group, and do they all have collective or different interests? The third one is neutral culture versus vibrant culture, and the main research questions were asking if the Company should allow employees to expose their feelings. The fourth one is specific culture versus a dissipated culture, whose questions inquired if an employee's private life should be split from work. Earned statute versus a granted statute whose questions are inquiring if employees require to prove their statute or if the statute is granted to them should they be motivated or not. Another one is sequential culture versus synchronic culture, which asks whether it is one time or all at once, how the Company or employees perceive time. Finally is an internal control system versus external control system whose main questions are if the Company should deal with the work environment or if it should deal with the existing relationship between human beings and nature.</w:t>
      </w:r>
    </w:p>
    <w:p>
      <w:pPr>
        <w:spacing w:line="480" w:lineRule="auto"/>
        <w:rPr>
          <w:rFonts w:ascii="Times New Roman" w:hAnsi="Times New Roman" w:cs="Times New Roman"/>
          <w:b/>
          <w:sz w:val="24"/>
          <w:szCs w:val="24"/>
        </w:rPr>
      </w:pPr>
      <w:r>
        <w:rPr>
          <w:rFonts w:ascii="Times New Roman" w:hAnsi="Times New Roman" w:cs="Times New Roman"/>
          <w:b/>
          <w:sz w:val="24"/>
          <w:szCs w:val="24"/>
        </w:rPr>
        <w:t>Critics</w:t>
      </w:r>
    </w:p>
    <w:p>
      <w:pPr>
        <w:spacing w:line="480" w:lineRule="auto"/>
        <w:rPr>
          <w:rFonts w:ascii="Times New Roman" w:hAnsi="Times New Roman" w:cs="Times New Roman"/>
          <w:sz w:val="24"/>
          <w:szCs w:val="24"/>
        </w:rPr>
      </w:pPr>
      <w:r>
        <w:rPr>
          <w:rFonts w:ascii="Times New Roman" w:hAnsi="Times New Roman" w:cs="Times New Roman"/>
          <w:sz w:val="24"/>
          <w:szCs w:val="24"/>
        </w:rPr>
        <w:t>Turner declared that cultural differences occur between institutions and societies and how conducting business activities are directly affected by them. Therefore according to Trompenaars and Hampden Turner (1997), culture is described as a technique in which a group of people solve their problems and reconcile their dilemmas.</w:t>
      </w:r>
    </w:p>
    <w:p>
      <w:pPr>
        <w:pStyle w:val="3"/>
      </w:pPr>
      <w:bookmarkStart w:id="9" w:name="_Toc121884110"/>
      <w:r>
        <w:t>2.6-Importance of building relationships</w:t>
      </w:r>
      <w:bookmarkEnd w:id="9"/>
    </w:p>
    <w:p>
      <w:pPr>
        <w:spacing w:line="480" w:lineRule="auto"/>
        <w:rPr>
          <w:rFonts w:ascii="Times New Roman" w:hAnsi="Times New Roman" w:cs="Times New Roman"/>
          <w:sz w:val="24"/>
          <w:szCs w:val="24"/>
        </w:rPr>
      </w:pPr>
      <w:r>
        <w:rPr>
          <w:rFonts w:ascii="Times New Roman" w:hAnsi="Times New Roman" w:cs="Times New Roman"/>
          <w:sz w:val="24"/>
          <w:szCs w:val="24"/>
        </w:rPr>
        <w:t>Building cross-cultural business relationship, like in our case, is very significant in today's global business environment. Strong business relationships aid businesses in succeeding in international markets and relation of a more productive and harmonious working place. Strong business relationships enable companies to create an open and understanding environment that allows better communication and collaboration and enhances the ability to manage diversification into a foreign land effectively. This might lead to improvement of consumer services and increased customer relations, and increased revenue received due to expansion into the newer markets. In addition, business relationships help businesses understand their market better and allow them to make their own decisions that are more informed and effective.</w:t>
      </w:r>
    </w:p>
    <w:p>
      <w:pPr>
        <w:pStyle w:val="3"/>
      </w:pPr>
      <w:bookmarkStart w:id="10" w:name="_Toc121884111"/>
      <w:r>
        <w:t>2.7 – How to Build TrustTrust</w:t>
      </w:r>
      <w:bookmarkEnd w:id="10"/>
    </w:p>
    <w:p>
      <w:pPr>
        <w:spacing w:line="480" w:lineRule="auto"/>
        <w:rPr>
          <w:rFonts w:ascii="Times New Roman" w:hAnsi="Times New Roman" w:cs="Times New Roman"/>
          <w:sz w:val="24"/>
          <w:szCs w:val="24"/>
        </w:rPr>
      </w:pPr>
      <w:r>
        <w:rPr>
          <w:rFonts w:ascii="Times New Roman" w:hAnsi="Times New Roman" w:cs="Times New Roman"/>
          <w:sz w:val="24"/>
          <w:szCs w:val="24"/>
        </w:rPr>
        <w:t>Trust can be built through clear communication because open and honest communication is the foundation for building TrustTrust in international business relations. This is done by ensuring expectations, deadlines, and other important information have been met on time. In addition to that, personal relationship development is essential for building TrustTrust because it is easier to trust someone you know than someone you do not know. It is also essential to have knowledge of the dominating culture and respect the existing cultural differences when conducting international business because this will help create and maintain understanding and build TrustTrust. Offering incentives for discounts, special offers, or other rewards to the Asian party involved in a business relationship with Debenhams will help Asians trust Debenhams. Transparency I key because being open and honest about the business practices conducted by Debenhams will build TrustTrust, and by allowing Asians to understand your practices and why you are doing that type of business then, they will trust the foreign Company.</w:t>
      </w:r>
    </w:p>
    <w:p>
      <w:pPr>
        <w:pStyle w:val="3"/>
      </w:pPr>
      <w:bookmarkStart w:id="11" w:name="_Toc121884112"/>
      <w:r>
        <w:t>2.8 – Failed Relationships</w:t>
      </w:r>
      <w:bookmarkEnd w:id="11"/>
      <w:r>
        <w:t xml:space="preserve"> </w:t>
      </w:r>
    </w:p>
    <w:p>
      <w:pPr>
        <w:spacing w:line="480" w:lineRule="auto"/>
        <w:rPr>
          <w:rFonts w:ascii="Times New Roman" w:hAnsi="Times New Roman" w:cs="Times New Roman"/>
          <w:sz w:val="24"/>
          <w:szCs w:val="24"/>
        </w:rPr>
      </w:pPr>
      <w:r>
        <w:rPr>
          <w:rFonts w:ascii="Times New Roman" w:hAnsi="Times New Roman" w:cs="Times New Roman"/>
          <w:sz w:val="24"/>
          <w:szCs w:val="24"/>
        </w:rPr>
        <w:t>Failed relationships occur do poor communication when working with international partners. The main barrier is the language barrier, thus leading to poor communication, misunderstandings, and conflict. Ineffective communication makes the building of rust and development of relationships to become challenging.</w:t>
      </w:r>
    </w:p>
    <w:p>
      <w:pPr>
        <w:spacing w:line="480" w:lineRule="auto"/>
        <w:rPr>
          <w:rFonts w:ascii="Times New Roman" w:hAnsi="Times New Roman" w:cs="Times New Roman"/>
          <w:sz w:val="24"/>
          <w:szCs w:val="24"/>
        </w:rPr>
      </w:pPr>
      <w:r>
        <w:rPr>
          <w:rFonts w:ascii="Times New Roman" w:hAnsi="Times New Roman" w:cs="Times New Roman"/>
          <w:sz w:val="24"/>
          <w:szCs w:val="24"/>
        </w:rPr>
        <w:t>Cultural differences are the central issue in building partnerships with international businesses because of the differences in expectations of different cultures. Without thorough research on the culture and a better understanding of the culture, the business will be likely to break down.</w:t>
      </w:r>
    </w:p>
    <w:p>
      <w:pPr>
        <w:spacing w:line="480" w:lineRule="auto"/>
        <w:rPr>
          <w:rFonts w:ascii="Times New Roman" w:hAnsi="Times New Roman" w:cs="Times New Roman"/>
          <w:sz w:val="24"/>
          <w:szCs w:val="24"/>
        </w:rPr>
      </w:pPr>
      <w:r>
        <w:rPr>
          <w:rFonts w:ascii="Times New Roman" w:hAnsi="Times New Roman" w:cs="Times New Roman"/>
          <w:sz w:val="24"/>
          <w:szCs w:val="24"/>
        </w:rPr>
        <w:t>Both parties will be in a conflict in a company that needs more clarity in the desired outcome of a business relationship. A lack of concrete goals and objectives may feel unfair to one partner.</w:t>
      </w:r>
    </w:p>
    <w:p>
      <w:pPr>
        <w:spacing w:line="480" w:lineRule="auto"/>
        <w:rPr>
          <w:rFonts w:ascii="Times New Roman" w:hAnsi="Times New Roman" w:cs="Times New Roman"/>
          <w:sz w:val="24"/>
          <w:szCs w:val="24"/>
        </w:rPr>
      </w:pPr>
      <w:r>
        <w:rPr>
          <w:rFonts w:ascii="Times New Roman" w:hAnsi="Times New Roman" w:cs="Times New Roman"/>
          <w:sz w:val="24"/>
          <w:szCs w:val="24"/>
        </w:rPr>
        <w:t>Businesses with different values and expectations find it challenging to reach an agreement. Therefore both two parties need to get to understand the values of each other and work together towards achieving the same goal.</w:t>
      </w:r>
    </w:p>
    <w:p>
      <w:pPr>
        <w:spacing w:line="480" w:lineRule="auto"/>
        <w:rPr>
          <w:rFonts w:ascii="Times New Roman" w:hAnsi="Times New Roman" w:cs="Times New Roman"/>
          <w:sz w:val="24"/>
          <w:szCs w:val="24"/>
        </w:rPr>
      </w:pPr>
      <w:r>
        <w:rPr>
          <w:rFonts w:ascii="Times New Roman" w:hAnsi="Times New Roman" w:cs="Times New Roman"/>
          <w:sz w:val="24"/>
          <w:szCs w:val="24"/>
        </w:rPr>
        <w:t>Poor negotiation of contracts will result in mistrust and conflict. Therefore both parties must negotiate contracts meeting their expectations and matching with their goal.</w:t>
      </w:r>
    </w:p>
    <w:p>
      <w:pPr>
        <w:pStyle w:val="2"/>
      </w:pPr>
      <w:bookmarkStart w:id="12" w:name="_Toc121884113"/>
    </w:p>
    <w:p>
      <w:pPr>
        <w:pStyle w:val="2"/>
      </w:pPr>
    </w:p>
    <w:p>
      <w:pPr>
        <w:pStyle w:val="2"/>
      </w:pPr>
    </w:p>
    <w:p/>
    <w:p/>
    <w:p/>
    <w:p/>
    <w:p/>
    <w:p/>
    <w:p/>
    <w:p/>
    <w:p/>
    <w:p>
      <w:pPr>
        <w:pStyle w:val="2"/>
      </w:pPr>
      <w:r>
        <w:t>3.0-Conclusion</w:t>
      </w:r>
      <w:bookmarkEnd w:id="12"/>
    </w:p>
    <w:p>
      <w:pPr>
        <w:spacing w:line="480" w:lineRule="auto"/>
        <w:ind w:left="90"/>
        <w:rPr>
          <w:rFonts w:ascii="Times New Roman" w:hAnsi="Times New Roman" w:cs="Times New Roman"/>
          <w:sz w:val="24"/>
          <w:szCs w:val="24"/>
        </w:rPr>
      </w:pPr>
      <w:r>
        <w:rPr>
          <w:rFonts w:ascii="Times New Roman" w:hAnsi="Times New Roman" w:cs="Times New Roman"/>
          <w:sz w:val="24"/>
          <w:szCs w:val="24"/>
        </w:rPr>
        <w:t>Diversification to international countries is essential for the Company because it expands its global market. Debenhams is a UK company that wants to expand its market in Asia, where the cultures of two different countries are totally different. Therefore for Debenhams to survive and make sales in Asia, it has to research how it will adapt and accommodate the new culture to survive. Therefore there are technical skills that expatriate managers should have, which will enable them to continue planning, controlling, leading and supervising business activities of the Company in Asia without getting into a conflict with Asians due to disobeying their culture. These international business relationships also have their significance and challenges because failure to comply with a foreign country's culture will lead to that business's failure.</w:t>
      </w:r>
    </w:p>
    <w:p>
      <w:pPr>
        <w:pStyle w:val="2"/>
      </w:pPr>
      <w:bookmarkStart w:id="13" w:name="_Toc121884114"/>
    </w:p>
    <w:p>
      <w:pPr>
        <w:pStyle w:val="2"/>
      </w:pPr>
    </w:p>
    <w:p>
      <w:pPr>
        <w:pStyle w:val="2"/>
      </w:pPr>
    </w:p>
    <w:p>
      <w:pPr>
        <w:pStyle w:val="2"/>
      </w:pPr>
    </w:p>
    <w:p>
      <w:pPr>
        <w:pStyle w:val="2"/>
      </w:pPr>
    </w:p>
    <w:p/>
    <w:p/>
    <w:p/>
    <w:p/>
    <w:p/>
    <w:p>
      <w:bookmarkStart w:id="15" w:name="_GoBack"/>
      <w:bookmarkEnd w:id="15"/>
    </w:p>
    <w:p>
      <w:pPr>
        <w:pStyle w:val="2"/>
      </w:pPr>
      <w:r>
        <w:t>4.0-Recommendations</w:t>
      </w:r>
      <w:bookmarkEnd w:id="13"/>
    </w:p>
    <w:p>
      <w:pPr>
        <w:spacing w:line="480" w:lineRule="auto"/>
        <w:ind w:left="90"/>
        <w:rPr>
          <w:rFonts w:ascii="Times New Roman" w:hAnsi="Times New Roman" w:cs="Times New Roman"/>
          <w:sz w:val="24"/>
          <w:szCs w:val="24"/>
        </w:rPr>
      </w:pPr>
      <w:r>
        <w:rPr>
          <w:rFonts w:ascii="Times New Roman" w:hAnsi="Times New Roman" w:cs="Times New Roman"/>
          <w:sz w:val="24"/>
          <w:szCs w:val="24"/>
        </w:rPr>
        <w:t>In case of failure, the Company should ensure that its team is properly trained in cross-cultural communication and understanding because this will help prevent misunderstandings and other issues.</w:t>
      </w:r>
    </w:p>
    <w:p>
      <w:pPr>
        <w:spacing w:line="480" w:lineRule="auto"/>
        <w:ind w:left="90"/>
        <w:rPr>
          <w:rFonts w:ascii="Times New Roman" w:hAnsi="Times New Roman" w:cs="Times New Roman"/>
          <w:sz w:val="24"/>
          <w:szCs w:val="24"/>
        </w:rPr>
      </w:pPr>
      <w:r>
        <w:rPr>
          <w:rFonts w:ascii="Times New Roman" w:hAnsi="Times New Roman" w:cs="Times New Roman"/>
          <w:sz w:val="24"/>
          <w:szCs w:val="24"/>
        </w:rPr>
        <w:t>The Company should develop a clear understanding of the hosts' norms. This includes understanding their customs, business practices, language and other cultural aspects.</w:t>
      </w:r>
    </w:p>
    <w:p>
      <w:pPr>
        <w:spacing w:line="480" w:lineRule="auto"/>
        <w:ind w:left="90"/>
        <w:rPr>
          <w:rFonts w:ascii="Times New Roman" w:hAnsi="Times New Roman" w:cs="Times New Roman"/>
          <w:sz w:val="24"/>
          <w:szCs w:val="24"/>
        </w:rPr>
      </w:pPr>
      <w:r>
        <w:rPr>
          <w:rFonts w:ascii="Times New Roman" w:hAnsi="Times New Roman" w:cs="Times New Roman"/>
          <w:sz w:val="24"/>
          <w:szCs w:val="24"/>
        </w:rPr>
        <w:t>The Company should ensure that they utilize the services of the local expert because the local expert will guide the host country's customs and culture. This will help the foreign Company (Debenhams) navigate the cultural differences and avoid potential failures.</w:t>
      </w:r>
    </w:p>
    <w:p>
      <w:pPr>
        <w:spacing w:line="480" w:lineRule="auto"/>
        <w:ind w:left="90"/>
        <w:rPr>
          <w:rFonts w:ascii="Times New Roman" w:hAnsi="Times New Roman" w:cs="Times New Roman"/>
          <w:sz w:val="24"/>
          <w:szCs w:val="24"/>
        </w:rPr>
      </w:pPr>
      <w:r>
        <w:rPr>
          <w:rFonts w:ascii="Times New Roman" w:hAnsi="Times New Roman" w:cs="Times New Roman"/>
          <w:sz w:val="24"/>
          <w:szCs w:val="24"/>
        </w:rPr>
        <w:t>Developing positive relationships with local stakeholders will help the Company better understand the host company's culture and how best they can conduct their operations.</w:t>
      </w:r>
    </w:p>
    <w:p>
      <w:pPr>
        <w:spacing w:line="480" w:lineRule="auto"/>
        <w:ind w:left="90"/>
        <w:rPr>
          <w:rFonts w:ascii="Times New Roman" w:hAnsi="Times New Roman" w:cs="Times New Roman"/>
          <w:sz w:val="24"/>
          <w:szCs w:val="24"/>
        </w:rPr>
      </w:pPr>
      <w:r>
        <w:rPr>
          <w:rFonts w:ascii="Times New Roman" w:hAnsi="Times New Roman" w:cs="Times New Roman"/>
          <w:sz w:val="24"/>
          <w:szCs w:val="24"/>
        </w:rPr>
        <w:t>Investing in market research is essential because the Company will better understand the customer base, competition, and regulations. This will help develop an effective strategy for conducting operations in the market.</w:t>
      </w:r>
    </w:p>
    <w:p>
      <w:pPr>
        <w:spacing w:line="480" w:lineRule="auto"/>
        <w:ind w:left="90"/>
        <w:rPr>
          <w:rFonts w:ascii="Times New Roman" w:hAnsi="Times New Roman" w:cs="Times New Roman"/>
          <w:sz w:val="24"/>
          <w:szCs w:val="24"/>
        </w:rPr>
      </w:pPr>
      <w:r>
        <w:rPr>
          <w:rFonts w:ascii="Times New Roman" w:hAnsi="Times New Roman" w:cs="Times New Roman"/>
          <w:sz w:val="24"/>
          <w:szCs w:val="24"/>
        </w:rPr>
        <w:t>Focusing on customer service to ensure that the consumers are satisfied is done through the provision of excellent customer services to attain the loyalty of consumers and succeed in the foreign market.</w:t>
      </w:r>
    </w:p>
    <w:p>
      <w:pPr>
        <w:pStyle w:val="2"/>
      </w:pPr>
      <w:bookmarkStart w:id="14" w:name="_Toc121884115"/>
    </w:p>
    <w:p>
      <w:pPr>
        <w:pStyle w:val="2"/>
      </w:pPr>
    </w:p>
    <w:p/>
    <w:p/>
    <w:p/>
    <w:p>
      <w:pPr>
        <w:pStyle w:val="2"/>
      </w:pPr>
      <w:r>
        <w:t>5.0-References</w:t>
      </w:r>
      <w:bookmarkEnd w:id="14"/>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Bagnied, M., 2022. International marketing.</w:t>
      </w:r>
    </w:p>
    <w:p>
      <w:pPr>
        <w:spacing w:line="480" w:lineRule="auto"/>
        <w:ind w:left="720" w:hanging="720"/>
        <w:rPr>
          <w:rFonts w:ascii="Times New Roman" w:hAnsi="Times New Roman" w:cs="Times New Roman"/>
          <w:sz w:val="24"/>
          <w:szCs w:val="24"/>
        </w:rPr>
      </w:pPr>
      <w:r>
        <w:rPr>
          <w:rFonts w:ascii="Times New Roman" w:hAnsi="Times New Roman" w:cs="Times New Roman"/>
          <w:color w:val="222222"/>
          <w:sz w:val="24"/>
          <w:szCs w:val="24"/>
          <w:shd w:val="clear" w:color="auto" w:fill="FFFFFF"/>
        </w:rPr>
        <w:t>Bargiela-Chiappini, F. and Nickerson, C., 2003. Intercultural business communication: A rich field of studies. </w:t>
      </w:r>
      <w:r>
        <w:rPr>
          <w:rFonts w:ascii="Times New Roman" w:hAnsi="Times New Roman" w:cs="Times New Roman"/>
          <w:i/>
          <w:iCs/>
          <w:color w:val="222222"/>
          <w:sz w:val="24"/>
          <w:szCs w:val="24"/>
          <w:shd w:val="clear" w:color="auto" w:fill="FFFFFF"/>
        </w:rPr>
        <w:t>Journal of Intercultural Studies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24</w:t>
      </w:r>
      <w:r>
        <w:rPr>
          <w:rFonts w:ascii="Times New Roman" w:hAnsi="Times New Roman" w:cs="Times New Roman"/>
          <w:color w:val="222222"/>
          <w:sz w:val="24"/>
          <w:szCs w:val="24"/>
          <w:shd w:val="clear" w:color="auto" w:fill="FFFFFF"/>
        </w:rPr>
        <w:t>(1), pp.3-15.</w:t>
      </w:r>
    </w:p>
    <w:p>
      <w:pPr>
        <w:spacing w:line="480" w:lineRule="auto"/>
        <w:ind w:left="720" w:hanging="720"/>
        <w:rPr>
          <w:rFonts w:ascii="Times New Roman" w:hAnsi="Times New Roman" w:cs="Times New Roman"/>
          <w:sz w:val="24"/>
          <w:szCs w:val="24"/>
        </w:rPr>
      </w:pPr>
      <w:r>
        <w:rPr>
          <w:rFonts w:ascii="Times New Roman" w:hAnsi="Times New Roman" w:cs="Times New Roman"/>
          <w:color w:val="222222"/>
          <w:sz w:val="24"/>
          <w:szCs w:val="24"/>
          <w:shd w:val="clear" w:color="auto" w:fill="FFFFFF"/>
        </w:rPr>
        <w:t>BLUEMARTINISOFTWARECU, S., Blue Martini Business Intelligence Delivers Unparalleled Insight into User Behavior at the Debenhams Web Site.</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Cardon, P.W., (2008). A critique of Hall's contexting model: A meta-analysis of the literature on intercultural business and technical communication. </w:t>
      </w:r>
      <w:r>
        <w:rPr>
          <w:rFonts w:ascii="Times New Roman" w:hAnsi="Times New Roman" w:cs="Times New Roman"/>
          <w:i/>
          <w:iCs/>
          <w:color w:val="222222"/>
          <w:sz w:val="24"/>
          <w:szCs w:val="24"/>
          <w:shd w:val="clear" w:color="auto" w:fill="FFFFFF"/>
        </w:rPr>
        <w:t>Journal of Business and Technical Communication</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22</w:t>
      </w:r>
      <w:r>
        <w:rPr>
          <w:rFonts w:ascii="Times New Roman" w:hAnsi="Times New Roman" w:cs="Times New Roman"/>
          <w:color w:val="222222"/>
          <w:sz w:val="24"/>
          <w:szCs w:val="24"/>
          <w:shd w:val="clear" w:color="auto" w:fill="FFFFFF"/>
        </w:rPr>
        <w:t>(4), pp.399-428.</w:t>
      </w:r>
    </w:p>
    <w:p>
      <w:pPr>
        <w:spacing w:line="480" w:lineRule="auto"/>
        <w:ind w:left="720" w:hanging="720"/>
        <w:rPr>
          <w:rFonts w:ascii="Times New Roman" w:hAnsi="Times New Roman" w:cs="Times New Roman"/>
          <w:sz w:val="24"/>
          <w:szCs w:val="24"/>
        </w:rPr>
      </w:pPr>
      <w:r>
        <w:rPr>
          <w:rFonts w:ascii="Times New Roman" w:hAnsi="Times New Roman" w:cs="Times New Roman"/>
          <w:color w:val="222222"/>
          <w:sz w:val="24"/>
          <w:szCs w:val="24"/>
          <w:shd w:val="clear" w:color="auto" w:fill="FFFFFF"/>
        </w:rPr>
        <w:t>Chan, A.P., Tetteh, M.O. and Nani, G., 2022. Drivers for international construction joint ventures adoption: a systematic literature review. </w:t>
      </w:r>
      <w:r>
        <w:rPr>
          <w:rFonts w:ascii="Times New Roman" w:hAnsi="Times New Roman" w:cs="Times New Roman"/>
          <w:i/>
          <w:iCs/>
          <w:color w:val="222222"/>
          <w:sz w:val="24"/>
          <w:szCs w:val="24"/>
          <w:shd w:val="clear" w:color="auto" w:fill="FFFFFF"/>
        </w:rPr>
        <w:t>International Journal of Construction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22</w:t>
      </w:r>
      <w:r>
        <w:rPr>
          <w:rFonts w:ascii="Times New Roman" w:hAnsi="Times New Roman" w:cs="Times New Roman"/>
          <w:color w:val="222222"/>
          <w:sz w:val="24"/>
          <w:szCs w:val="24"/>
          <w:shd w:val="clear" w:color="auto" w:fill="FFFFFF"/>
        </w:rPr>
        <w:t>(8), pp.1571-1583.</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Croucher, S.M., Bruno, A., McGrath, P., Adams, C., McGahan, C., Suits, A. and Huckins, A., 2012. Conflict styles and high–low context cultures: A cross-cultural extension. </w:t>
      </w:r>
      <w:r>
        <w:rPr>
          <w:rFonts w:ascii="Times New Roman" w:hAnsi="Times New Roman" w:cs="Times New Roman"/>
          <w:i/>
          <w:iCs/>
          <w:color w:val="222222"/>
          <w:sz w:val="24"/>
          <w:szCs w:val="24"/>
          <w:shd w:val="clear" w:color="auto" w:fill="FFFFFF"/>
        </w:rPr>
        <w:t>Communication Research Reports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29</w:t>
      </w:r>
      <w:r>
        <w:rPr>
          <w:rFonts w:ascii="Times New Roman" w:hAnsi="Times New Roman" w:cs="Times New Roman"/>
          <w:color w:val="222222"/>
          <w:sz w:val="24"/>
          <w:szCs w:val="24"/>
          <w:shd w:val="clear" w:color="auto" w:fill="FFFFFF"/>
        </w:rPr>
        <w:t>(1), pp.64–73.</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Deresky, H., (2002). </w:t>
      </w:r>
      <w:r>
        <w:rPr>
          <w:rFonts w:ascii="Times New Roman" w:hAnsi="Times New Roman" w:cs="Times New Roman"/>
          <w:i/>
          <w:iCs/>
          <w:color w:val="222222"/>
          <w:sz w:val="24"/>
          <w:szCs w:val="24"/>
          <w:shd w:val="clear" w:color="auto" w:fill="FFFFFF"/>
        </w:rPr>
        <w:t>Global Management: strategic and interpersonal</w:t>
      </w:r>
      <w:r>
        <w:rPr>
          <w:rFonts w:ascii="Times New Roman" w:hAnsi="Times New Roman" w:cs="Times New Roman"/>
          <w:color w:val="222222"/>
          <w:sz w:val="24"/>
          <w:szCs w:val="24"/>
          <w:shd w:val="clear" w:color="auto" w:fill="FFFFFF"/>
        </w:rPr>
        <w:t>. Prentice Hall.</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Ghauri, P., Strange, R. and Cooke, F.L., 2021. Research on international business: The new realities. </w:t>
      </w:r>
      <w:r>
        <w:rPr>
          <w:rFonts w:ascii="Times New Roman" w:hAnsi="Times New Roman" w:cs="Times New Roman"/>
          <w:i/>
          <w:iCs/>
          <w:color w:val="222222"/>
          <w:sz w:val="24"/>
          <w:szCs w:val="24"/>
          <w:shd w:val="clear" w:color="auto" w:fill="FFFFFF"/>
        </w:rPr>
        <w:t>International Business Review</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30</w:t>
      </w:r>
      <w:r>
        <w:rPr>
          <w:rFonts w:ascii="Times New Roman" w:hAnsi="Times New Roman" w:cs="Times New Roman"/>
          <w:color w:val="222222"/>
          <w:sz w:val="24"/>
          <w:szCs w:val="24"/>
          <w:shd w:val="clear" w:color="auto" w:fill="FFFFFF"/>
        </w:rPr>
        <w:t>(2), p.101794.</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Hammond, T.R. and Kleiner, B.H., (1992). Managing multicultural work environments. </w:t>
      </w:r>
      <w:r>
        <w:rPr>
          <w:rFonts w:ascii="Times New Roman" w:hAnsi="Times New Roman" w:cs="Times New Roman"/>
          <w:i/>
          <w:iCs/>
          <w:color w:val="222222"/>
          <w:sz w:val="24"/>
          <w:szCs w:val="24"/>
          <w:shd w:val="clear" w:color="auto" w:fill="FFFFFF"/>
        </w:rPr>
        <w:t>Equal Opportunities International</w:t>
      </w:r>
      <w:r>
        <w:rPr>
          <w:rFonts w:ascii="Times New Roman" w:hAnsi="Times New Roman" w:cs="Times New Roman"/>
          <w:color w:val="222222"/>
          <w:sz w:val="24"/>
          <w:szCs w:val="24"/>
          <w:shd w:val="clear" w:color="auto" w:fill="FFFFFF"/>
        </w:rPr>
        <w:t>.</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Hornikx, J. and le Pair, R., 2017. The influence of high-/low-context culture on perceived Ad complexity and liking. </w:t>
      </w:r>
      <w:r>
        <w:rPr>
          <w:rFonts w:ascii="Times New Roman" w:hAnsi="Times New Roman" w:cs="Times New Roman"/>
          <w:i/>
          <w:iCs/>
          <w:color w:val="222222"/>
          <w:sz w:val="24"/>
          <w:szCs w:val="24"/>
          <w:shd w:val="clear" w:color="auto" w:fill="FFFFFF"/>
        </w:rPr>
        <w:t>Journal of Global Marketing</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30</w:t>
      </w:r>
      <w:r>
        <w:rPr>
          <w:rFonts w:ascii="Times New Roman" w:hAnsi="Times New Roman" w:cs="Times New Roman"/>
          <w:color w:val="222222"/>
          <w:sz w:val="24"/>
          <w:szCs w:val="24"/>
          <w:shd w:val="clear" w:color="auto" w:fill="FFFFFF"/>
        </w:rPr>
        <w:t>(4), pp.228-237.</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Jayanthi, M. and Rajandran, K.V.R., Cultural Diversity Challenges: From Multicultural Team Perspective.</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Karjalainen, H., 2010. Can an organizational culture solve multicultural human resources management problems? </w:t>
      </w:r>
      <w:r>
        <w:rPr>
          <w:rFonts w:ascii="Times New Roman" w:hAnsi="Times New Roman" w:cs="Times New Roman"/>
          <w:i/>
          <w:iCs/>
          <w:color w:val="222222"/>
          <w:sz w:val="24"/>
          <w:szCs w:val="24"/>
          <w:shd w:val="clear" w:color="auto" w:fill="FFFFFF"/>
        </w:rPr>
        <w:t>Management international/Gestiòn Internacional/International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14</w:t>
      </w:r>
      <w:r>
        <w:rPr>
          <w:rFonts w:ascii="Times New Roman" w:hAnsi="Times New Roman" w:cs="Times New Roman"/>
          <w:color w:val="222222"/>
          <w:sz w:val="24"/>
          <w:szCs w:val="24"/>
          <w:shd w:val="clear" w:color="auto" w:fill="FFFFFF"/>
        </w:rPr>
        <w:t>(4), pp.99-114.</w:t>
      </w:r>
    </w:p>
    <w:p>
      <w:pPr>
        <w:spacing w:line="480" w:lineRule="auto"/>
        <w:ind w:left="720" w:hanging="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Kennedy, J. &amp; Everest, A.  (1996). Put diversity in context. </w:t>
      </w:r>
      <w:r>
        <w:rPr>
          <w:rStyle w:val="15"/>
          <w:rFonts w:ascii="Times New Roman" w:hAnsi="Times New Roman" w:cs="Times New Roman"/>
          <w:color w:val="000000"/>
          <w:sz w:val="24"/>
          <w:szCs w:val="24"/>
          <w:shd w:val="clear" w:color="auto" w:fill="FFFFFF"/>
        </w:rPr>
        <w:t>Personnel Journal</w:t>
      </w:r>
      <w:r>
        <w:rPr>
          <w:rFonts w:ascii="Times New Roman" w:hAnsi="Times New Roman" w:cs="Times New Roman"/>
          <w:color w:val="000000"/>
          <w:sz w:val="24"/>
          <w:szCs w:val="24"/>
          <w:shd w:val="clear" w:color="auto" w:fill="FFFFFF"/>
        </w:rPr>
        <w:t>, 75(3), 13-15</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Kittler, M.G., Rygl, D. and Mackinnon, A., 2011. Special Review Article: Beyond culture or control? Reviewing the use of Hall's high-/low-context concept. </w:t>
      </w:r>
      <w:r>
        <w:rPr>
          <w:rFonts w:ascii="Times New Roman" w:hAnsi="Times New Roman" w:cs="Times New Roman"/>
          <w:i/>
          <w:iCs/>
          <w:color w:val="222222"/>
          <w:sz w:val="24"/>
          <w:szCs w:val="24"/>
          <w:shd w:val="clear" w:color="auto" w:fill="FFFFFF"/>
        </w:rPr>
        <w:t>International Journal of Cross-Cultural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11</w:t>
      </w:r>
      <w:r>
        <w:rPr>
          <w:rFonts w:ascii="Times New Roman" w:hAnsi="Times New Roman" w:cs="Times New Roman"/>
          <w:color w:val="222222"/>
          <w:sz w:val="24"/>
          <w:szCs w:val="24"/>
          <w:shd w:val="clear" w:color="auto" w:fill="FFFFFF"/>
        </w:rPr>
        <w:t>(1), pp.63-82.</w:t>
      </w:r>
    </w:p>
    <w:p>
      <w:pPr>
        <w:spacing w:line="480" w:lineRule="auto"/>
        <w:ind w:left="720" w:hanging="720"/>
        <w:rPr>
          <w:rFonts w:ascii="Times New Roman" w:hAnsi="Times New Roman" w:cs="Times New Roman"/>
          <w:sz w:val="24"/>
          <w:szCs w:val="24"/>
        </w:rPr>
      </w:pPr>
      <w:r>
        <w:rPr>
          <w:rFonts w:ascii="Times New Roman" w:hAnsi="Times New Roman" w:cs="Times New Roman"/>
          <w:color w:val="222222"/>
          <w:sz w:val="24"/>
          <w:szCs w:val="24"/>
          <w:shd w:val="clear" w:color="auto" w:fill="FFFFFF"/>
        </w:rPr>
        <w:t>Kremez, Z., Frazer, L., Quach, S. and Thaichon, P., 2022. Collaboration, communication, support, and relationships in the context of e-commerce within the franchising sector. </w:t>
      </w:r>
      <w:r>
        <w:rPr>
          <w:rFonts w:ascii="Times New Roman" w:hAnsi="Times New Roman" w:cs="Times New Roman"/>
          <w:i/>
          <w:iCs/>
          <w:color w:val="222222"/>
          <w:sz w:val="24"/>
          <w:szCs w:val="24"/>
          <w:shd w:val="clear" w:color="auto" w:fill="FFFFFF"/>
        </w:rPr>
        <w:t>Journal of Strategic Marketing</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30</w:t>
      </w:r>
      <w:r>
        <w:rPr>
          <w:rFonts w:ascii="Times New Roman" w:hAnsi="Times New Roman" w:cs="Times New Roman"/>
          <w:color w:val="222222"/>
          <w:sz w:val="24"/>
          <w:szCs w:val="24"/>
          <w:shd w:val="clear" w:color="auto" w:fill="FFFFFF"/>
        </w:rPr>
        <w:t>(2), pp.137-159.</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Maleki, A. and de Jong, M., 2014. A proposal for clustering the dimensions of national culture. </w:t>
      </w:r>
      <w:r>
        <w:rPr>
          <w:rFonts w:ascii="Times New Roman" w:hAnsi="Times New Roman" w:cs="Times New Roman"/>
          <w:i/>
          <w:iCs/>
          <w:color w:val="222222"/>
          <w:sz w:val="24"/>
          <w:szCs w:val="24"/>
          <w:shd w:val="clear" w:color="auto" w:fill="FFFFFF"/>
        </w:rPr>
        <w:t>Cross-Cultural Research</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48</w:t>
      </w:r>
      <w:r>
        <w:rPr>
          <w:rFonts w:ascii="Times New Roman" w:hAnsi="Times New Roman" w:cs="Times New Roman"/>
          <w:color w:val="222222"/>
          <w:sz w:val="24"/>
          <w:szCs w:val="24"/>
          <w:shd w:val="clear" w:color="auto" w:fill="FFFFFF"/>
        </w:rPr>
        <w:t>(2), pp.107-143.</w:t>
      </w:r>
    </w:p>
    <w:p>
      <w:pPr>
        <w:shd w:val="clear" w:color="auto" w:fill="FFFFFF"/>
        <w:spacing w:after="0" w:line="480" w:lineRule="auto"/>
        <w:ind w:left="720" w:hanging="720"/>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Mariana.D. (2012). Trust and social capital in the virtual multicultural organization. Thesis. </w:t>
      </w:r>
    </w:p>
    <w:p>
      <w:pPr>
        <w:shd w:val="clear" w:color="auto" w:fill="FFFFFF"/>
        <w:spacing w:after="0" w:line="480" w:lineRule="auto"/>
        <w:ind w:left="720" w:hanging="720"/>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National School of Political Studies and Public Administration.</w:t>
      </w:r>
    </w:p>
    <w:p>
      <w:pPr>
        <w:shd w:val="clear" w:color="auto" w:fill="FFFFFF"/>
        <w:spacing w:after="0" w:line="480" w:lineRule="auto"/>
        <w:ind w:left="720" w:hanging="720"/>
        <w:rPr>
          <w:rFonts w:ascii="Times New Roman" w:hAnsi="Times New Roman" w:eastAsia="Times New Roman" w:cs="Times New Roman"/>
          <w:color w:val="000000"/>
          <w:sz w:val="24"/>
          <w:szCs w:val="24"/>
        </w:rPr>
      </w:pPr>
    </w:p>
    <w:p>
      <w:pPr>
        <w:shd w:val="clear" w:color="auto" w:fill="FFFFFF"/>
        <w:spacing w:after="0" w:line="480" w:lineRule="auto"/>
        <w:rPr>
          <w:rFonts w:ascii="Times New Roman" w:hAnsi="Times New Roman" w:eastAsia="Times New Roman" w:cs="Times New Roman"/>
          <w:color w:val="000000"/>
          <w:sz w:val="24"/>
          <w:szCs w:val="24"/>
        </w:rPr>
      </w:pPr>
      <w:r>
        <w:rPr>
          <w:rFonts w:ascii="Times New Roman" w:hAnsi="Times New Roman" w:cs="Times New Roman"/>
          <w:color w:val="222222"/>
          <w:sz w:val="24"/>
          <w:szCs w:val="24"/>
          <w:shd w:val="clear" w:color="auto" w:fill="FFFFFF"/>
        </w:rPr>
        <w:t>Martín, O.M., Chetty, S. and Bai, W., 2022. Foreign market entry knowledge and international performance: The mediating role of international market selection and network capability. </w:t>
      </w:r>
      <w:r>
        <w:rPr>
          <w:rFonts w:ascii="Times New Roman" w:hAnsi="Times New Roman" w:cs="Times New Roman"/>
          <w:i/>
          <w:iCs/>
          <w:color w:val="222222"/>
          <w:sz w:val="24"/>
          <w:szCs w:val="24"/>
          <w:shd w:val="clear" w:color="auto" w:fill="FFFFFF"/>
        </w:rPr>
        <w:t>Journal of World Business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57</w:t>
      </w:r>
      <w:r>
        <w:rPr>
          <w:rFonts w:ascii="Times New Roman" w:hAnsi="Times New Roman" w:cs="Times New Roman"/>
          <w:color w:val="222222"/>
          <w:sz w:val="24"/>
          <w:szCs w:val="24"/>
          <w:shd w:val="clear" w:color="auto" w:fill="FFFFFF"/>
        </w:rPr>
        <w:t>(2), p.101266.</w:t>
      </w:r>
    </w:p>
    <w:p>
      <w:pPr>
        <w:shd w:val="clear" w:color="auto" w:fill="FFFFFF"/>
        <w:spacing w:after="0" w:line="480" w:lineRule="auto"/>
        <w:rPr>
          <w:rFonts w:ascii="Times New Roman" w:hAnsi="Times New Roman" w:eastAsia="Times New Roman" w:cs="Times New Roman"/>
          <w:color w:val="000000"/>
          <w:sz w:val="24"/>
          <w:szCs w:val="24"/>
        </w:rPr>
      </w:pPr>
    </w:p>
    <w:p>
      <w:pPr>
        <w:shd w:val="clear" w:color="auto" w:fill="FFFFFF"/>
        <w:spacing w:after="0" w:line="480" w:lineRule="auto"/>
        <w:rPr>
          <w:rFonts w:ascii="Times New Roman" w:hAnsi="Times New Roman" w:eastAsia="Times New Roman" w:cs="Times New Roman"/>
          <w:color w:val="000000"/>
          <w:sz w:val="24"/>
          <w:szCs w:val="24"/>
        </w:rPr>
      </w:pPr>
      <w:r>
        <w:rPr>
          <w:rFonts w:ascii="Times New Roman" w:hAnsi="Times New Roman" w:cs="Times New Roman"/>
          <w:color w:val="222222"/>
          <w:sz w:val="24"/>
          <w:szCs w:val="24"/>
          <w:shd w:val="clear" w:color="auto" w:fill="FFFFFF"/>
        </w:rPr>
        <w:t>Neeley, T. and Reiche, B.S., 2022. How global leaders gain power through downward deference and reduction of social distance. </w:t>
      </w:r>
      <w:r>
        <w:rPr>
          <w:rFonts w:ascii="Times New Roman" w:hAnsi="Times New Roman" w:cs="Times New Roman"/>
          <w:i/>
          <w:iCs/>
          <w:color w:val="222222"/>
          <w:sz w:val="24"/>
          <w:szCs w:val="24"/>
          <w:shd w:val="clear" w:color="auto" w:fill="FFFFFF"/>
        </w:rPr>
        <w:t>Academy of Management Journal</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65</w:t>
      </w:r>
      <w:r>
        <w:rPr>
          <w:rFonts w:ascii="Times New Roman" w:hAnsi="Times New Roman" w:cs="Times New Roman"/>
          <w:color w:val="222222"/>
          <w:sz w:val="24"/>
          <w:szCs w:val="24"/>
          <w:shd w:val="clear" w:color="auto" w:fill="FFFFFF"/>
        </w:rPr>
        <w:t>(1), pp.11-34.</w:t>
      </w:r>
    </w:p>
    <w:p>
      <w:pPr>
        <w:spacing w:line="480" w:lineRule="auto"/>
        <w:rPr>
          <w:rFonts w:ascii="Times New Roman" w:hAnsi="Times New Roman" w:cs="Times New Roman"/>
          <w:color w:val="222222"/>
          <w:sz w:val="24"/>
          <w:szCs w:val="24"/>
          <w:shd w:val="clear" w:color="auto" w:fill="FFFFFF"/>
        </w:rPr>
      </w:pPr>
    </w:p>
    <w:p>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Puck, J.F., Kittler, M.G. and Wright, C., 2008. Does it really work? Re-assessing the impact of pre-departure cross-cultural training on expatriate adjustment. </w:t>
      </w:r>
      <w:r>
        <w:rPr>
          <w:rFonts w:ascii="Times New Roman" w:hAnsi="Times New Roman" w:cs="Times New Roman"/>
          <w:i/>
          <w:iCs/>
          <w:color w:val="222222"/>
          <w:sz w:val="24"/>
          <w:szCs w:val="24"/>
          <w:shd w:val="clear" w:color="auto" w:fill="FFFFFF"/>
        </w:rPr>
        <w:t>The International Journal of Human Resource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19</w:t>
      </w:r>
      <w:r>
        <w:rPr>
          <w:rFonts w:ascii="Times New Roman" w:hAnsi="Times New Roman" w:cs="Times New Roman"/>
          <w:color w:val="222222"/>
          <w:sz w:val="24"/>
          <w:szCs w:val="24"/>
          <w:shd w:val="clear" w:color="auto" w:fill="FFFFFF"/>
        </w:rPr>
        <w:t>(12), pp.2182-2197.</w:t>
      </w:r>
    </w:p>
    <w:p>
      <w:pPr>
        <w:shd w:val="clear" w:color="auto" w:fill="FFFFFF"/>
        <w:spacing w:after="0"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Trompenaars,  F.  &amp; Hampden-Turner,  C.  (1997),  Riding the  Waves  of  Culture: Understan  Cultural </w:t>
      </w:r>
    </w:p>
    <w:p>
      <w:pPr>
        <w:shd w:val="clear" w:color="auto" w:fill="FFFFFF"/>
        <w:spacing w:after="0"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Diversity in Business, Second Edition, London &amp; Santa Rosa, Nicholas Brealey Publishing </w:t>
      </w:r>
    </w:p>
    <w:p>
      <w:pPr>
        <w:shd w:val="clear" w:color="auto" w:fill="FFFFFF"/>
        <w:spacing w:after="0"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Limited</w:t>
      </w:r>
    </w:p>
    <w:p>
      <w:pPr>
        <w:shd w:val="clear" w:color="auto" w:fill="FFFFFF"/>
        <w:spacing w:after="0" w:line="480" w:lineRule="auto"/>
        <w:rPr>
          <w:rFonts w:ascii="Times New Roman" w:hAnsi="Times New Roman" w:eastAsia="Times New Roman" w:cs="Times New Roman"/>
          <w:color w:val="000000"/>
          <w:sz w:val="24"/>
          <w:szCs w:val="24"/>
        </w:rPr>
      </w:pPr>
    </w:p>
    <w:p>
      <w:pPr>
        <w:shd w:val="clear" w:color="auto" w:fill="FFFFFF"/>
        <w:spacing w:after="0"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Varner, I.I., 2011. </w:t>
      </w:r>
      <w:r>
        <w:rPr>
          <w:rFonts w:ascii="Times New Roman" w:hAnsi="Times New Roman" w:cs="Times New Roman"/>
          <w:i/>
          <w:iCs/>
          <w:color w:val="222222"/>
          <w:sz w:val="24"/>
          <w:szCs w:val="24"/>
          <w:shd w:val="clear" w:color="auto" w:fill="FFFFFF"/>
        </w:rPr>
        <w:t>Intercultural communication in the global workplace</w:t>
      </w:r>
      <w:r>
        <w:rPr>
          <w:rFonts w:ascii="Times New Roman" w:hAnsi="Times New Roman" w:cs="Times New Roman"/>
          <w:color w:val="222222"/>
          <w:sz w:val="24"/>
          <w:szCs w:val="24"/>
          <w:shd w:val="clear" w:color="auto" w:fill="FFFFFF"/>
        </w:rPr>
        <w:t>. McGraw-Hill Higher Education.</w:t>
      </w:r>
    </w:p>
    <w:p>
      <w:pPr>
        <w:shd w:val="clear" w:color="auto" w:fill="FFFFFF"/>
        <w:spacing w:after="0" w:line="480" w:lineRule="auto"/>
        <w:rPr>
          <w:rFonts w:ascii="Times New Roman" w:hAnsi="Times New Roman" w:cs="Times New Roman"/>
          <w:color w:val="222222"/>
          <w:sz w:val="24"/>
          <w:szCs w:val="24"/>
          <w:shd w:val="clear" w:color="auto" w:fill="FFFFFF"/>
        </w:rPr>
      </w:pPr>
    </w:p>
    <w:p>
      <w:pPr>
        <w:shd w:val="clear" w:color="auto" w:fill="FFFFFF"/>
        <w:spacing w:after="0"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Wilkinson, M.  (2007). Recognizing communication styles at their best and worst. This online </w:t>
      </w:r>
    </w:p>
    <w:p>
      <w:pPr>
        <w:shd w:val="clear" w:color="auto" w:fill="FFFFFF"/>
        <w:spacing w:after="0"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article based the on DiSC personality types was retrieved from the web on November 20, </w:t>
      </w:r>
    </w:p>
    <w:p>
      <w:pPr>
        <w:shd w:val="clear" w:color="auto" w:fill="FFFFFF"/>
        <w:spacing w:after="0"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2012</w:t>
      </w:r>
    </w:p>
    <w:p>
      <w:pPr>
        <w:shd w:val="clear" w:color="auto" w:fill="FFFFFF"/>
        <w:spacing w:after="0" w:line="480" w:lineRule="auto"/>
        <w:rPr>
          <w:rFonts w:ascii="Times New Roman" w:hAnsi="Times New Roman" w:eastAsia="Times New Roman" w:cs="Times New Roman"/>
          <w:color w:val="000000"/>
          <w:sz w:val="24"/>
          <w:szCs w:val="24"/>
        </w:rPr>
      </w:pPr>
    </w:p>
    <w:p>
      <w:pPr>
        <w:shd w:val="clear" w:color="auto" w:fill="FFFFFF"/>
        <w:spacing w:after="0" w:line="48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  </w:t>
      </w:r>
    </w:p>
    <w:p>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Yu, T. and Cannella Jr, A.A., 2007. Rivalry between multinational enterprises: An event history approach. </w:t>
      </w:r>
      <w:r>
        <w:rPr>
          <w:rFonts w:ascii="Times New Roman" w:hAnsi="Times New Roman" w:cs="Times New Roman"/>
          <w:i/>
          <w:iCs/>
          <w:color w:val="222222"/>
          <w:sz w:val="24"/>
          <w:szCs w:val="24"/>
          <w:shd w:val="clear" w:color="auto" w:fill="FFFFFF"/>
        </w:rPr>
        <w:t>Academy of Management Journal</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50</w:t>
      </w:r>
      <w:r>
        <w:rPr>
          <w:rFonts w:ascii="Times New Roman" w:hAnsi="Times New Roman" w:cs="Times New Roman"/>
          <w:color w:val="222222"/>
          <w:sz w:val="24"/>
          <w:szCs w:val="24"/>
          <w:shd w:val="clear" w:color="auto" w:fill="FFFFFF"/>
        </w:rPr>
        <w:t>(3), pp.665-686.</w:t>
      </w:r>
    </w:p>
    <w:p>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Zhang, Y. and Huxham, C., 2007. Identity and trust relations in international collaborations. In </w:t>
      </w:r>
      <w:r>
        <w:rPr>
          <w:rFonts w:ascii="Times New Roman" w:hAnsi="Times New Roman" w:cs="Times New Roman"/>
          <w:i/>
          <w:iCs/>
          <w:color w:val="222222"/>
          <w:sz w:val="24"/>
          <w:szCs w:val="24"/>
          <w:shd w:val="clear" w:color="auto" w:fill="FFFFFF"/>
        </w:rPr>
        <w:t>2007 Academy of Management Annual Meeting</w:t>
      </w:r>
      <w:r>
        <w:rPr>
          <w:rFonts w:ascii="Times New Roman" w:hAnsi="Times New Roman" w:cs="Times New Roman"/>
          <w:color w:val="222222"/>
          <w:sz w:val="24"/>
          <w:szCs w:val="24"/>
          <w:shd w:val="clear" w:color="auto" w:fill="FFFFFF"/>
        </w:rPr>
        <w:t>.</w:t>
      </w:r>
    </w:p>
    <w:p>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Zhang, Y. and Huxham, C., 2009. Identity construction and trust building in developing international collaborations. </w:t>
      </w:r>
      <w:r>
        <w:rPr>
          <w:rFonts w:ascii="Times New Roman" w:hAnsi="Times New Roman" w:cs="Times New Roman"/>
          <w:i/>
          <w:iCs/>
          <w:color w:val="222222"/>
          <w:sz w:val="24"/>
          <w:szCs w:val="24"/>
          <w:shd w:val="clear" w:color="auto" w:fill="FFFFFF"/>
        </w:rPr>
        <w:t>The Journal of Applied Behavioral Science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45</w:t>
      </w:r>
      <w:r>
        <w:rPr>
          <w:rFonts w:ascii="Times New Roman" w:hAnsi="Times New Roman" w:cs="Times New Roman"/>
          <w:color w:val="222222"/>
          <w:sz w:val="24"/>
          <w:szCs w:val="24"/>
          <w:shd w:val="clear" w:color="auto" w:fill="FFFFFF"/>
        </w:rPr>
        <w:t>(2), pp.186-211.</w:t>
      </w:r>
    </w:p>
    <w:p>
      <w:pPr>
        <w:spacing w:line="480" w:lineRule="auto"/>
        <w:rPr>
          <w:rFonts w:ascii="Times New Roman" w:hAnsi="Times New Roman" w:cs="Times New Roman"/>
          <w:sz w:val="24"/>
          <w:szCs w:val="24"/>
        </w:rPr>
      </w:pPr>
      <w:r>
        <w:rPr>
          <w:rFonts w:ascii="Times New Roman" w:hAnsi="Times New Roman" w:cs="Times New Roman"/>
          <w:color w:val="222222"/>
          <w:sz w:val="24"/>
          <w:szCs w:val="24"/>
          <w:shd w:val="clear" w:color="auto" w:fill="FFFFFF"/>
        </w:rPr>
        <w:t>Zhang, Ying, and Chris Huxham. "Collective identity construction in international collaborations." </w:t>
      </w:r>
      <w:r>
        <w:rPr>
          <w:rFonts w:ascii="Times New Roman" w:hAnsi="Times New Roman" w:cs="Times New Roman"/>
          <w:i/>
          <w:iCs/>
          <w:color w:val="222222"/>
          <w:sz w:val="24"/>
          <w:szCs w:val="24"/>
          <w:shd w:val="clear" w:color="auto" w:fill="FFFFFF"/>
        </w:rPr>
        <w:t>Journal of general Management</w:t>
      </w:r>
      <w:r>
        <w:rPr>
          <w:rFonts w:ascii="Times New Roman" w:hAnsi="Times New Roman" w:cs="Times New Roman"/>
          <w:color w:val="222222"/>
          <w:sz w:val="24"/>
          <w:szCs w:val="24"/>
          <w:shd w:val="clear" w:color="auto" w:fill="FFFFFF"/>
        </w:rPr>
        <w:t> 45, no. 3 (2020): 123-140.</w:t>
      </w: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p>
    <w:p>
      <w:pPr>
        <w:spacing w:line="480" w:lineRule="auto"/>
        <w:rPr>
          <w:rFonts w:ascii="Times New Roman" w:hAnsi="Times New Roman" w:cs="Times New Roman"/>
          <w:b/>
          <w:sz w:val="24"/>
          <w:szCs w:val="24"/>
        </w:rPr>
      </w:pPr>
    </w:p>
    <w:sectPr>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PMingLiU">
    <w:altName w:val="宋体"/>
    <w:panose1 w:val="00000000000000000000"/>
    <w:charset w:val="86"/>
    <w:family w:val="auto"/>
    <w:pitch w:val="default"/>
    <w:sig w:usb0="00000000" w:usb1="00000000" w:usb2="00000000" w:usb3="00000000" w:csb0="00000000" w:csb1="00000000"/>
  </w:font>
  <w:font w:name="Calibri Light">
    <w:panose1 w:val="020F03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jM5NGJmNjQxMjYyMDc4YWNmMTMzMWZkYzhkM2RhMTgifQ=="/>
  </w:docVars>
  <w:rsids>
    <w:rsidRoot w:val="00162724"/>
    <w:rsid w:val="00047D07"/>
    <w:rsid w:val="00162724"/>
    <w:rsid w:val="001C6CFF"/>
    <w:rsid w:val="00212534"/>
    <w:rsid w:val="002276CA"/>
    <w:rsid w:val="002856EB"/>
    <w:rsid w:val="0037014A"/>
    <w:rsid w:val="00415EFA"/>
    <w:rsid w:val="00433578"/>
    <w:rsid w:val="00445CDA"/>
    <w:rsid w:val="004563F3"/>
    <w:rsid w:val="005669ED"/>
    <w:rsid w:val="005D19B3"/>
    <w:rsid w:val="0064627B"/>
    <w:rsid w:val="006D1131"/>
    <w:rsid w:val="00713A25"/>
    <w:rsid w:val="007309FC"/>
    <w:rsid w:val="007360B6"/>
    <w:rsid w:val="00766D13"/>
    <w:rsid w:val="0077509B"/>
    <w:rsid w:val="007D1EC3"/>
    <w:rsid w:val="007D5981"/>
    <w:rsid w:val="007E0F31"/>
    <w:rsid w:val="008475E8"/>
    <w:rsid w:val="00871BBD"/>
    <w:rsid w:val="00906C56"/>
    <w:rsid w:val="009268AC"/>
    <w:rsid w:val="00AA0E63"/>
    <w:rsid w:val="00BC2E01"/>
    <w:rsid w:val="00C03F4F"/>
    <w:rsid w:val="00C352BD"/>
    <w:rsid w:val="00C849B9"/>
    <w:rsid w:val="00D329FE"/>
    <w:rsid w:val="00D37C49"/>
    <w:rsid w:val="00DD7C53"/>
    <w:rsid w:val="00E1025D"/>
    <w:rsid w:val="00F44325"/>
    <w:rsid w:val="00F878FA"/>
    <w:rsid w:val="00FD7E7F"/>
    <w:rsid w:val="0EA030D5"/>
    <w:rsid w:val="48B7487C"/>
    <w:rsid w:val="73D2750D"/>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US" w:eastAsia="zh-TW" w:bidi="ar-SA"/>
    </w:rPr>
  </w:style>
  <w:style w:type="paragraph" w:styleId="2">
    <w:name w:val="heading 1"/>
    <w:basedOn w:val="1"/>
    <w:next w:val="1"/>
    <w:link w:val="17"/>
    <w:qFormat/>
    <w:uiPriority w:val="9"/>
    <w:pPr>
      <w:keepNext/>
      <w:keepLines/>
      <w:spacing w:before="240" w:after="0"/>
      <w:outlineLvl w:val="0"/>
    </w:pPr>
    <w:rPr>
      <w:rFonts w:ascii="Times New Roman" w:hAnsi="Times New Roman" w:eastAsiaTheme="majorEastAsia" w:cstheme="majorBidi"/>
      <w:b/>
      <w:color w:val="000000" w:themeColor="text1"/>
      <w:sz w:val="32"/>
      <w:szCs w:val="32"/>
      <w14:textFill>
        <w14:solidFill>
          <w14:schemeClr w14:val="tx1"/>
        </w14:solidFill>
      </w14:textFill>
    </w:rPr>
  </w:style>
  <w:style w:type="paragraph" w:styleId="3">
    <w:name w:val="heading 2"/>
    <w:basedOn w:val="1"/>
    <w:next w:val="1"/>
    <w:link w:val="18"/>
    <w:unhideWhenUsed/>
    <w:qFormat/>
    <w:uiPriority w:val="9"/>
    <w:pPr>
      <w:keepNext/>
      <w:keepLines/>
      <w:spacing w:before="40" w:after="0"/>
      <w:outlineLvl w:val="1"/>
    </w:pPr>
    <w:rPr>
      <w:rFonts w:ascii="Times New Roman" w:hAnsi="Times New Roman" w:eastAsiaTheme="majorEastAsia" w:cstheme="majorBidi"/>
      <w:b/>
      <w:sz w:val="28"/>
      <w:szCs w:val="26"/>
    </w:rPr>
  </w:style>
  <w:style w:type="paragraph" w:styleId="4">
    <w:name w:val="heading 3"/>
    <w:basedOn w:val="1"/>
    <w:next w:val="1"/>
    <w:link w:val="19"/>
    <w:unhideWhenUsed/>
    <w:qFormat/>
    <w:uiPriority w:val="9"/>
    <w:pPr>
      <w:keepNext/>
      <w:keepLines/>
      <w:spacing w:before="40" w:after="0"/>
      <w:outlineLvl w:val="2"/>
    </w:pPr>
    <w:rPr>
      <w:rFonts w:ascii="Times New Roman" w:hAnsi="Times New Roman" w:eastAsiaTheme="majorEastAsia" w:cstheme="majorBidi"/>
      <w:color w:val="000000" w:themeColor="text1"/>
      <w:sz w:val="24"/>
      <w:szCs w:val="24"/>
      <w14:textFill>
        <w14:solidFill>
          <w14:schemeClr w14:val="tx1"/>
        </w14:solidFill>
      </w14:textFill>
    </w:rPr>
  </w:style>
  <w:style w:type="character" w:default="1" w:styleId="9">
    <w:name w:val="Default Paragraph Font"/>
    <w:semiHidden/>
    <w:unhideWhenUsed/>
    <w:uiPriority w:val="1"/>
  </w:style>
  <w:style w:type="table" w:default="1" w:styleId="8">
    <w:name w:val="Normal Table"/>
    <w:semiHidden/>
    <w:unhideWhenUsed/>
    <w:uiPriority w:val="99"/>
    <w:tblPr>
      <w:tblCellMar>
        <w:top w:w="0" w:type="dxa"/>
        <w:left w:w="108" w:type="dxa"/>
        <w:bottom w:w="0" w:type="dxa"/>
        <w:right w:w="108" w:type="dxa"/>
      </w:tblCellMar>
    </w:tblPr>
  </w:style>
  <w:style w:type="paragraph" w:styleId="5">
    <w:name w:val="toc 3"/>
    <w:basedOn w:val="1"/>
    <w:next w:val="1"/>
    <w:unhideWhenUsed/>
    <w:uiPriority w:val="39"/>
    <w:pPr>
      <w:spacing w:after="100"/>
      <w:ind w:left="440"/>
    </w:pPr>
  </w:style>
  <w:style w:type="paragraph" w:styleId="6">
    <w:name w:val="toc 1"/>
    <w:basedOn w:val="1"/>
    <w:next w:val="1"/>
    <w:unhideWhenUsed/>
    <w:uiPriority w:val="39"/>
    <w:pPr>
      <w:spacing w:after="100"/>
    </w:pPr>
  </w:style>
  <w:style w:type="paragraph" w:styleId="7">
    <w:name w:val="toc 2"/>
    <w:basedOn w:val="1"/>
    <w:next w:val="1"/>
    <w:unhideWhenUsed/>
    <w:uiPriority w:val="39"/>
    <w:pPr>
      <w:spacing w:after="100"/>
      <w:ind w:left="220"/>
    </w:pPr>
  </w:style>
  <w:style w:type="character" w:styleId="10">
    <w:name w:val="Hyperlink"/>
    <w:basedOn w:val="9"/>
    <w:unhideWhenUsed/>
    <w:uiPriority w:val="99"/>
    <w:rPr>
      <w:color w:val="0563C1" w:themeColor="hyperlink"/>
      <w:u w:val="single"/>
      <w14:textFill>
        <w14:solidFill>
          <w14:schemeClr w14:val="hlink"/>
        </w14:solidFill>
      </w14:textFill>
    </w:rPr>
  </w:style>
  <w:style w:type="paragraph" w:styleId="11">
    <w:name w:val="List Paragraph"/>
    <w:basedOn w:val="1"/>
    <w:qFormat/>
    <w:uiPriority w:val="34"/>
    <w:pPr>
      <w:ind w:left="720"/>
      <w:contextualSpacing/>
    </w:pPr>
  </w:style>
  <w:style w:type="character" w:customStyle="1" w:styleId="12">
    <w:name w:val="_"/>
    <w:basedOn w:val="9"/>
    <w:qFormat/>
    <w:uiPriority w:val="0"/>
  </w:style>
  <w:style w:type="character" w:customStyle="1" w:styleId="13">
    <w:name w:val="ff5"/>
    <w:basedOn w:val="9"/>
    <w:uiPriority w:val="0"/>
  </w:style>
  <w:style w:type="character" w:customStyle="1" w:styleId="14">
    <w:name w:val="ff4"/>
    <w:basedOn w:val="9"/>
    <w:uiPriority w:val="0"/>
  </w:style>
  <w:style w:type="character" w:customStyle="1" w:styleId="15">
    <w:name w:val="ff8"/>
    <w:basedOn w:val="9"/>
    <w:uiPriority w:val="0"/>
  </w:style>
  <w:style w:type="paragraph" w:styleId="16">
    <w:name w:val="No Spacing"/>
    <w:qFormat/>
    <w:uiPriority w:val="1"/>
    <w:pPr>
      <w:spacing w:after="0" w:line="240" w:lineRule="auto"/>
    </w:pPr>
    <w:rPr>
      <w:rFonts w:ascii="Times New Roman" w:hAnsi="Times New Roman" w:eastAsiaTheme="minorEastAsia" w:cstheme="minorBidi"/>
      <w:b/>
      <w:sz w:val="28"/>
      <w:szCs w:val="22"/>
      <w:lang w:val="en-US" w:eastAsia="zh-TW" w:bidi="ar-SA"/>
    </w:rPr>
  </w:style>
  <w:style w:type="character" w:customStyle="1" w:styleId="17">
    <w:name w:val="Heading 1 Char"/>
    <w:basedOn w:val="9"/>
    <w:link w:val="2"/>
    <w:uiPriority w:val="9"/>
    <w:rPr>
      <w:rFonts w:ascii="Times New Roman" w:hAnsi="Times New Roman" w:eastAsiaTheme="majorEastAsia" w:cstheme="majorBidi"/>
      <w:b/>
      <w:color w:val="000000" w:themeColor="text1"/>
      <w:sz w:val="32"/>
      <w:szCs w:val="32"/>
      <w14:textFill>
        <w14:solidFill>
          <w14:schemeClr w14:val="tx1"/>
        </w14:solidFill>
      </w14:textFill>
    </w:rPr>
  </w:style>
  <w:style w:type="character" w:customStyle="1" w:styleId="18">
    <w:name w:val="Heading 2 Char"/>
    <w:basedOn w:val="9"/>
    <w:link w:val="3"/>
    <w:qFormat/>
    <w:uiPriority w:val="9"/>
    <w:rPr>
      <w:rFonts w:ascii="Times New Roman" w:hAnsi="Times New Roman" w:eastAsiaTheme="majorEastAsia" w:cstheme="majorBidi"/>
      <w:b/>
      <w:sz w:val="28"/>
      <w:szCs w:val="26"/>
    </w:rPr>
  </w:style>
  <w:style w:type="character" w:customStyle="1" w:styleId="19">
    <w:name w:val="Heading 3 Char"/>
    <w:basedOn w:val="9"/>
    <w:link w:val="4"/>
    <w:uiPriority w:val="9"/>
    <w:rPr>
      <w:rFonts w:ascii="Times New Roman" w:hAnsi="Times New Roman" w:eastAsiaTheme="majorEastAsia" w:cstheme="majorBidi"/>
      <w:color w:val="000000" w:themeColor="text1"/>
      <w:sz w:val="24"/>
      <w:szCs w:val="24"/>
      <w14:textFill>
        <w14:solidFill>
          <w14:schemeClr w14:val="tx1"/>
        </w14:solidFill>
      </w14:textFill>
    </w:rPr>
  </w:style>
  <w:style w:type="paragraph" w:customStyle="1" w:styleId="20">
    <w:name w:val="TOC Heading"/>
    <w:basedOn w:val="2"/>
    <w:next w:val="1"/>
    <w:unhideWhenUsed/>
    <w:qFormat/>
    <w:uiPriority w:val="39"/>
    <w:pPr>
      <w:outlineLvl w:val="9"/>
    </w:pPr>
    <w:rPr>
      <w:rFonts w:asciiTheme="majorHAnsi" w:hAnsiTheme="majorHAnsi"/>
      <w:b w:val="0"/>
      <w:color w:val="2E75B6" w:themeColor="accent1" w:themeShade="BF"/>
      <w:lang w:eastAsia="en-US"/>
    </w:rPr>
  </w:style>
  <w:style w:type="character" w:customStyle="1" w:styleId="21">
    <w:name w:val="Book Title"/>
    <w:basedOn w:val="9"/>
    <w:qFormat/>
    <w:uiPriority w:val="33"/>
    <w:rPr>
      <w:b/>
      <w:bCs/>
      <w:i/>
      <w:iCs/>
      <w:spacing w:val="5"/>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191CE1-B9A0-452B-9FAA-9692E60100FF}">
  <ds:schemaRefs/>
</ds:datastoreItem>
</file>

<file path=docProps/app.xml><?xml version="1.0" encoding="utf-8"?>
<Properties xmlns="http://schemas.openxmlformats.org/officeDocument/2006/extended-properties" xmlns:vt="http://schemas.openxmlformats.org/officeDocument/2006/docPropsVTypes">
  <Template>Normal</Template>
  <Pages>20</Pages>
  <Words>4022</Words>
  <Characters>23954</Characters>
  <Lines>211</Lines>
  <Paragraphs>59</Paragraphs>
  <TotalTime>2</TotalTime>
  <ScaleCrop>false</ScaleCrop>
  <LinksUpToDate>false</LinksUpToDate>
  <CharactersWithSpaces>28035</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2022-12-13T10:47:00Z</dcterms:created>
  <dc:creator>user</dc:creator>
  <cp:lastModifiedBy>Awaken</cp:lastModifiedBy>
  <dcterms:modified xsi:type="dcterms:W3CDTF">2022-12-17T04:26:07Z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EE33EE24F1E8471983F151DB2179510F</vt:lpwstr>
  </property>
</Properties>
</file>