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411C" w:rsidRDefault="0007411C" w:rsidP="0007411C">
      <w:pPr>
        <w:spacing w:line="360" w:lineRule="auto"/>
        <w:jc w:val="both"/>
        <w:rPr>
          <w:rFonts w:ascii="Arial" w:hAnsi="Arial" w:cs="Arial"/>
        </w:rPr>
      </w:pPr>
      <w:r>
        <w:rPr>
          <w:rFonts w:ascii="Arial" w:hAnsi="Arial" w:cs="Arial"/>
        </w:rPr>
        <w:t>This essay looks at the role of advocacy and where their role falls in society and the use of guidelines they are to follow. Also, in this essay it will explore whether advocates should join the British Association of Social Work and Social Workers. Views will be shared on how both of the roles can work together promoting good practice and then will go on to discuss how the roles can face barriers when working alongside one another. An evaluation on how service users have found working with both advocates and social workers will be explored, for the purpose of this assignment the focus will be on young children an and the feedback they have shared from reporting studies. An example of theoretical perspectives will be highlighted showing how it can be used to relate to health and social care services and how they deliver their practice to service users and other individuals.</w:t>
      </w:r>
    </w:p>
    <w:p w:rsidR="0007411C" w:rsidRDefault="0007411C" w:rsidP="0007411C">
      <w:pPr>
        <w:spacing w:line="360" w:lineRule="auto"/>
        <w:jc w:val="both"/>
        <w:rPr>
          <w:rFonts w:ascii="Arial" w:hAnsi="Arial" w:cs="Arial"/>
        </w:rPr>
      </w:pPr>
    </w:p>
    <w:p w:rsidR="0007411C" w:rsidRDefault="0007411C" w:rsidP="0007411C">
      <w:pPr>
        <w:spacing w:line="360" w:lineRule="auto"/>
        <w:jc w:val="both"/>
        <w:rPr>
          <w:rFonts w:ascii="Arial" w:hAnsi="Arial" w:cs="Arial"/>
        </w:rPr>
      </w:pPr>
      <w:r>
        <w:rPr>
          <w:rFonts w:ascii="Arial" w:hAnsi="Arial" w:cs="Arial"/>
        </w:rPr>
        <w:t xml:space="preserve">Atkinson and Forbat (2005) explain how advocacy can be described as a different role to a social worker and is not social work, but when the roles are compared there are some similarities between the positions; advocacy’s principles and values can interlink closely to those whom work under and follow the guidelines of the British Association of Social Workers (BASW). Atkinson and Forbat (2003) reviewed the effectiveness of advocacy based on the findings from a research project that was held in Nottinghamshire. The research compared its data on how well advocates worked in a social work setting, and alongside working with a range of social work managers, practitioners and partners. In an advocacy environment where the advocate works alongside their client, the client’s views and wishes are the main element in the working relationship. In a social workers role however, they tend to give more direction and make choices on behalf of, whereas an advocate is restricted to making any decisions on behalf of the service user. It could be argued as to whether individuals feel disempowered by social workers and perhaps may in turn be given more autonomy within an advocacy setting, as advocates are more likely to empower the service user by enabling them to use their own voice. Social workers can overrule the individual’s decision (Kidder, 2009) if they feel it is in the best interest of the individual rather than represent the individuals wishes. One of the main conflict of interests in this scenario could be seen as the social worker overruling a decision on the client’s behalf when they are unhappy with the decision being made but then with an advocate setting the client could be making a decision that could be conflicting their best </w:t>
      </w:r>
      <w:r>
        <w:rPr>
          <w:rFonts w:ascii="Arial" w:hAnsi="Arial" w:cs="Arial"/>
        </w:rPr>
        <w:lastRenderedPageBreak/>
        <w:t xml:space="preserve">interests (Atkinson and Forbat, 2005). A social worker acting with a client-centred approach, would be responsible for </w:t>
      </w:r>
      <w:proofErr w:type="gramStart"/>
      <w:r>
        <w:rPr>
          <w:rFonts w:ascii="Arial" w:hAnsi="Arial" w:cs="Arial"/>
        </w:rPr>
        <w:t>making a decision</w:t>
      </w:r>
      <w:proofErr w:type="gramEnd"/>
      <w:r>
        <w:rPr>
          <w:rFonts w:ascii="Arial" w:hAnsi="Arial" w:cs="Arial"/>
        </w:rPr>
        <w:t xml:space="preserve"> on the individual’s behalf. </w:t>
      </w:r>
    </w:p>
    <w:p w:rsidR="0007411C" w:rsidRDefault="0007411C" w:rsidP="0007411C">
      <w:pPr>
        <w:spacing w:line="360" w:lineRule="auto"/>
        <w:jc w:val="both"/>
        <w:rPr>
          <w:rFonts w:ascii="Arial" w:hAnsi="Arial" w:cs="Arial"/>
        </w:rPr>
      </w:pPr>
    </w:p>
    <w:p w:rsidR="0007411C" w:rsidRDefault="0007411C" w:rsidP="0007411C">
      <w:pPr>
        <w:spacing w:line="360" w:lineRule="auto"/>
        <w:ind w:left="720"/>
        <w:jc w:val="both"/>
        <w:rPr>
          <w:rFonts w:ascii="Arial" w:hAnsi="Arial" w:cs="Arial"/>
        </w:rPr>
      </w:pPr>
      <w:r>
        <w:rPr>
          <w:rFonts w:ascii="Arial" w:hAnsi="Arial" w:cs="Arial"/>
        </w:rPr>
        <w:t>Advocates do not work in the best interests of the service users but work to their direction. Advocates listen, help service users explore options and support them to obtain information so that their decisions can be better informed (Barnes and Brandon, 2002, p. 40).</w:t>
      </w:r>
    </w:p>
    <w:p w:rsidR="0007411C" w:rsidRDefault="0007411C" w:rsidP="0007411C">
      <w:pPr>
        <w:spacing w:line="360" w:lineRule="auto"/>
        <w:ind w:left="720"/>
        <w:jc w:val="both"/>
        <w:rPr>
          <w:rFonts w:ascii="Arial" w:hAnsi="Arial" w:cs="Arial"/>
        </w:rPr>
      </w:pPr>
    </w:p>
    <w:p w:rsidR="0007411C" w:rsidRDefault="0007411C" w:rsidP="0007411C">
      <w:pPr>
        <w:spacing w:line="360" w:lineRule="auto"/>
        <w:jc w:val="both"/>
        <w:rPr>
          <w:rFonts w:ascii="Arial" w:hAnsi="Arial" w:cs="Arial"/>
        </w:rPr>
      </w:pPr>
      <w:r>
        <w:rPr>
          <w:rFonts w:ascii="Arial" w:hAnsi="Arial" w:cs="Arial"/>
        </w:rPr>
        <w:t xml:space="preserve">Mir and Nocon (2002) agree that advocacy can be described as a key empowerment service. Individuals find advocacy most effective where in a range of circumstances there might be a breakdown in communication and relationships for multiple reasons. Advocates can support an individual at a time where barriers to contact and communication would be needed the most. Advocates have a versatile position and can empower those whom are most in need of their services. Empowerment theories are important when understanding the socio-political differences in social work; incorporating empowerment methods into practice benefits not only the service user but the social worker giving both parties knowledge, values and important skills which helps to promote social justice (Turner and Maschi, 2014). There are many different people who may benefit from advocacy services. For example, an individual with a learning difficulty, an individual who is leaving an institutional care setting or an individual from a range of ages living in a residential care setting and may need support on a decision regarding their next steps. In particular hard to reach groups are at a higher risk of exclusion and most likely to receive poor treatment, sometimes this happens within the care services that have been put in place to safeguard vulnerable individuals, in addition to the society in which they live (Milbourne, 2002). </w:t>
      </w:r>
    </w:p>
    <w:p w:rsidR="0007411C" w:rsidRDefault="0007411C" w:rsidP="0007411C">
      <w:pPr>
        <w:spacing w:line="360" w:lineRule="auto"/>
        <w:jc w:val="both"/>
        <w:rPr>
          <w:rFonts w:ascii="Arial" w:hAnsi="Arial" w:cs="Arial"/>
        </w:rPr>
      </w:pPr>
    </w:p>
    <w:p w:rsidR="0007411C" w:rsidRDefault="0007411C" w:rsidP="0007411C">
      <w:pPr>
        <w:spacing w:line="360" w:lineRule="auto"/>
        <w:jc w:val="both"/>
        <w:rPr>
          <w:rFonts w:ascii="Arial" w:hAnsi="Arial" w:cs="Arial"/>
        </w:rPr>
      </w:pPr>
      <w:r>
        <w:rPr>
          <w:rFonts w:ascii="Arial" w:hAnsi="Arial" w:cs="Arial"/>
        </w:rPr>
        <w:t xml:space="preserve">Leader and Crosby (1998) describe advocates as the supporters and the service users as the leaders. There is much research and literature that proposes for advocates to be sufficient in their roles they need to remain an independent body. For an advocate to be able to support the individuals they work with they need to be able to act independently on the individual’s behalf without any specific structures or guidelines which may be of conflict when working under the BASW guidelines (Streeter and Franklin, 1992). An advocate is currently the only professional supporting role that can be independent of all health and social care services, advocates are also neutral of </w:t>
      </w:r>
      <w:r>
        <w:rPr>
          <w:rFonts w:ascii="Arial" w:hAnsi="Arial" w:cs="Arial"/>
        </w:rPr>
        <w:lastRenderedPageBreak/>
        <w:t>service users home life. In addition, they are in a position to be available to the individual in all aspects of the supporting role. Active listening, report writing, negotiating and a high standard of working knowledge of current legislation are some of the skills needed for good working practice within a professional advocacy role (Leader and Crosby, 1998).</w:t>
      </w:r>
    </w:p>
    <w:p w:rsidR="0007411C" w:rsidRDefault="0007411C" w:rsidP="0007411C">
      <w:pPr>
        <w:spacing w:line="360" w:lineRule="auto"/>
        <w:jc w:val="both"/>
        <w:rPr>
          <w:rFonts w:ascii="Arial" w:hAnsi="Arial" w:cs="Arial"/>
        </w:rPr>
      </w:pPr>
      <w:r>
        <w:rPr>
          <w:rFonts w:ascii="Arial" w:hAnsi="Arial" w:cs="Arial"/>
        </w:rPr>
        <w:t xml:space="preserve"> </w:t>
      </w:r>
    </w:p>
    <w:p w:rsidR="0007411C" w:rsidRDefault="0007411C" w:rsidP="0007411C">
      <w:pPr>
        <w:spacing w:line="360" w:lineRule="auto"/>
        <w:jc w:val="both"/>
        <w:rPr>
          <w:rFonts w:ascii="Arial" w:hAnsi="Arial" w:cs="Arial"/>
        </w:rPr>
      </w:pPr>
      <w:r>
        <w:rPr>
          <w:rFonts w:ascii="Arial" w:hAnsi="Arial" w:cs="Arial"/>
        </w:rPr>
        <w:t xml:space="preserve">Advocacy is currently starting to gain centre stage in most health and social care settings; however, it is apparent that advocacy has struggled to find its feet and it has been a rocky process to promote the importance of this vital service. For example, over the past 20 years advocacy has grown but due to insufficient funding, many projects have failed to thrive (Silverman and Patterson, 2011). Consequently, it could be argued that by being a part of another service body like the BASW there is more funding available and financial stability. Advocacy has currently been a key factor in the consideration and planning of new policy documentations, covering crucial subjects such as individuals with learning difficulties, mental health, young children, the elderly and carers. These services have emphasised the importance of advocates in the process of safeguarding vulnerable individuals; especially when facing </w:t>
      </w:r>
      <w:r w:rsidRPr="00191EAD">
        <w:rPr>
          <w:rFonts w:ascii="Arial" w:hAnsi="Arial" w:cs="Arial"/>
        </w:rPr>
        <w:t>parliamentary</w:t>
      </w:r>
      <w:r>
        <w:rPr>
          <w:rFonts w:ascii="Arial" w:hAnsi="Arial" w:cs="Arial"/>
        </w:rPr>
        <w:t xml:space="preserve"> powers, promoting advocacy in this instance can become very challenging (Wallack, 1993). The Department of Health has emphasised the importance of advocacy in different frameworks such as ‘Valuing People’ (Burtun and Kagan, 2006), the ‘National Service Framework for Mental Health’ and The White Paper that was introduced that helped to reform the Mental Health Act 1983 (Basset and Evans, 2009). </w:t>
      </w:r>
    </w:p>
    <w:p w:rsidR="0007411C" w:rsidRDefault="0007411C" w:rsidP="0007411C">
      <w:pPr>
        <w:spacing w:line="360" w:lineRule="auto"/>
        <w:jc w:val="both"/>
        <w:rPr>
          <w:rFonts w:ascii="Arial" w:hAnsi="Arial" w:cs="Arial"/>
        </w:rPr>
      </w:pPr>
    </w:p>
    <w:p w:rsidR="0007411C" w:rsidRDefault="0007411C" w:rsidP="0007411C">
      <w:pPr>
        <w:spacing w:line="360" w:lineRule="auto"/>
        <w:jc w:val="both"/>
        <w:rPr>
          <w:rFonts w:ascii="Arial" w:hAnsi="Arial" w:cs="Arial"/>
        </w:rPr>
      </w:pPr>
      <w:r>
        <w:rPr>
          <w:rFonts w:ascii="Arial" w:hAnsi="Arial" w:cs="Arial"/>
        </w:rPr>
        <w:t xml:space="preserve">Due to advocacy being so diverse, there have been some guidelines put in place to standardise good working practice. For example, there have been guidelines highlighted for practice under Good Practice in Citizen Advocacy (Brooke, 2002). Despite these guidelines there are no specific boundaries based around an advocate’s performance. For that reason, health and social care commissioners have had to monitor advocacy and its schemes.  A review of advocacy in various establishments such as Age UK (2020) and the Alzheimer’s Society (2020) have given key themes to reflect on. The findings are as follows; advocacy does work and makes a difference; the service is not always available to all in need and advocates tend to often feel that they are working in uncomfortable or hostile environments due to the fact their role </w:t>
      </w:r>
      <w:r>
        <w:rPr>
          <w:rFonts w:ascii="Arial" w:hAnsi="Arial" w:cs="Arial"/>
        </w:rPr>
        <w:lastRenderedPageBreak/>
        <w:t xml:space="preserve">often conflicts against health and social care workers. Further, advocates need more support to continue their roles in supporting some of society’s most vulnerable citizens (Atkinson and Forbat, 2003). </w:t>
      </w:r>
    </w:p>
    <w:p w:rsidR="0007411C" w:rsidRDefault="0007411C" w:rsidP="0007411C">
      <w:pPr>
        <w:spacing w:line="360" w:lineRule="auto"/>
        <w:jc w:val="both"/>
        <w:rPr>
          <w:rFonts w:ascii="Arial" w:hAnsi="Arial" w:cs="Arial"/>
        </w:rPr>
      </w:pPr>
    </w:p>
    <w:p w:rsidR="0007411C" w:rsidRPr="00912EFC" w:rsidRDefault="0007411C" w:rsidP="0007411C">
      <w:pPr>
        <w:spacing w:line="360" w:lineRule="auto"/>
        <w:jc w:val="both"/>
      </w:pPr>
      <w:r>
        <w:rPr>
          <w:rFonts w:ascii="Arial" w:hAnsi="Arial" w:cs="Arial"/>
        </w:rPr>
        <w:t xml:space="preserve">To improve advocacy services, research suggests that the general public need to be more educated on what advocacy is so individuals are aware of the service and what advocacy can provide for them (Oliver and Dalrymple, 2008). De Vita, Montilla, Reid and Fatiregun (2004) state that advocacy can sometimes be seen as a difficult role that endures a lot of stress and many advocates have expressed the role can be isolating. Advocates have found other professionals can become very defensive when being challenged by the advocate or the individual that is advocating for themselves. Some advocates have previously worked in health and social care roles and through a change of career found service users were reluctant to speak out and ask for an advocate as they did not want to be labelled as </w:t>
      </w:r>
      <w:r w:rsidRPr="002251A7">
        <w:rPr>
          <w:rFonts w:ascii="Arial" w:hAnsi="Arial" w:cs="Arial"/>
          <w:color w:val="000000" w:themeColor="text1"/>
        </w:rPr>
        <w:t>troublesome</w:t>
      </w:r>
      <w:r>
        <w:rPr>
          <w:rFonts w:ascii="Arial" w:hAnsi="Arial" w:cs="Arial"/>
          <w:color w:val="000000" w:themeColor="text1"/>
        </w:rPr>
        <w:t xml:space="preserve">. </w:t>
      </w:r>
      <w:r w:rsidRPr="002251A7">
        <w:rPr>
          <w:rFonts w:ascii="Arial" w:hAnsi="Arial" w:cs="Arial"/>
          <w:color w:val="000000" w:themeColor="text1"/>
        </w:rPr>
        <w:t>Advocates</w:t>
      </w:r>
      <w:r>
        <w:rPr>
          <w:rFonts w:ascii="Arial" w:hAnsi="Arial" w:cs="Arial"/>
        </w:rPr>
        <w:t xml:space="preserve"> often feel unsupported by health and social care professionals due to the stigma of them being in the opposition, this is due to advocates having to challenge the system and often speak up against other working professionals, this can also be known as multi-agency working and good practice (Atkinson and Forbat, 2004; Atkinson, Dohererty and Kinder, 2005). Challenging the system can be of great difficulty, for this reason it is questionable on how would an advocate’s role change if they were to join the BASW? There are many conflicts between advocates and social worker’s due to the ethics of the difference in practice. Multiple agencies have expressed the difficulties of working with social workers but more so working against them and other social work professionals </w:t>
      </w:r>
      <w:r w:rsidRPr="00912EFC">
        <w:rPr>
          <w:rFonts w:ascii="Arial" w:hAnsi="Arial" w:cs="Arial"/>
          <w:color w:val="000000"/>
          <w:shd w:val="clear" w:color="auto" w:fill="FFFFFF"/>
        </w:rPr>
        <w:t xml:space="preserve">(Pinkney </w:t>
      </w:r>
      <w:r w:rsidRPr="00444F3A">
        <w:rPr>
          <w:rFonts w:ascii="Arial" w:hAnsi="Arial" w:cs="Arial"/>
          <w:i/>
          <w:iCs/>
          <w:color w:val="000000"/>
          <w:shd w:val="clear" w:color="auto" w:fill="FFFFFF"/>
        </w:rPr>
        <w:t>et al</w:t>
      </w:r>
      <w:r w:rsidRPr="00912EFC">
        <w:rPr>
          <w:rFonts w:ascii="Arial" w:hAnsi="Arial" w:cs="Arial"/>
          <w:color w:val="000000"/>
          <w:shd w:val="clear" w:color="auto" w:fill="FFFFFF"/>
        </w:rPr>
        <w:t>., 2008)</w:t>
      </w:r>
      <w:r w:rsidRPr="00912EFC">
        <w:rPr>
          <w:rFonts w:ascii="Arial" w:hAnsi="Arial" w:cs="Arial"/>
        </w:rPr>
        <w:t xml:space="preserve">. </w:t>
      </w:r>
      <w:r>
        <w:rPr>
          <w:rFonts w:ascii="Arial" w:hAnsi="Arial" w:cs="Arial"/>
        </w:rPr>
        <w:t>There is specifically a conflict of interest due to social workers being thought of as advocates and advocating on the behalf of the service user, although this can be argued due to the definition of advocacy and how social workers make decisions on the service user’s behalf as discussed earlier. Citizen advocates disagree on this belief and believe that social workers cannot act as advocates. This can leave confusion on which professional body is approachable and who more beneficial when seeking support.</w:t>
      </w:r>
    </w:p>
    <w:p w:rsidR="0007411C" w:rsidRDefault="0007411C" w:rsidP="0007411C">
      <w:pPr>
        <w:spacing w:line="360" w:lineRule="auto"/>
        <w:jc w:val="both"/>
        <w:rPr>
          <w:rFonts w:ascii="Arial" w:hAnsi="Arial" w:cs="Arial"/>
        </w:rPr>
      </w:pPr>
    </w:p>
    <w:p w:rsidR="0007411C" w:rsidRDefault="0007411C" w:rsidP="0007411C">
      <w:pPr>
        <w:spacing w:line="360" w:lineRule="auto"/>
        <w:jc w:val="both"/>
        <w:rPr>
          <w:rFonts w:ascii="Arial" w:hAnsi="Arial" w:cs="Arial"/>
        </w:rPr>
      </w:pPr>
      <w:r>
        <w:rPr>
          <w:rFonts w:ascii="Arial" w:hAnsi="Arial" w:cs="Arial"/>
        </w:rPr>
        <w:t xml:space="preserve">Bateman (2000) argues that social workers can be compared to having advocating tendencies in their roles due to having to refer, whistle-blow, support individuals to speak up and represent their wishes. Advocacy partnerships often find they are having </w:t>
      </w:r>
      <w:r>
        <w:rPr>
          <w:rFonts w:ascii="Arial" w:hAnsi="Arial" w:cs="Arial"/>
        </w:rPr>
        <w:lastRenderedPageBreak/>
        <w:t>to advocate on the behalf of the individual or service user due to the social systems being disempowering. It is important for the social services to have a good working relationship with the advocate (Silverman, 2004). To give the social worker a briefing on the role of an advocate and how the advocate will be working may help the services to communicate and work alongside each other better without any hostility and collaborate on behalf of the best interests of the service user.</w:t>
      </w:r>
    </w:p>
    <w:p w:rsidR="0007411C" w:rsidRDefault="0007411C" w:rsidP="0007411C">
      <w:pPr>
        <w:spacing w:line="360" w:lineRule="auto"/>
        <w:jc w:val="both"/>
        <w:rPr>
          <w:rFonts w:ascii="Arial" w:hAnsi="Arial" w:cs="Arial"/>
        </w:rPr>
      </w:pPr>
    </w:p>
    <w:p w:rsidR="0007411C" w:rsidRDefault="0007411C" w:rsidP="0007411C">
      <w:pPr>
        <w:spacing w:line="360" w:lineRule="auto"/>
        <w:jc w:val="both"/>
        <w:rPr>
          <w:rFonts w:ascii="Arial" w:hAnsi="Arial" w:cs="Arial"/>
        </w:rPr>
      </w:pPr>
      <w:r>
        <w:rPr>
          <w:rFonts w:ascii="Arial" w:hAnsi="Arial" w:cs="Arial"/>
        </w:rPr>
        <w:t>T</w:t>
      </w:r>
      <w:r w:rsidRPr="00912EFC">
        <w:rPr>
          <w:rFonts w:ascii="Arial" w:hAnsi="Arial" w:cs="Arial"/>
        </w:rPr>
        <w:t>he Welsh Assembly government funded a study of children and young people up to the ages of 21 looking into the complaints that</w:t>
      </w:r>
      <w:r>
        <w:rPr>
          <w:rFonts w:ascii="Arial" w:hAnsi="Arial" w:cs="Arial"/>
        </w:rPr>
        <w:t xml:space="preserve"> were</w:t>
      </w:r>
      <w:r w:rsidRPr="00912EFC">
        <w:rPr>
          <w:rFonts w:ascii="Arial" w:hAnsi="Arial" w:cs="Arial"/>
        </w:rPr>
        <w:t xml:space="preserve"> made to the social services and young people’s experience of using independent advocacy services</w:t>
      </w:r>
      <w:r>
        <w:rPr>
          <w:rFonts w:ascii="Arial" w:hAnsi="Arial" w:cs="Arial"/>
        </w:rPr>
        <w:t xml:space="preserve"> </w:t>
      </w:r>
      <w:r w:rsidRPr="0023679E">
        <w:rPr>
          <w:rFonts w:ascii="Arial" w:hAnsi="Arial" w:cs="Arial"/>
          <w:color w:val="000000"/>
          <w:shd w:val="clear" w:color="auto" w:fill="FFFFFF"/>
        </w:rPr>
        <w:t>(Pithouse and Crowley, 2007)</w:t>
      </w:r>
      <w:r w:rsidRPr="00912EFC">
        <w:rPr>
          <w:rFonts w:ascii="Arial" w:hAnsi="Arial" w:cs="Arial"/>
        </w:rPr>
        <w:t xml:space="preserve">. This particular study is the first of its kind in Wales </w:t>
      </w:r>
      <w:r>
        <w:rPr>
          <w:rFonts w:ascii="Arial" w:hAnsi="Arial" w:cs="Arial"/>
        </w:rPr>
        <w:t>which means</w:t>
      </w:r>
      <w:r w:rsidRPr="00912EFC">
        <w:rPr>
          <w:rFonts w:ascii="Arial" w:hAnsi="Arial" w:cs="Arial"/>
        </w:rPr>
        <w:t xml:space="preserve"> </w:t>
      </w:r>
      <w:r>
        <w:rPr>
          <w:rFonts w:ascii="Arial" w:hAnsi="Arial" w:cs="Arial"/>
        </w:rPr>
        <w:t>there are</w:t>
      </w:r>
      <w:r w:rsidRPr="00912EFC">
        <w:rPr>
          <w:rFonts w:ascii="Arial" w:hAnsi="Arial" w:cs="Arial"/>
        </w:rPr>
        <w:t xml:space="preserve"> few studies to compare the data found in a wider context. The review also highlights how adults dominate the proceedings in the complaint sector and how a child is limited to having an advocate to support them in this situation. There is a need for a more child focused approaches that enables children to be able to speak freely and have their rights and voice heard </w:t>
      </w:r>
      <w:r w:rsidRPr="00912EFC">
        <w:rPr>
          <w:rFonts w:ascii="Arial" w:hAnsi="Arial" w:cs="Arial"/>
          <w:color w:val="000000"/>
          <w:shd w:val="clear" w:color="auto" w:fill="FFFFFF"/>
        </w:rPr>
        <w:t xml:space="preserve">(Pithouse </w:t>
      </w:r>
      <w:r w:rsidRPr="000B0E16">
        <w:rPr>
          <w:rFonts w:ascii="Arial" w:hAnsi="Arial" w:cs="Arial"/>
          <w:i/>
          <w:iCs/>
          <w:color w:val="000000"/>
          <w:shd w:val="clear" w:color="auto" w:fill="FFFFFF"/>
        </w:rPr>
        <w:t>et al</w:t>
      </w:r>
      <w:r w:rsidRPr="00912EFC">
        <w:rPr>
          <w:rFonts w:ascii="Arial" w:hAnsi="Arial" w:cs="Arial"/>
          <w:color w:val="000000"/>
          <w:shd w:val="clear" w:color="auto" w:fill="FFFFFF"/>
        </w:rPr>
        <w:t>., 2005)</w:t>
      </w:r>
      <w:r>
        <w:rPr>
          <w:rFonts w:ascii="Arial" w:hAnsi="Arial" w:cs="Arial"/>
        </w:rPr>
        <w:t xml:space="preserve">. Investigations that have scrutinised practice have helped to shape new policies for children and young people under the Children Act 1989 and the Adoption and Children Act 2002, which enables child care leavers or a child in need the right to an advocate when making a complaint; this entitlement is available until the young person reached the age of 21. In relation to this the Welsh Assembly has set up funding and distributed it between 22 councils in Wales. </w:t>
      </w:r>
    </w:p>
    <w:p w:rsidR="0007411C" w:rsidRDefault="0007411C" w:rsidP="0007411C">
      <w:pPr>
        <w:spacing w:line="360" w:lineRule="auto"/>
        <w:jc w:val="both"/>
        <w:rPr>
          <w:rFonts w:ascii="Arial" w:hAnsi="Arial" w:cs="Arial"/>
        </w:rPr>
      </w:pPr>
    </w:p>
    <w:p w:rsidR="0007411C" w:rsidRPr="0055786A" w:rsidRDefault="0007411C" w:rsidP="0007411C">
      <w:pPr>
        <w:shd w:val="clear" w:color="auto" w:fill="FFFFFF"/>
        <w:spacing w:line="360" w:lineRule="auto"/>
        <w:ind w:left="720"/>
        <w:jc w:val="both"/>
        <w:rPr>
          <w:rFonts w:ascii="Arial" w:hAnsi="Arial" w:cs="Arial"/>
          <w:color w:val="231F20"/>
        </w:rPr>
      </w:pPr>
      <w:r w:rsidRPr="0055786A">
        <w:rPr>
          <w:rFonts w:ascii="Arial" w:hAnsi="Arial" w:cs="Arial"/>
          <w:color w:val="231F20"/>
        </w:rPr>
        <w:t>Children are another socially silenced group: their</w:t>
      </w:r>
      <w:r>
        <w:rPr>
          <w:rFonts w:ascii="Arial" w:hAnsi="Arial" w:cs="Arial"/>
          <w:color w:val="231F20"/>
        </w:rPr>
        <w:t xml:space="preserve"> </w:t>
      </w:r>
      <w:r w:rsidRPr="0055786A">
        <w:rPr>
          <w:rFonts w:ascii="Arial" w:hAnsi="Arial" w:cs="Arial"/>
          <w:color w:val="231F20"/>
        </w:rPr>
        <w:t>opinions are not heard in the public sphere and they</w:t>
      </w:r>
      <w:r>
        <w:rPr>
          <w:rFonts w:ascii="Arial" w:hAnsi="Arial" w:cs="Arial"/>
          <w:color w:val="231F20"/>
        </w:rPr>
        <w:t xml:space="preserve"> </w:t>
      </w:r>
      <w:r w:rsidRPr="0055786A">
        <w:rPr>
          <w:rFonts w:ascii="Arial" w:hAnsi="Arial" w:cs="Arial"/>
          <w:color w:val="231F20"/>
        </w:rPr>
        <w:t>wield little power as a social group. Adults are</w:t>
      </w:r>
      <w:r>
        <w:rPr>
          <w:rFonts w:ascii="Arial" w:hAnsi="Arial" w:cs="Arial"/>
          <w:color w:val="231F20"/>
        </w:rPr>
        <w:t xml:space="preserve"> </w:t>
      </w:r>
      <w:r w:rsidRPr="0055786A">
        <w:rPr>
          <w:rFonts w:ascii="Arial" w:hAnsi="Arial" w:cs="Arial"/>
          <w:color w:val="231F20"/>
        </w:rPr>
        <w:t>generally more powerful relative to, and speciﬁcally</w:t>
      </w:r>
      <w:r>
        <w:rPr>
          <w:rFonts w:ascii="Arial" w:hAnsi="Arial" w:cs="Arial"/>
          <w:color w:val="231F20"/>
        </w:rPr>
        <w:t xml:space="preserve"> </w:t>
      </w:r>
      <w:r w:rsidRPr="0055786A">
        <w:rPr>
          <w:rFonts w:ascii="Arial" w:hAnsi="Arial" w:cs="Arial"/>
          <w:color w:val="231F20"/>
          <w:spacing w:val="-29"/>
        </w:rPr>
        <w:t>o</w:t>
      </w:r>
      <w:r>
        <w:rPr>
          <w:rFonts w:ascii="Arial" w:hAnsi="Arial" w:cs="Arial"/>
          <w:color w:val="231F20"/>
          <w:spacing w:val="-29"/>
        </w:rPr>
        <w:t>ve</w:t>
      </w:r>
      <w:r w:rsidRPr="0055786A">
        <w:rPr>
          <w:rStyle w:val="ls0"/>
          <w:rFonts w:ascii="Arial" w:hAnsi="Arial" w:cs="Arial"/>
          <w:color w:val="231F20"/>
        </w:rPr>
        <w:t>r</w:t>
      </w:r>
      <w:r>
        <w:rPr>
          <w:rStyle w:val="ls0"/>
          <w:rFonts w:ascii="Arial" w:hAnsi="Arial" w:cs="Arial"/>
          <w:color w:val="231F20"/>
        </w:rPr>
        <w:t xml:space="preserve">, children. </w:t>
      </w:r>
      <w:r w:rsidRPr="0055786A">
        <w:rPr>
          <w:rStyle w:val="ls0"/>
          <w:rFonts w:ascii="Arial" w:hAnsi="Arial" w:cs="Arial"/>
          <w:color w:val="231F20"/>
        </w:rPr>
        <w:t xml:space="preserve">(Aldred, </w:t>
      </w:r>
      <w:r w:rsidRPr="00D667C0">
        <w:rPr>
          <w:rStyle w:val="ls0"/>
          <w:rFonts w:ascii="Arial" w:hAnsi="Arial" w:cs="Arial"/>
          <w:i/>
          <w:iCs/>
          <w:color w:val="231F20"/>
        </w:rPr>
        <w:t>cited</w:t>
      </w:r>
      <w:r w:rsidRPr="0055786A">
        <w:rPr>
          <w:rStyle w:val="ls0"/>
          <w:rFonts w:ascii="Arial" w:hAnsi="Arial" w:cs="Arial"/>
          <w:color w:val="231F20"/>
        </w:rPr>
        <w:t xml:space="preserve"> in Ribbens &amp;</w:t>
      </w:r>
      <w:r>
        <w:rPr>
          <w:rFonts w:ascii="Arial" w:hAnsi="Arial" w:cs="Arial"/>
          <w:color w:val="231F20"/>
        </w:rPr>
        <w:t xml:space="preserve"> </w:t>
      </w:r>
      <w:r w:rsidRPr="0055786A">
        <w:rPr>
          <w:rFonts w:ascii="Arial" w:hAnsi="Arial" w:cs="Arial"/>
          <w:color w:val="231F20"/>
        </w:rPr>
        <w:t>Edwards, 1998: 47)</w:t>
      </w:r>
    </w:p>
    <w:p w:rsidR="0007411C" w:rsidRPr="00912EFC" w:rsidRDefault="0007411C" w:rsidP="0007411C">
      <w:pPr>
        <w:spacing w:line="360" w:lineRule="auto"/>
        <w:jc w:val="both"/>
      </w:pPr>
    </w:p>
    <w:p w:rsidR="0007411C" w:rsidRDefault="0007411C" w:rsidP="0007411C">
      <w:pPr>
        <w:spacing w:line="360" w:lineRule="auto"/>
        <w:jc w:val="both"/>
        <w:rPr>
          <w:rFonts w:ascii="Arial" w:hAnsi="Arial" w:cs="Arial"/>
        </w:rPr>
      </w:pPr>
      <w:r>
        <w:rPr>
          <w:rFonts w:ascii="Arial" w:hAnsi="Arial" w:cs="Arial"/>
        </w:rPr>
        <w:t xml:space="preserve">Furthermore, a survey was carried among the 22 local authorities mentioned above investigating the nature of complaints in the years 2003/2004 involving children and advocacy provision that supported them. There was a variation of children in need of services ranging in age, care status, gender and ethnic backgrounds. The complaints concerned were focused around disability, ethnicity and language. These complaints took place in 3 different stages; stage 1, problem solving within a service, stage 2, </w:t>
      </w:r>
      <w:r>
        <w:rPr>
          <w:rFonts w:ascii="Arial" w:hAnsi="Arial" w:cs="Arial"/>
        </w:rPr>
        <w:lastRenderedPageBreak/>
        <w:t xml:space="preserve">formal complaint involving an investigation and stage 3, a board meeting of professionals. The key findings of child led complaints were as follows; children in foster care or care leavers often raised concerns about where they were going to be relocated into a new placement, concerns were shared around the lack of contact between children and their biological parents when in a care setting, children being bullied by other children and behaviours from other service users and lastly poor communication amongst the local authority </w:t>
      </w:r>
      <w:r w:rsidRPr="0023679E">
        <w:rPr>
          <w:rFonts w:ascii="Arial" w:hAnsi="Arial" w:cs="Arial"/>
          <w:color w:val="000000"/>
          <w:shd w:val="clear" w:color="auto" w:fill="FFFFFF"/>
        </w:rPr>
        <w:t>(</w:t>
      </w:r>
      <w:r w:rsidRPr="00912EFC">
        <w:rPr>
          <w:rFonts w:ascii="Arial" w:hAnsi="Arial" w:cs="Arial"/>
          <w:color w:val="000000"/>
          <w:shd w:val="clear" w:color="auto" w:fill="FFFFFF"/>
        </w:rPr>
        <w:t xml:space="preserve">Pithouse </w:t>
      </w:r>
      <w:r w:rsidRPr="000F684A">
        <w:rPr>
          <w:rFonts w:ascii="Arial" w:hAnsi="Arial" w:cs="Arial"/>
          <w:i/>
          <w:iCs/>
          <w:color w:val="000000"/>
          <w:shd w:val="clear" w:color="auto" w:fill="FFFFFF"/>
        </w:rPr>
        <w:t>et al</w:t>
      </w:r>
      <w:r w:rsidRPr="00912EFC">
        <w:rPr>
          <w:rFonts w:ascii="Arial" w:hAnsi="Arial" w:cs="Arial"/>
          <w:color w:val="000000"/>
          <w:shd w:val="clear" w:color="auto" w:fill="FFFFFF"/>
        </w:rPr>
        <w:t>., 2005</w:t>
      </w:r>
      <w:r>
        <w:rPr>
          <w:rFonts w:ascii="Arial" w:hAnsi="Arial" w:cs="Arial"/>
          <w:color w:val="000000"/>
          <w:shd w:val="clear" w:color="auto" w:fill="FFFFFF"/>
        </w:rPr>
        <w:t xml:space="preserve">; </w:t>
      </w:r>
      <w:r w:rsidRPr="0023679E">
        <w:rPr>
          <w:rFonts w:ascii="Arial" w:hAnsi="Arial" w:cs="Arial"/>
          <w:color w:val="000000"/>
          <w:shd w:val="clear" w:color="auto" w:fill="FFFFFF"/>
        </w:rPr>
        <w:t>Pithouse and Crowley, 2007)</w:t>
      </w:r>
      <w:r>
        <w:rPr>
          <w:rFonts w:ascii="Arial" w:hAnsi="Arial" w:cs="Arial"/>
        </w:rPr>
        <w:t xml:space="preserve">. </w:t>
      </w:r>
    </w:p>
    <w:p w:rsidR="0007411C" w:rsidRDefault="0007411C" w:rsidP="0007411C">
      <w:pPr>
        <w:spacing w:line="360" w:lineRule="auto"/>
        <w:jc w:val="both"/>
        <w:rPr>
          <w:rFonts w:ascii="Arial" w:hAnsi="Arial" w:cs="Arial"/>
        </w:rPr>
      </w:pPr>
    </w:p>
    <w:p w:rsidR="0007411C" w:rsidRDefault="0007411C" w:rsidP="0007411C">
      <w:pPr>
        <w:spacing w:line="360" w:lineRule="auto"/>
        <w:jc w:val="both"/>
        <w:rPr>
          <w:rFonts w:ascii="Arial" w:hAnsi="Arial" w:cs="Arial"/>
        </w:rPr>
      </w:pPr>
      <w:r>
        <w:rPr>
          <w:rFonts w:ascii="Arial" w:hAnsi="Arial" w:cs="Arial"/>
        </w:rPr>
        <w:t xml:space="preserve">White and Featherstone (2005) explain how young people have expressed how the social services have failed to give them information relevant in regards to the complaint procedures, furthermore the young people expressed how they felt let down by the social services due to them not taking complaints seriously and young individuals felt as if they were not being listened to or taken seriously, often struggling to obtain simple answers from social workers. The social services didn’t necessarily encourage the young people to be speaking up for themselves and the majority of the advocacy services were found through different means such as leaflets, posters and cards, these sort of services, should be promoted to benefit the younger generation and give them their autonomy but instead there seems to be a breakdown of trust. Dworkin (1988) explains the Theory of Autonomy, to have autonomy one must be able to act independently and not have to be told by others on how to act, think nor what to do in regard to an individual’s health and well-being. </w:t>
      </w:r>
    </w:p>
    <w:p w:rsidR="0007411C" w:rsidRDefault="0007411C" w:rsidP="0007411C">
      <w:pPr>
        <w:spacing w:line="360" w:lineRule="auto"/>
        <w:jc w:val="both"/>
        <w:rPr>
          <w:rFonts w:ascii="Arial" w:hAnsi="Arial" w:cs="Arial"/>
        </w:rPr>
      </w:pPr>
    </w:p>
    <w:p w:rsidR="0007411C" w:rsidRDefault="0007411C" w:rsidP="0007411C">
      <w:pPr>
        <w:spacing w:line="360" w:lineRule="auto"/>
        <w:jc w:val="both"/>
        <w:rPr>
          <w:rFonts w:ascii="Arial" w:hAnsi="Arial" w:cs="Arial"/>
        </w:rPr>
      </w:pPr>
      <w:r>
        <w:rPr>
          <w:rFonts w:ascii="Arial" w:hAnsi="Arial" w:cs="Arial"/>
        </w:rPr>
        <w:t xml:space="preserve">Dalrymple (2004 a, b) pointed out that social workers and other related working professionals that worked alongside the complaints departments were in fact employees of the local authority and their roles where not independent which enabled them to freely advocate for those in need. Younger children found working with an advocate helped in building a more trusting relationship, children want to be able to use their voices and seek the right support, enabling them to gain confidence going forward and making further decisions around their futures. Bandura (1971) believes that behaviours are learned by young children through conditioning, observing and copying others around them this is otherwise known as the theory of modelling and continues to influence practice today by making others aware of the importance of role models. Vulnerable individuals need a strong independent body to advocate on their </w:t>
      </w:r>
      <w:r>
        <w:rPr>
          <w:rFonts w:ascii="Arial" w:hAnsi="Arial" w:cs="Arial"/>
        </w:rPr>
        <w:lastRenderedPageBreak/>
        <w:t xml:space="preserve">behalf without any conflict of interest. The majority of the complaints that had been made on the behalf of these children was about their social workers and the poor service they had received, most of the children felt their social workers did not advocate on their behalf. Due to these findings the Welsh government could see there was a strong need for advocacy services around wales to be endorsed within all care settings to support the welfare of these vulnerable young children.  </w:t>
      </w:r>
    </w:p>
    <w:p w:rsidR="0007411C" w:rsidRDefault="0007411C" w:rsidP="0007411C">
      <w:pPr>
        <w:spacing w:line="360" w:lineRule="auto"/>
        <w:jc w:val="both"/>
        <w:rPr>
          <w:rFonts w:ascii="Arial" w:hAnsi="Arial" w:cs="Arial"/>
        </w:rPr>
      </w:pPr>
    </w:p>
    <w:p w:rsidR="0007411C" w:rsidRPr="007F0835" w:rsidRDefault="0007411C" w:rsidP="0007411C">
      <w:pPr>
        <w:spacing w:line="360" w:lineRule="auto"/>
        <w:jc w:val="both"/>
        <w:rPr>
          <w:rFonts w:ascii="Arial" w:hAnsi="Arial" w:cs="Arial"/>
          <w:color w:val="FF0000"/>
        </w:rPr>
      </w:pPr>
      <w:r>
        <w:rPr>
          <w:rFonts w:ascii="Arial" w:hAnsi="Arial" w:cs="Arial"/>
        </w:rPr>
        <w:t xml:space="preserve">Lagaay and Courtney (2013) claim that child protection services have once again been put under scrutiny due to safeguarding failures. A serious of high-profile cases where exposed in Oxford, Rochdale and Edlington, in Rochdale a case was uncovered discovering a child sexual exploitation ring and although victims had disclosed the acts of sexual abuse to working professionals it seemed that the professionals did not act upon the information given to them. Many of the child victims had expressed the disappointment of the service they had received from essential care services, including the police. In a publication called ‘The Edlington Case’ a number of failings were also identified in the child protection system, where two young victims were assaulted in 2009. Due to the publicity of these cases the Secretary of State for Education had publicly announced evidence of the failings in the child protection system of how children are not given enough consideration to the concept of inclusive practice. In a policy context under the UN Convention Article 3 ‘Rights of the Child’ it explains how children should be at the forefront of all primary services. There are specific duties appointed to the local authority when it comes to the protection of children and the duties include the procedure of informing children of their rights when it comes to meetings and proceedings and informing them they are entitled to an advocate. </w:t>
      </w:r>
    </w:p>
    <w:p w:rsidR="0007411C" w:rsidRDefault="0007411C" w:rsidP="0007411C">
      <w:pPr>
        <w:spacing w:line="360" w:lineRule="auto"/>
        <w:jc w:val="both"/>
        <w:rPr>
          <w:rFonts w:ascii="Arial" w:hAnsi="Arial" w:cs="Arial"/>
        </w:rPr>
      </w:pPr>
    </w:p>
    <w:p w:rsidR="0007411C" w:rsidRDefault="0007411C" w:rsidP="0007411C">
      <w:pPr>
        <w:spacing w:line="360" w:lineRule="auto"/>
        <w:jc w:val="both"/>
        <w:rPr>
          <w:rFonts w:ascii="Arial" w:hAnsi="Arial" w:cs="Arial"/>
        </w:rPr>
      </w:pPr>
      <w:r>
        <w:rPr>
          <w:rFonts w:ascii="Arial" w:hAnsi="Arial" w:cs="Arial"/>
        </w:rPr>
        <w:t xml:space="preserve">To summarise research has shown throughout this essay that there is sufficient evidence on how a child’s voice in particular is frequently neglected by health and social care professionals which have led to the neglect of vulnerable individuals. In addition, the elderly is also exposed to exploitation in many institutional settings. This essay therefore demonstrates the need for independent advocates to be working in favour of all vulnerable people as an independent body as apposed to adhering to the BASW. The government and other authorities need to take more action around promoting advocacy services and letting the population know that such services exist </w:t>
      </w:r>
      <w:r>
        <w:rPr>
          <w:rFonts w:ascii="Arial" w:hAnsi="Arial" w:cs="Arial"/>
        </w:rPr>
        <w:lastRenderedPageBreak/>
        <w:t xml:space="preserve">and are there to advocate on their behalf. Advocacy seems to be a role that is in urgent need in the support process of enabling people’s voices to be heard and for their rights to be upheld. In view of this for advocates to support the service user from an impartial perspective with have no conflict of interest it is essential they remain independent to any other organisation. </w:t>
      </w:r>
    </w:p>
    <w:p w:rsidR="00C60656" w:rsidRDefault="00C60656">
      <w:bookmarkStart w:id="0" w:name="_GoBack"/>
      <w:bookmarkEnd w:id="0"/>
    </w:p>
    <w:sectPr w:rsidR="00C60656" w:rsidSect="0060019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11C"/>
    <w:rsid w:val="0007411C"/>
    <w:rsid w:val="00600194"/>
    <w:rsid w:val="00C60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F5FC25-615F-4249-9B5A-4EBB70C40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411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s0">
    <w:name w:val="ls0"/>
    <w:basedOn w:val="DefaultParagraphFont"/>
    <w:rsid w:val="000741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2907</Words>
  <Characters>15352</Characters>
  <Application>Microsoft Office Word</Application>
  <DocSecurity>0</DocSecurity>
  <Lines>568</Lines>
  <Paragraphs>56</Paragraphs>
  <ScaleCrop>false</ScaleCrop>
  <Company/>
  <LinksUpToDate>false</LinksUpToDate>
  <CharactersWithSpaces>18203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2020-08-04T20:56:00Z</dcterms:created>
  <dcterms:modified xsi:type="dcterms:W3CDTF">2020-08-04T20:57:00Z</dcterms:modified>
</cp:coreProperties>
</file>