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7285D0" w14:textId="19CCD922" w:rsidR="006D7F5D" w:rsidRPr="002C260D" w:rsidRDefault="002C260D" w:rsidP="002C260D">
      <w:pPr>
        <w:spacing w:line="360" w:lineRule="auto"/>
        <w:jc w:val="center"/>
        <w:rPr>
          <w:b/>
          <w:bCs/>
          <w:sz w:val="28"/>
          <w:szCs w:val="28"/>
        </w:rPr>
      </w:pPr>
      <w:r w:rsidRPr="002C260D">
        <w:rPr>
          <w:b/>
          <w:bCs/>
          <w:sz w:val="28"/>
          <w:szCs w:val="28"/>
        </w:rPr>
        <w:t>Reflective Account</w:t>
      </w:r>
    </w:p>
    <w:p w14:paraId="15EDF6E4" w14:textId="65255447" w:rsidR="002C260D" w:rsidRDefault="002C260D" w:rsidP="002C260D">
      <w:pPr>
        <w:spacing w:line="360" w:lineRule="auto"/>
      </w:pPr>
    </w:p>
    <w:p w14:paraId="641F249F" w14:textId="77777777" w:rsidR="002C260D" w:rsidRDefault="002C260D" w:rsidP="002C260D">
      <w:pPr>
        <w:spacing w:line="360" w:lineRule="auto"/>
      </w:pPr>
    </w:p>
    <w:p w14:paraId="28E5F1E2" w14:textId="2FCD6663" w:rsidR="00372915" w:rsidRDefault="00372915" w:rsidP="002C260D">
      <w:pPr>
        <w:spacing w:line="360" w:lineRule="auto"/>
      </w:pPr>
      <w:r>
        <w:t>In this reflection on my micro-teach lesson, I will be using Gibbs’ (1988) reflective cycle theory to discuss my view on how the lesson went. To do this</w:t>
      </w:r>
      <w:r w:rsidR="002C260D">
        <w:t>,</w:t>
      </w:r>
      <w:r>
        <w:t xml:space="preserve"> I will use feedback provided by my peers and by lecturers alongside my views. I will be using Gibb’s theory to structure my reflection by describing my lesson, discussing my feelings, evaluating the lesson both good and bad, analysing the situation, a conclusion on what I have learned from the lesson and finally an action plan of what I would change for next time. I will be using relevant resources to help support my views and feelings.</w:t>
      </w:r>
    </w:p>
    <w:p w14:paraId="187D3FA0" w14:textId="77777777" w:rsidR="00372915" w:rsidRDefault="00372915" w:rsidP="002C260D">
      <w:pPr>
        <w:spacing w:line="360" w:lineRule="auto"/>
      </w:pPr>
    </w:p>
    <w:p w14:paraId="17FE8C68" w14:textId="77777777" w:rsidR="00372915" w:rsidRPr="00372915" w:rsidRDefault="00372915" w:rsidP="002C260D">
      <w:pPr>
        <w:spacing w:line="360" w:lineRule="auto"/>
        <w:rPr>
          <w:b/>
          <w:bCs/>
        </w:rPr>
      </w:pPr>
      <w:r w:rsidRPr="00372915">
        <w:rPr>
          <w:b/>
          <w:bCs/>
        </w:rPr>
        <w:t>Description</w:t>
      </w:r>
    </w:p>
    <w:p w14:paraId="1B5D3CDD" w14:textId="77777777" w:rsidR="00372915" w:rsidRDefault="00372915" w:rsidP="002C260D">
      <w:pPr>
        <w:spacing w:line="360" w:lineRule="auto"/>
      </w:pPr>
      <w:r>
        <w:t xml:space="preserve"> </w:t>
      </w:r>
    </w:p>
    <w:p w14:paraId="62F49DE9" w14:textId="7C67A90E" w:rsidR="00372915" w:rsidRDefault="00372915" w:rsidP="002C260D">
      <w:pPr>
        <w:spacing w:line="360" w:lineRule="auto"/>
      </w:pPr>
      <w:r>
        <w:t xml:space="preserve">After completing my micro-teaching </w:t>
      </w:r>
      <w:r w:rsidR="002C260D">
        <w:t>session,</w:t>
      </w:r>
      <w:r>
        <w:t xml:space="preserve"> I received an array of feedback from my peers and lectures. My focus for the micro-teach was to provide knowledge to the class on football however I wanted to specifically target football passing. Due to my passion for football, I had background knowledge that I applied to my PowerPoint presentation which included my aims, learning outcomes, a brainstorming activity, background knowledge on football passes, a practical session and a Kahoot quiz to conclude. The PowerPoint presentation was bilingual which gave my peers the option to read or listen in their preferred language. I ensured to include background knowledge on football passes as I thought it was important to include knowledge on the subject due to numerous studies confirming the importance of background knowledge and achievement, Marzano (2004, p.2). Following brief background knowledge on my chosen subject I decided to do a practical session with the class. Research by Parsons (2024) demonstrates that children respond better to practical activities due to their learning through experience. To ensure that everyone was engaged in my micro-teach I encouraged everyone to take part in practicing different passes between peers. From this Student A stated that they “loved the practical aspect”, due to the use of visualised learning which works best for them. Additionally, I ensured to walk around the classroom to observe and help anybody who was struggling </w:t>
      </w:r>
      <w:r>
        <w:lastRenderedPageBreak/>
        <w:t xml:space="preserve">with the task. The outcome of the task meant that Student B stated that “doing the activity didn’t make us feel stupid, you were very encouraging”. </w:t>
      </w:r>
    </w:p>
    <w:p w14:paraId="5D5AD340" w14:textId="77777777" w:rsidR="00372915" w:rsidRDefault="00372915" w:rsidP="002C260D">
      <w:pPr>
        <w:spacing w:line="360" w:lineRule="auto"/>
      </w:pPr>
    </w:p>
    <w:p w14:paraId="006735C4" w14:textId="77777777" w:rsidR="00372915" w:rsidRPr="00372915" w:rsidRDefault="00372915" w:rsidP="002C260D">
      <w:pPr>
        <w:spacing w:line="360" w:lineRule="auto"/>
        <w:rPr>
          <w:b/>
          <w:bCs/>
        </w:rPr>
      </w:pPr>
      <w:r w:rsidRPr="00372915">
        <w:rPr>
          <w:b/>
          <w:bCs/>
        </w:rPr>
        <w:t xml:space="preserve">Feelings </w:t>
      </w:r>
    </w:p>
    <w:p w14:paraId="128648D1" w14:textId="77777777" w:rsidR="00372915" w:rsidRDefault="00372915" w:rsidP="002C260D">
      <w:pPr>
        <w:spacing w:line="360" w:lineRule="auto"/>
      </w:pPr>
    </w:p>
    <w:p w14:paraId="44A43EA3" w14:textId="77777777" w:rsidR="00372915" w:rsidRDefault="00372915" w:rsidP="002C260D">
      <w:pPr>
        <w:spacing w:line="360" w:lineRule="auto"/>
      </w:pPr>
      <w:r>
        <w:t>Although I was apprehensive and nervous about how the micro-teach lesson was going to go, overall, I was happy with how I presented my ideas to the class. When preparing for the lesson, I was told that it would be good if I could deliver the lesson bilingually which I agreed was a great idea to support the Welsh Government's (2024), target to increase the number of Welsh speakers to 1 million by 2050. However, this made me feel very nervous and made me stumble over my words due to me not using the Welsh language since I left comprehensive school 3 years ago. I presented the PowerPoint presentation bilingually, which gave my peers the option to read or listen in their preferred language. Despite my nerves, feedback praised my ability to deliver the lesson in both English and Welsh stating that there was “good use of Welsh” throughout my session, which gave me a confidence boost which will encourage me to do my future lessons in both English and Welsh. However, next time I would ensure to make two separate boxes so that both languages are split and easier to read.</w:t>
      </w:r>
    </w:p>
    <w:p w14:paraId="6C03CAB6" w14:textId="77777777" w:rsidR="00372915" w:rsidRDefault="00372915" w:rsidP="002C260D">
      <w:pPr>
        <w:spacing w:line="360" w:lineRule="auto"/>
      </w:pPr>
    </w:p>
    <w:p w14:paraId="68848FD1" w14:textId="77777777" w:rsidR="00372915" w:rsidRDefault="00372915" w:rsidP="002C260D">
      <w:pPr>
        <w:spacing w:line="360" w:lineRule="auto"/>
      </w:pPr>
    </w:p>
    <w:p w14:paraId="408E2DC0" w14:textId="77777777" w:rsidR="00372915" w:rsidRPr="00372915" w:rsidRDefault="00372915" w:rsidP="002C260D">
      <w:pPr>
        <w:spacing w:line="360" w:lineRule="auto"/>
        <w:rPr>
          <w:b/>
          <w:bCs/>
        </w:rPr>
      </w:pPr>
      <w:r w:rsidRPr="00372915">
        <w:rPr>
          <w:b/>
          <w:bCs/>
        </w:rPr>
        <w:t xml:space="preserve">Evaluation </w:t>
      </w:r>
    </w:p>
    <w:p w14:paraId="297DFD03" w14:textId="77777777" w:rsidR="00372915" w:rsidRDefault="00372915" w:rsidP="002C260D">
      <w:pPr>
        <w:spacing w:line="360" w:lineRule="auto"/>
      </w:pPr>
    </w:p>
    <w:p w14:paraId="616022E5" w14:textId="77777777" w:rsidR="00372915" w:rsidRDefault="00372915" w:rsidP="002C260D">
      <w:pPr>
        <w:spacing w:line="360" w:lineRule="auto"/>
      </w:pPr>
      <w:r>
        <w:t xml:space="preserve">Overall, my microteach experience was good. Gibbs’ theory explains the importance of evaluating situations due to it providing an understanding of what went well and not well, </w:t>
      </w:r>
      <w:proofErr w:type="spellStart"/>
      <w:r>
        <w:t>d’Estrée</w:t>
      </w:r>
      <w:proofErr w:type="spellEnd"/>
      <w:r>
        <w:t xml:space="preserve"> et al., (2003). I received many points of positive feedback which highlighted that my lesson's aims and outcomes linked together and were at a good level for the class I was teaching. Additionally, I received positive feedback that my use of assessment strategies was good however, it was brought to my attention that I should have considered the fitness level of my group for future sessions to ensure that everybody felt comfortable with the activities.</w:t>
      </w:r>
    </w:p>
    <w:p w14:paraId="40279DFB" w14:textId="77777777" w:rsidR="00372915" w:rsidRDefault="00372915" w:rsidP="002C260D">
      <w:pPr>
        <w:spacing w:line="360" w:lineRule="auto"/>
      </w:pPr>
    </w:p>
    <w:p w14:paraId="4AE48A83" w14:textId="77777777" w:rsidR="00372915" w:rsidRPr="00372915" w:rsidRDefault="00372915" w:rsidP="002C260D">
      <w:pPr>
        <w:spacing w:line="360" w:lineRule="auto"/>
        <w:rPr>
          <w:b/>
          <w:bCs/>
        </w:rPr>
      </w:pPr>
      <w:r w:rsidRPr="00372915">
        <w:rPr>
          <w:b/>
          <w:bCs/>
        </w:rPr>
        <w:t>Analysis</w:t>
      </w:r>
    </w:p>
    <w:p w14:paraId="3CA2A5BF" w14:textId="77777777" w:rsidR="00372915" w:rsidRDefault="00372915" w:rsidP="002C260D">
      <w:pPr>
        <w:spacing w:line="360" w:lineRule="auto"/>
      </w:pPr>
    </w:p>
    <w:p w14:paraId="46BD6847" w14:textId="77777777" w:rsidR="00372915" w:rsidRDefault="00372915" w:rsidP="002C260D">
      <w:pPr>
        <w:spacing w:line="360" w:lineRule="auto"/>
      </w:pPr>
      <w:r>
        <w:t>On reflection of my microteach things overall went very well. Due to my nerves when starting the session, my introduction didn’t take as long to explain as I hoped which meant that I had to resolve this issue by thinking on the spot and extending my practical session by around 6 minutes. Feedback noted that instead of extending the practical session, I could have included students more in my introduction using a Q&amp;A. This would have been a beneficial tactic through enabling engagement and personalization to the session, Belanger (2023).</w:t>
      </w:r>
    </w:p>
    <w:p w14:paraId="6B56481A" w14:textId="77777777" w:rsidR="00372915" w:rsidRDefault="00372915" w:rsidP="002C260D">
      <w:pPr>
        <w:spacing w:line="360" w:lineRule="auto"/>
      </w:pPr>
    </w:p>
    <w:p w14:paraId="68190541" w14:textId="77777777" w:rsidR="00372915" w:rsidRPr="00372915" w:rsidRDefault="00372915" w:rsidP="002C260D">
      <w:pPr>
        <w:spacing w:line="360" w:lineRule="auto"/>
        <w:rPr>
          <w:b/>
          <w:bCs/>
        </w:rPr>
      </w:pPr>
      <w:r w:rsidRPr="00372915">
        <w:rPr>
          <w:b/>
          <w:bCs/>
        </w:rPr>
        <w:t xml:space="preserve">Conclusion </w:t>
      </w:r>
    </w:p>
    <w:p w14:paraId="22EB798A" w14:textId="77777777" w:rsidR="00372915" w:rsidRDefault="00372915" w:rsidP="002C260D">
      <w:pPr>
        <w:spacing w:line="360" w:lineRule="auto"/>
      </w:pPr>
    </w:p>
    <w:p w14:paraId="3EA25E54" w14:textId="23F5B347" w:rsidR="00372915" w:rsidRDefault="00372915" w:rsidP="002C260D">
      <w:pPr>
        <w:spacing w:line="360" w:lineRule="auto"/>
      </w:pPr>
      <w:r>
        <w:t xml:space="preserve">Through this experience, I learnt that I </w:t>
      </w:r>
      <w:r w:rsidR="002C260D">
        <w:t>could</w:t>
      </w:r>
      <w:r>
        <w:t xml:space="preserve"> speak confidently and comfortably in front of a large group of people. Additionally, feedback highlighted that due to my experience with my topic, I could explain to students the instructions they needed to follow in different ways to suit their learning style which is important due to some people learn better through visual examples and others learn better through verbal learning, Kirby et al., (1988). Although I was happy with how my lesson went overall, feedback from both peers and lecturers demonstrated that I should have put my aims and outcomes for the session at the end of the microteach so that students could see what they achieved throughout my lesson. This would have helped students feel a sense of achievement and motivation from the activities that they had taken part in, </w:t>
      </w:r>
      <w:proofErr w:type="spellStart"/>
      <w:r>
        <w:t>Steinmayr</w:t>
      </w:r>
      <w:proofErr w:type="spellEnd"/>
      <w:r>
        <w:t xml:space="preserve"> et al., (2009).</w:t>
      </w:r>
    </w:p>
    <w:p w14:paraId="76098305" w14:textId="77777777" w:rsidR="00372915" w:rsidRDefault="00372915" w:rsidP="002C260D">
      <w:pPr>
        <w:spacing w:line="360" w:lineRule="auto"/>
      </w:pPr>
    </w:p>
    <w:p w14:paraId="65F45418" w14:textId="77777777" w:rsidR="00372915" w:rsidRPr="00372915" w:rsidRDefault="00372915" w:rsidP="002C260D">
      <w:pPr>
        <w:spacing w:line="360" w:lineRule="auto"/>
        <w:rPr>
          <w:b/>
          <w:bCs/>
        </w:rPr>
      </w:pPr>
      <w:r w:rsidRPr="00372915">
        <w:rPr>
          <w:b/>
          <w:bCs/>
        </w:rPr>
        <w:t>Action plan</w:t>
      </w:r>
    </w:p>
    <w:p w14:paraId="694B1188" w14:textId="77777777" w:rsidR="00372915" w:rsidRDefault="00372915" w:rsidP="002C260D">
      <w:pPr>
        <w:spacing w:line="360" w:lineRule="auto"/>
      </w:pPr>
    </w:p>
    <w:p w14:paraId="7FEC6F0F" w14:textId="77777777" w:rsidR="00372915" w:rsidRDefault="00372915" w:rsidP="002C260D">
      <w:pPr>
        <w:spacing w:line="360" w:lineRule="auto"/>
      </w:pPr>
      <w:r>
        <w:t xml:space="preserve">In the future, I would ensure that I had access to a bigger, more appropriate room or an outdoor area to carry out the activity. After reading my feedback it was brought to my attention that the room was too small for the activity that I planned due to outlining risks in the room when kicking a football. From this, an outdoor area would be beneficial due to individuals experiencing hands-on learning in a different environment to a classroom which sparks motivation and improved social skills, </w:t>
      </w:r>
      <w:proofErr w:type="spellStart"/>
      <w:r>
        <w:t>Tebbs</w:t>
      </w:r>
      <w:proofErr w:type="spellEnd"/>
      <w:r>
        <w:t xml:space="preserve"> (2022). The use of digital tools in my session was important to me due to it being a great hook to engage with learners, </w:t>
      </w:r>
      <w:proofErr w:type="spellStart"/>
      <w:r>
        <w:t>Aichholzer</w:t>
      </w:r>
      <w:proofErr w:type="spellEnd"/>
      <w:r>
        <w:t xml:space="preserve"> et al., (2019). Although I used a variety of digital tools within the session using a </w:t>
      </w:r>
      <w:proofErr w:type="spellStart"/>
      <w:r>
        <w:lastRenderedPageBreak/>
        <w:t>Menti</w:t>
      </w:r>
      <w:proofErr w:type="spellEnd"/>
      <w:r>
        <w:t xml:space="preserve"> and a Kahoot quiz, it would have also been useful to include a video to demonstrate different passes used by footballers daily to give more of a visual example for visual learners.</w:t>
      </w:r>
    </w:p>
    <w:p w14:paraId="2C6D9ECB" w14:textId="77777777" w:rsidR="00372915" w:rsidRDefault="00372915" w:rsidP="002C260D">
      <w:pPr>
        <w:spacing w:line="360" w:lineRule="auto"/>
      </w:pPr>
    </w:p>
    <w:p w14:paraId="443214B8" w14:textId="364D4F4D" w:rsidR="00FC0834" w:rsidRDefault="00372915" w:rsidP="002C260D">
      <w:pPr>
        <w:spacing w:line="360" w:lineRule="auto"/>
      </w:pPr>
      <w:r>
        <w:t xml:space="preserve">In </w:t>
      </w:r>
      <w:r w:rsidR="002C260D">
        <w:t>conclusion, I</w:t>
      </w:r>
      <w:r w:rsidR="005019A8">
        <w:t xml:space="preserve"> received a </w:t>
      </w:r>
      <w:r>
        <w:t>mixture of positive and negative</w:t>
      </w:r>
      <w:r w:rsidR="005019A8">
        <w:t xml:space="preserve"> feedback</w:t>
      </w:r>
      <w:r>
        <w:t xml:space="preserve"> however, Gibbs</w:t>
      </w:r>
      <w:r w:rsidR="005019A8">
        <w:t>’</w:t>
      </w:r>
      <w:r>
        <w:t xml:space="preserve"> theory has allowed me to break down each section for me to adapt my lesson for future sessions</w:t>
      </w:r>
      <w:r w:rsidR="005019A8">
        <w:t xml:space="preserve"> through looking at my strengths and weaknesses.</w:t>
      </w:r>
    </w:p>
    <w:p w14:paraId="0719BB9B" w14:textId="013ED406" w:rsidR="00372915" w:rsidRDefault="00372915" w:rsidP="002C260D">
      <w:pPr>
        <w:spacing w:line="360" w:lineRule="auto"/>
      </w:pPr>
    </w:p>
    <w:p w14:paraId="62588BD2" w14:textId="77777777" w:rsidR="00372915" w:rsidRDefault="00372915" w:rsidP="00372915"/>
    <w:p w14:paraId="2DA93927" w14:textId="3A5857DB" w:rsidR="00FC0834" w:rsidRPr="00372915" w:rsidRDefault="00372915">
      <w:pPr>
        <w:rPr>
          <w:b/>
          <w:bCs/>
        </w:rPr>
      </w:pPr>
      <w:r w:rsidRPr="00372915">
        <w:rPr>
          <w:b/>
          <w:bCs/>
        </w:rPr>
        <w:t xml:space="preserve">References </w:t>
      </w:r>
    </w:p>
    <w:p w14:paraId="6A2F4772" w14:textId="32D4C6EB" w:rsidR="00372915" w:rsidRDefault="00372915"/>
    <w:p w14:paraId="35AC1B0D" w14:textId="77777777" w:rsidR="00372915" w:rsidRDefault="00372915" w:rsidP="00372915">
      <w:pPr>
        <w:pStyle w:val="NormalWeb"/>
        <w:ind w:left="567" w:hanging="567"/>
        <w:rPr>
          <w:color w:val="000000"/>
        </w:rPr>
      </w:pPr>
      <w:proofErr w:type="spellStart"/>
      <w:r>
        <w:rPr>
          <w:color w:val="000000"/>
        </w:rPr>
        <w:t>Aichholzer</w:t>
      </w:r>
      <w:proofErr w:type="spellEnd"/>
      <w:r>
        <w:rPr>
          <w:color w:val="000000"/>
        </w:rPr>
        <w:t>, G. and Rose, G. (2019)</w:t>
      </w:r>
      <w:r>
        <w:rPr>
          <w:rStyle w:val="apple-converted-space"/>
          <w:color w:val="000000"/>
        </w:rPr>
        <w:t> </w:t>
      </w:r>
      <w:r>
        <w:rPr>
          <w:i/>
          <w:iCs/>
          <w:color w:val="000000"/>
        </w:rPr>
        <w:t>Experience with digital tools in different types of e-</w:t>
      </w:r>
      <w:proofErr w:type="gramStart"/>
      <w:r>
        <w:rPr>
          <w:i/>
          <w:iCs/>
          <w:color w:val="000000"/>
        </w:rPr>
        <w:t>participation</w:t>
      </w:r>
      <w:r>
        <w:rPr>
          <w:rStyle w:val="apple-converted-space"/>
          <w:i/>
          <w:iCs/>
          <w:color w:val="000000"/>
        </w:rPr>
        <w:t> </w:t>
      </w:r>
      <w:r>
        <w:rPr>
          <w:color w:val="000000"/>
        </w:rPr>
        <w:t>,</w:t>
      </w:r>
      <w:proofErr w:type="gramEnd"/>
      <w:r>
        <w:rPr>
          <w:rStyle w:val="apple-converted-space"/>
          <w:color w:val="000000"/>
        </w:rPr>
        <w:t> </w:t>
      </w:r>
      <w:proofErr w:type="spellStart"/>
      <w:r>
        <w:rPr>
          <w:i/>
          <w:iCs/>
          <w:color w:val="000000"/>
        </w:rPr>
        <w:t>oapen</w:t>
      </w:r>
      <w:proofErr w:type="spellEnd"/>
      <w:r>
        <w:rPr>
          <w:color w:val="000000"/>
        </w:rPr>
        <w:t>. Available at: https://library.oapen.org/bitstream/handle/20.500.12657/22937/1007224.pdf (Accessed: 09 October 2024).</w:t>
      </w:r>
      <w:r>
        <w:rPr>
          <w:rStyle w:val="apple-converted-space"/>
          <w:color w:val="000000"/>
        </w:rPr>
        <w:t> </w:t>
      </w:r>
    </w:p>
    <w:p w14:paraId="2696998A" w14:textId="77777777" w:rsidR="00372915" w:rsidRDefault="00372915" w:rsidP="00372915">
      <w:pPr>
        <w:pStyle w:val="NormalWeb"/>
        <w:ind w:left="567" w:hanging="567"/>
        <w:rPr>
          <w:color w:val="000000"/>
        </w:rPr>
      </w:pPr>
      <w:r>
        <w:rPr>
          <w:color w:val="000000"/>
        </w:rPr>
        <w:t>Belanger, S. (2023)</w:t>
      </w:r>
      <w:r>
        <w:rPr>
          <w:rStyle w:val="apple-converted-space"/>
          <w:color w:val="000000"/>
        </w:rPr>
        <w:t> </w:t>
      </w:r>
      <w:r>
        <w:rPr>
          <w:i/>
          <w:iCs/>
          <w:color w:val="000000"/>
        </w:rPr>
        <w:t>Using Q&amp;A sessions to enhance engagement at events</w:t>
      </w:r>
      <w:r>
        <w:rPr>
          <w:color w:val="000000"/>
        </w:rPr>
        <w:t>,</w:t>
      </w:r>
      <w:r>
        <w:rPr>
          <w:rStyle w:val="apple-converted-space"/>
          <w:color w:val="000000"/>
        </w:rPr>
        <w:t> </w:t>
      </w:r>
      <w:r>
        <w:rPr>
          <w:i/>
          <w:iCs/>
          <w:color w:val="000000"/>
        </w:rPr>
        <w:t>Bluewater</w:t>
      </w:r>
      <w:r>
        <w:rPr>
          <w:color w:val="000000"/>
        </w:rPr>
        <w:t>. Available at: https://bluewatertech.com/using-qa-sessions-to-enhance-engagement-at-events/#:~:text=Q%26A%20sessions%20provide%20an%20opportunity,as%20a%20valuable%20feedback%20mechanism (Accessed: 11 October 2024).</w:t>
      </w:r>
      <w:r>
        <w:rPr>
          <w:rStyle w:val="apple-converted-space"/>
          <w:color w:val="000000"/>
        </w:rPr>
        <w:t> </w:t>
      </w:r>
    </w:p>
    <w:p w14:paraId="7A8D1879" w14:textId="77777777" w:rsidR="00372915" w:rsidRDefault="00372915" w:rsidP="00372915">
      <w:pPr>
        <w:pStyle w:val="NormalWeb"/>
        <w:ind w:left="567" w:hanging="567"/>
        <w:rPr>
          <w:color w:val="000000"/>
        </w:rPr>
      </w:pPr>
      <w:proofErr w:type="spellStart"/>
      <w:r>
        <w:rPr>
          <w:color w:val="000000"/>
        </w:rPr>
        <w:t>d’Estrée</w:t>
      </w:r>
      <w:proofErr w:type="spellEnd"/>
      <w:r>
        <w:rPr>
          <w:color w:val="000000"/>
        </w:rPr>
        <w:t>, T.P., Elliott, M. and Kaufman, S. (2003)</w:t>
      </w:r>
      <w:r>
        <w:rPr>
          <w:rStyle w:val="apple-converted-space"/>
          <w:color w:val="000000"/>
        </w:rPr>
        <w:t> </w:t>
      </w:r>
      <w:r>
        <w:rPr>
          <w:i/>
          <w:iCs/>
          <w:color w:val="000000"/>
        </w:rPr>
        <w:t>Evaluation as a tool for Reflection</w:t>
      </w:r>
      <w:r>
        <w:rPr>
          <w:color w:val="000000"/>
        </w:rPr>
        <w:t>,</w:t>
      </w:r>
      <w:r>
        <w:rPr>
          <w:rStyle w:val="apple-converted-space"/>
          <w:color w:val="000000"/>
        </w:rPr>
        <w:t> </w:t>
      </w:r>
      <w:r>
        <w:rPr>
          <w:i/>
          <w:iCs/>
          <w:color w:val="000000"/>
        </w:rPr>
        <w:t>Beyond Intractability</w:t>
      </w:r>
      <w:r>
        <w:rPr>
          <w:color w:val="000000"/>
        </w:rPr>
        <w:t>. Available at: https://www.beyondintractability.org/essay/evaluation-reflection#:~:text=Evaluation%20is%20a%20systematic%20effort,us%20to%20act%20more%20effectively (Accessed: 09 October 2024).</w:t>
      </w:r>
      <w:r>
        <w:rPr>
          <w:rStyle w:val="apple-converted-space"/>
          <w:color w:val="000000"/>
        </w:rPr>
        <w:t> </w:t>
      </w:r>
    </w:p>
    <w:p w14:paraId="11F0D5E4" w14:textId="77777777" w:rsidR="00372915" w:rsidRDefault="00372915" w:rsidP="00372915">
      <w:pPr>
        <w:pStyle w:val="NormalWeb"/>
        <w:ind w:left="567" w:hanging="567"/>
        <w:rPr>
          <w:color w:val="000000"/>
        </w:rPr>
      </w:pPr>
      <w:r>
        <w:rPr>
          <w:color w:val="000000"/>
        </w:rPr>
        <w:t>Gibbs (1988)</w:t>
      </w:r>
      <w:r>
        <w:rPr>
          <w:rStyle w:val="apple-converted-space"/>
          <w:color w:val="000000"/>
        </w:rPr>
        <w:t> </w:t>
      </w:r>
      <w:r>
        <w:rPr>
          <w:i/>
          <w:iCs/>
          <w:color w:val="000000"/>
        </w:rPr>
        <w:t>Learning by doing</w:t>
      </w:r>
      <w:r>
        <w:rPr>
          <w:color w:val="000000"/>
        </w:rPr>
        <w:t>,</w:t>
      </w:r>
      <w:r>
        <w:rPr>
          <w:rStyle w:val="apple-converted-space"/>
          <w:color w:val="000000"/>
        </w:rPr>
        <w:t> </w:t>
      </w:r>
      <w:r>
        <w:rPr>
          <w:i/>
          <w:iCs/>
          <w:color w:val="000000"/>
        </w:rPr>
        <w:t xml:space="preserve">Oxford Brookers </w:t>
      </w:r>
      <w:proofErr w:type="gramStart"/>
      <w:r>
        <w:rPr>
          <w:i/>
          <w:iCs/>
          <w:color w:val="000000"/>
        </w:rPr>
        <w:t>University</w:t>
      </w:r>
      <w:r>
        <w:rPr>
          <w:rStyle w:val="apple-converted-space"/>
          <w:i/>
          <w:iCs/>
          <w:color w:val="000000"/>
        </w:rPr>
        <w:t> </w:t>
      </w:r>
      <w:r>
        <w:rPr>
          <w:color w:val="000000"/>
        </w:rPr>
        <w:t>.</w:t>
      </w:r>
      <w:proofErr w:type="gramEnd"/>
      <w:r>
        <w:rPr>
          <w:color w:val="000000"/>
        </w:rPr>
        <w:t xml:space="preserve"> Available at: https://stephenp.net/wp-content/uploads/2015/12/learning-by-doing-graham-gibbs.pdf (Accessed: 11 October 2024).</w:t>
      </w:r>
      <w:r>
        <w:rPr>
          <w:rStyle w:val="apple-converted-space"/>
          <w:color w:val="000000"/>
        </w:rPr>
        <w:t> </w:t>
      </w:r>
    </w:p>
    <w:p w14:paraId="5F4A5016" w14:textId="77777777" w:rsidR="00372915" w:rsidRDefault="00372915" w:rsidP="00372915">
      <w:pPr>
        <w:pStyle w:val="NormalWeb"/>
        <w:ind w:left="567" w:hanging="567"/>
        <w:rPr>
          <w:color w:val="000000"/>
        </w:rPr>
      </w:pPr>
      <w:r>
        <w:rPr>
          <w:color w:val="000000"/>
        </w:rPr>
        <w:t>Kirby, J.R., Moore, P.J. and Schofield, N.J. (1988)</w:t>
      </w:r>
      <w:r>
        <w:rPr>
          <w:rStyle w:val="apple-converted-space"/>
          <w:color w:val="000000"/>
        </w:rPr>
        <w:t> </w:t>
      </w:r>
      <w:r>
        <w:rPr>
          <w:i/>
          <w:iCs/>
          <w:color w:val="000000"/>
        </w:rPr>
        <w:t>Verbal and visual learning styles</w:t>
      </w:r>
      <w:r>
        <w:rPr>
          <w:color w:val="000000"/>
        </w:rPr>
        <w:t>,</w:t>
      </w:r>
      <w:r>
        <w:rPr>
          <w:rStyle w:val="apple-converted-space"/>
          <w:color w:val="000000"/>
        </w:rPr>
        <w:t> </w:t>
      </w:r>
      <w:r>
        <w:rPr>
          <w:i/>
          <w:iCs/>
          <w:color w:val="000000"/>
        </w:rPr>
        <w:t>Contemporary Educational Psychology</w:t>
      </w:r>
      <w:r>
        <w:rPr>
          <w:color w:val="000000"/>
        </w:rPr>
        <w:t>. Available at: https://www.sciencedirect.com/science/article/abs/pii/0361476X88900173 (Accessed: 09 October 2024).</w:t>
      </w:r>
      <w:r>
        <w:rPr>
          <w:rStyle w:val="apple-converted-space"/>
          <w:color w:val="000000"/>
        </w:rPr>
        <w:t> </w:t>
      </w:r>
    </w:p>
    <w:p w14:paraId="40EF480A" w14:textId="77777777" w:rsidR="00372915" w:rsidRDefault="00372915" w:rsidP="00372915">
      <w:pPr>
        <w:pStyle w:val="NormalWeb"/>
        <w:ind w:left="567" w:hanging="567"/>
        <w:rPr>
          <w:color w:val="000000"/>
        </w:rPr>
      </w:pPr>
      <w:r>
        <w:rPr>
          <w:color w:val="000000"/>
        </w:rPr>
        <w:t>Marzano, R.J. (2004)</w:t>
      </w:r>
      <w:r>
        <w:rPr>
          <w:rStyle w:val="apple-converted-space"/>
          <w:color w:val="000000"/>
        </w:rPr>
        <w:t> </w:t>
      </w:r>
      <w:r>
        <w:rPr>
          <w:i/>
          <w:iCs/>
          <w:color w:val="000000"/>
        </w:rPr>
        <w:t>Building background knowledge for academic achievement</w:t>
      </w:r>
      <w:r>
        <w:rPr>
          <w:color w:val="000000"/>
        </w:rPr>
        <w:t>,</w:t>
      </w:r>
      <w:r>
        <w:rPr>
          <w:rStyle w:val="apple-converted-space"/>
          <w:color w:val="000000"/>
        </w:rPr>
        <w:t> </w:t>
      </w:r>
      <w:r>
        <w:rPr>
          <w:i/>
          <w:iCs/>
          <w:color w:val="000000"/>
        </w:rPr>
        <w:t>Google Books</w:t>
      </w:r>
      <w:r>
        <w:rPr>
          <w:color w:val="000000"/>
        </w:rPr>
        <w:t>. Available at: https://books.google.co.uk/books?hl=en&amp;lr=&amp;id=yQJRBAAAQBAJ&amp;oi=fnd&amp;pg=PA1&amp;dq=%2Bimportance%2Bto%2Bprovide%2Bbackground%2Bknowledge%2Bon%2Ba%2Bsubject&amp;ots=92UP-KKQBA&amp;sig=vtj4L4JQABAyk8GGpLU9JSV327Y&amp;redir_esc=y#v=onepage&amp;q=importance%20to%20provide%20background%20knowledge%20on%20a%20subject&amp;f=false (Accessed: 09 October 2024).</w:t>
      </w:r>
      <w:r>
        <w:rPr>
          <w:rStyle w:val="apple-converted-space"/>
          <w:color w:val="000000"/>
        </w:rPr>
        <w:t> </w:t>
      </w:r>
    </w:p>
    <w:p w14:paraId="36AB7EA0" w14:textId="77777777" w:rsidR="00372915" w:rsidRDefault="00372915" w:rsidP="00372915">
      <w:pPr>
        <w:pStyle w:val="NormalWeb"/>
        <w:ind w:left="567" w:hanging="567"/>
        <w:rPr>
          <w:color w:val="000000"/>
        </w:rPr>
      </w:pPr>
      <w:r>
        <w:rPr>
          <w:color w:val="000000"/>
        </w:rPr>
        <w:lastRenderedPageBreak/>
        <w:t>Parsons, L. (2024)</w:t>
      </w:r>
      <w:r>
        <w:rPr>
          <w:rStyle w:val="apple-converted-space"/>
          <w:color w:val="000000"/>
        </w:rPr>
        <w:t> </w:t>
      </w:r>
      <w:r>
        <w:rPr>
          <w:i/>
          <w:iCs/>
          <w:color w:val="000000"/>
        </w:rPr>
        <w:t>Study shows that students learn more when taking part in classrooms that employ active-learning strategies</w:t>
      </w:r>
      <w:r>
        <w:rPr>
          <w:color w:val="000000"/>
        </w:rPr>
        <w:t>,</w:t>
      </w:r>
      <w:r>
        <w:rPr>
          <w:rStyle w:val="apple-converted-space"/>
          <w:color w:val="000000"/>
        </w:rPr>
        <w:t> </w:t>
      </w:r>
      <w:r>
        <w:rPr>
          <w:i/>
          <w:iCs/>
          <w:color w:val="000000"/>
        </w:rPr>
        <w:t>Harvard Gazette</w:t>
      </w:r>
      <w:r>
        <w:rPr>
          <w:color w:val="000000"/>
        </w:rPr>
        <w:t>. Available at: https://news.harvard.edu/gazette/story/2019/09/study-shows-that-students-learn-more-when-taking-part-in-classrooms-that-employ-active-learning-strategies/ (Accessed: 09 October 2024).</w:t>
      </w:r>
      <w:r>
        <w:rPr>
          <w:rStyle w:val="apple-converted-space"/>
          <w:color w:val="000000"/>
        </w:rPr>
        <w:t> </w:t>
      </w:r>
    </w:p>
    <w:p w14:paraId="6C25958A" w14:textId="77777777" w:rsidR="00372915" w:rsidRDefault="00372915" w:rsidP="00372915">
      <w:pPr>
        <w:pStyle w:val="NormalWeb"/>
        <w:ind w:left="567" w:hanging="567"/>
        <w:rPr>
          <w:color w:val="000000"/>
        </w:rPr>
      </w:pPr>
      <w:proofErr w:type="spellStart"/>
      <w:r>
        <w:rPr>
          <w:color w:val="000000"/>
        </w:rPr>
        <w:t>Steinmayr</w:t>
      </w:r>
      <w:proofErr w:type="spellEnd"/>
      <w:r>
        <w:rPr>
          <w:color w:val="000000"/>
        </w:rPr>
        <w:t>, R. and Spinach, B. (2009)</w:t>
      </w:r>
      <w:r>
        <w:rPr>
          <w:rStyle w:val="apple-converted-space"/>
          <w:color w:val="000000"/>
        </w:rPr>
        <w:t> </w:t>
      </w:r>
      <w:r>
        <w:rPr>
          <w:i/>
          <w:iCs/>
          <w:color w:val="000000"/>
        </w:rPr>
        <w:t>The importance of motivation as a predictor of school achievement</w:t>
      </w:r>
      <w:r>
        <w:rPr>
          <w:color w:val="000000"/>
        </w:rPr>
        <w:t>,</w:t>
      </w:r>
      <w:r>
        <w:rPr>
          <w:rStyle w:val="apple-converted-space"/>
          <w:color w:val="000000"/>
        </w:rPr>
        <w:t> </w:t>
      </w:r>
      <w:r>
        <w:rPr>
          <w:i/>
          <w:iCs/>
          <w:color w:val="000000"/>
        </w:rPr>
        <w:t>Learning and Individual Differences</w:t>
      </w:r>
      <w:r>
        <w:rPr>
          <w:color w:val="000000"/>
        </w:rPr>
        <w:t>. Available at: https://www.sciencedirect.com/science/article/abs/pii/S1041608008000502 (Accessed: 09 October 2024).</w:t>
      </w:r>
      <w:r>
        <w:rPr>
          <w:rStyle w:val="apple-converted-space"/>
          <w:color w:val="000000"/>
        </w:rPr>
        <w:t> </w:t>
      </w:r>
    </w:p>
    <w:p w14:paraId="78E6D208" w14:textId="77777777" w:rsidR="00372915" w:rsidRDefault="00372915" w:rsidP="00372915">
      <w:pPr>
        <w:pStyle w:val="NormalWeb"/>
        <w:ind w:left="567" w:hanging="567"/>
        <w:rPr>
          <w:color w:val="000000"/>
        </w:rPr>
      </w:pPr>
      <w:proofErr w:type="spellStart"/>
      <w:r>
        <w:rPr>
          <w:color w:val="000000"/>
        </w:rPr>
        <w:t>Tebbs</w:t>
      </w:r>
      <w:proofErr w:type="spellEnd"/>
      <w:r>
        <w:rPr>
          <w:color w:val="000000"/>
        </w:rPr>
        <w:t>, A. (2022)</w:t>
      </w:r>
      <w:r>
        <w:rPr>
          <w:rStyle w:val="apple-converted-space"/>
          <w:color w:val="000000"/>
        </w:rPr>
        <w:t> </w:t>
      </w:r>
      <w:r>
        <w:rPr>
          <w:i/>
          <w:iCs/>
          <w:color w:val="000000"/>
        </w:rPr>
        <w:t>The benefits of outdoor learning in the early years</w:t>
      </w:r>
      <w:r>
        <w:rPr>
          <w:color w:val="000000"/>
        </w:rPr>
        <w:t>,</w:t>
      </w:r>
      <w:r>
        <w:rPr>
          <w:rStyle w:val="apple-converted-space"/>
          <w:color w:val="000000"/>
        </w:rPr>
        <w:t> </w:t>
      </w:r>
      <w:r>
        <w:rPr>
          <w:i/>
          <w:iCs/>
          <w:color w:val="000000"/>
        </w:rPr>
        <w:t>National Literacy Trust</w:t>
      </w:r>
      <w:r>
        <w:rPr>
          <w:color w:val="000000"/>
        </w:rPr>
        <w:t>. Available at: https://literacytrust.org.uk/blog/the-benefits-of-outdoor-learning-in-the-early-years/#:~:text=Gill%20showed%20that%20outdoor%20learning,positive%20attitude%20to%20learning%20following (Accessed: 09 October 2024).</w:t>
      </w:r>
      <w:r>
        <w:rPr>
          <w:rStyle w:val="apple-converted-space"/>
          <w:color w:val="000000"/>
        </w:rPr>
        <w:t> </w:t>
      </w:r>
    </w:p>
    <w:p w14:paraId="4A146355" w14:textId="77777777" w:rsidR="00372915" w:rsidRDefault="00372915" w:rsidP="00372915">
      <w:pPr>
        <w:pStyle w:val="NormalWeb"/>
        <w:ind w:left="567" w:hanging="567"/>
        <w:rPr>
          <w:color w:val="000000"/>
        </w:rPr>
      </w:pPr>
      <w:r>
        <w:rPr>
          <w:color w:val="000000"/>
        </w:rPr>
        <w:t>Welsh Government (2024)</w:t>
      </w:r>
      <w:r>
        <w:rPr>
          <w:rStyle w:val="apple-converted-space"/>
          <w:color w:val="000000"/>
        </w:rPr>
        <w:t> </w:t>
      </w:r>
      <w:r>
        <w:rPr>
          <w:i/>
          <w:iCs/>
          <w:color w:val="000000"/>
        </w:rPr>
        <w:t>Cymraeg 2050: Welsh language strategy action plan 2024 to 2025 [HTML]</w:t>
      </w:r>
      <w:r>
        <w:rPr>
          <w:color w:val="000000"/>
        </w:rPr>
        <w:t>,</w:t>
      </w:r>
      <w:r>
        <w:rPr>
          <w:rStyle w:val="apple-converted-space"/>
          <w:color w:val="000000"/>
        </w:rPr>
        <w:t> </w:t>
      </w:r>
      <w:r>
        <w:rPr>
          <w:i/>
          <w:iCs/>
          <w:color w:val="000000"/>
        </w:rPr>
        <w:t>GOV.WALES</w:t>
      </w:r>
      <w:r>
        <w:rPr>
          <w:color w:val="000000"/>
        </w:rPr>
        <w:t>. Available at: https://www.gov.wales/cymraeg-2050-welsh-language-strategy-action-plan-2024-2025-html (Accessed: 09 October 2024).</w:t>
      </w:r>
      <w:r>
        <w:rPr>
          <w:rStyle w:val="apple-converted-space"/>
          <w:color w:val="000000"/>
        </w:rPr>
        <w:t> </w:t>
      </w:r>
    </w:p>
    <w:p w14:paraId="27DFEB6E" w14:textId="77777777" w:rsidR="00372915" w:rsidRDefault="00372915"/>
    <w:p w14:paraId="0E45B0E0" w14:textId="77777777" w:rsidR="00FC0834" w:rsidRDefault="00FC0834"/>
    <w:sectPr w:rsidR="00FC08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5BB"/>
    <w:rsid w:val="00006E6D"/>
    <w:rsid w:val="00191216"/>
    <w:rsid w:val="00244F60"/>
    <w:rsid w:val="002C260D"/>
    <w:rsid w:val="00315107"/>
    <w:rsid w:val="00323CC4"/>
    <w:rsid w:val="0034479C"/>
    <w:rsid w:val="00372915"/>
    <w:rsid w:val="003735CD"/>
    <w:rsid w:val="003A2F5A"/>
    <w:rsid w:val="004F3566"/>
    <w:rsid w:val="005019A8"/>
    <w:rsid w:val="005125BB"/>
    <w:rsid w:val="00513533"/>
    <w:rsid w:val="0053710F"/>
    <w:rsid w:val="005F60D5"/>
    <w:rsid w:val="006D7F5D"/>
    <w:rsid w:val="007B0853"/>
    <w:rsid w:val="007D7A4D"/>
    <w:rsid w:val="00A01F3A"/>
    <w:rsid w:val="00A07AD5"/>
    <w:rsid w:val="00BF22F6"/>
    <w:rsid w:val="00CE7B3E"/>
    <w:rsid w:val="00D046CA"/>
    <w:rsid w:val="00D7655B"/>
    <w:rsid w:val="00DC34DC"/>
    <w:rsid w:val="00E21EAA"/>
    <w:rsid w:val="00E308E7"/>
    <w:rsid w:val="00F3094A"/>
    <w:rsid w:val="00FC0834"/>
    <w:rsid w:val="00FC3549"/>
    <w:rsid w:val="00FD2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A9910F"/>
  <w15:chartTrackingRefBased/>
  <w15:docId w15:val="{9ACDAC27-8339-BE4E-AFD9-48C36D2F4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0834"/>
    <w:rPr>
      <w:color w:val="0563C1" w:themeColor="hyperlink"/>
      <w:u w:val="single"/>
    </w:rPr>
  </w:style>
  <w:style w:type="character" w:styleId="UnresolvedMention">
    <w:name w:val="Unresolved Mention"/>
    <w:basedOn w:val="DefaultParagraphFont"/>
    <w:uiPriority w:val="99"/>
    <w:semiHidden/>
    <w:unhideWhenUsed/>
    <w:rsid w:val="00FC0834"/>
    <w:rPr>
      <w:color w:val="605E5C"/>
      <w:shd w:val="clear" w:color="auto" w:fill="E1DFDD"/>
    </w:rPr>
  </w:style>
  <w:style w:type="character" w:styleId="FollowedHyperlink">
    <w:name w:val="FollowedHyperlink"/>
    <w:basedOn w:val="DefaultParagraphFont"/>
    <w:uiPriority w:val="99"/>
    <w:semiHidden/>
    <w:unhideWhenUsed/>
    <w:rsid w:val="00E21EAA"/>
    <w:rPr>
      <w:color w:val="954F72" w:themeColor="followedHyperlink"/>
      <w:u w:val="single"/>
    </w:rPr>
  </w:style>
  <w:style w:type="paragraph" w:styleId="NormalWeb">
    <w:name w:val="Normal (Web)"/>
    <w:basedOn w:val="Normal"/>
    <w:uiPriority w:val="99"/>
    <w:semiHidden/>
    <w:unhideWhenUsed/>
    <w:rsid w:val="00372915"/>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729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8330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1412</Words>
  <Characters>8050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WHITEHEAD F. (2121105)</dc:creator>
  <cp:keywords/>
  <dc:description/>
  <cp:lastModifiedBy>Carwyn Wood (1912380)</cp:lastModifiedBy>
  <cp:revision>2</cp:revision>
  <dcterms:created xsi:type="dcterms:W3CDTF">2024-10-11T19:19:00Z</dcterms:created>
  <dcterms:modified xsi:type="dcterms:W3CDTF">2024-10-11T19:19:00Z</dcterms:modified>
</cp:coreProperties>
</file>