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72350BB" w:rsidP="272350BB" w:rsidRDefault="272350BB" w14:paraId="76AC6D37" w14:textId="63E664BA">
      <w:pPr>
        <w:pStyle w:val="Normal"/>
        <w:rPr>
          <w:noProof w:val="0"/>
          <w:lang w:val="en-GB"/>
        </w:rPr>
      </w:pPr>
    </w:p>
    <w:p w:rsidR="4C116F80" w:rsidP="272350BB" w:rsidRDefault="4C116F80" w14:paraId="7028101D" w14:textId="476B7BB4">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272350BB" w:rsidR="69E951A2">
        <w:rPr>
          <w:rFonts w:ascii="Arial" w:hAnsi="Arial" w:eastAsia="Arial" w:cs="Arial"/>
          <w:b w:val="1"/>
          <w:bCs w:val="1"/>
          <w:i w:val="0"/>
          <w:iCs w:val="0"/>
          <w:caps w:val="0"/>
          <w:smallCaps w:val="0"/>
          <w:noProof w:val="0"/>
          <w:color w:val="000000" w:themeColor="text1" w:themeTint="FF" w:themeShade="FF"/>
          <w:sz w:val="40"/>
          <w:szCs w:val="40"/>
          <w:lang w:val="en-GB"/>
        </w:rPr>
        <w:t>Programme</w:t>
      </w:r>
      <w:r w:rsidRPr="272350BB" w:rsidR="69E951A2">
        <w:rPr>
          <w:rFonts w:ascii="Arial" w:hAnsi="Arial" w:eastAsia="Arial" w:cs="Arial"/>
          <w:b w:val="0"/>
          <w:bCs w:val="0"/>
          <w:i w:val="0"/>
          <w:iCs w:val="0"/>
          <w:caps w:val="0"/>
          <w:smallCaps w:val="0"/>
          <w:noProof w:val="0"/>
          <w:color w:val="000000" w:themeColor="text1" w:themeTint="FF" w:themeShade="FF"/>
          <w:sz w:val="40"/>
          <w:szCs w:val="40"/>
          <w:lang w:val="en-GB"/>
        </w:rPr>
        <w:t>: BSc Health and Social care</w:t>
      </w:r>
    </w:p>
    <w:p w:rsidR="1BA45B2A" w:rsidP="272350BB" w:rsidRDefault="1BA45B2A" w14:paraId="5F150751" w14:textId="2D270380">
      <w:pPr>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4C116F80" w:rsidP="272350BB" w:rsidRDefault="4C116F80" w14:paraId="55DD1361" w14:textId="2E3F1659">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272350BB" w:rsidR="69E951A2">
        <w:rPr>
          <w:rFonts w:ascii="Arial" w:hAnsi="Arial" w:eastAsia="Arial" w:cs="Arial"/>
          <w:b w:val="1"/>
          <w:bCs w:val="1"/>
          <w:i w:val="0"/>
          <w:iCs w:val="0"/>
          <w:caps w:val="0"/>
          <w:smallCaps w:val="0"/>
          <w:noProof w:val="0"/>
          <w:color w:val="000000" w:themeColor="text1" w:themeTint="FF" w:themeShade="FF"/>
          <w:sz w:val="40"/>
          <w:szCs w:val="40"/>
          <w:lang w:val="en-GB"/>
        </w:rPr>
        <w:t>Assignment title</w:t>
      </w:r>
      <w:r w:rsidRPr="272350BB" w:rsidR="69E951A2">
        <w:rPr>
          <w:rFonts w:ascii="Arial" w:hAnsi="Arial" w:eastAsia="Arial" w:cs="Arial"/>
          <w:b w:val="0"/>
          <w:bCs w:val="0"/>
          <w:i w:val="0"/>
          <w:iCs w:val="0"/>
          <w:caps w:val="0"/>
          <w:smallCaps w:val="0"/>
          <w:noProof w:val="0"/>
          <w:color w:val="000000" w:themeColor="text1" w:themeTint="FF" w:themeShade="FF"/>
          <w:sz w:val="40"/>
          <w:szCs w:val="40"/>
          <w:lang w:val="en-GB"/>
        </w:rPr>
        <w:t>:</w:t>
      </w:r>
    </w:p>
    <w:p w:rsidR="4C116F80" w:rsidP="272350BB" w:rsidRDefault="4C116F80" w14:paraId="19ACA401" w14:textId="78FA3ABB">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272350BB" w:rsidR="69E951A2">
        <w:rPr>
          <w:rFonts w:ascii="Arial" w:hAnsi="Arial" w:eastAsia="Arial" w:cs="Arial"/>
          <w:b w:val="1"/>
          <w:bCs w:val="1"/>
          <w:i w:val="0"/>
          <w:iCs w:val="0"/>
          <w:caps w:val="0"/>
          <w:smallCaps w:val="0"/>
          <w:noProof w:val="0"/>
          <w:color w:val="000000" w:themeColor="text1" w:themeTint="FF" w:themeShade="FF"/>
          <w:sz w:val="40"/>
          <w:szCs w:val="40"/>
          <w:lang w:val="en-GB"/>
        </w:rPr>
        <w:t>Component</w:t>
      </w:r>
      <w:r w:rsidRPr="272350BB" w:rsidR="69E951A2">
        <w:rPr>
          <w:rFonts w:ascii="Arial" w:hAnsi="Arial" w:eastAsia="Arial" w:cs="Arial"/>
          <w:b w:val="1"/>
          <w:bCs w:val="1"/>
          <w:i w:val="0"/>
          <w:iCs w:val="0"/>
          <w:caps w:val="0"/>
          <w:smallCaps w:val="0"/>
          <w:noProof w:val="0"/>
          <w:color w:val="000000" w:themeColor="text1" w:themeTint="FF" w:themeShade="FF"/>
          <w:sz w:val="40"/>
          <w:szCs w:val="40"/>
          <w:lang w:val="en-GB"/>
        </w:rPr>
        <w:t xml:space="preserve"> 1</w:t>
      </w:r>
      <w:r w:rsidRPr="272350BB" w:rsidR="69E951A2">
        <w:rPr>
          <w:rFonts w:ascii="Arial" w:hAnsi="Arial" w:eastAsia="Arial" w:cs="Arial"/>
          <w:b w:val="0"/>
          <w:bCs w:val="0"/>
          <w:i w:val="0"/>
          <w:iCs w:val="0"/>
          <w:caps w:val="0"/>
          <w:smallCaps w:val="0"/>
          <w:noProof w:val="0"/>
          <w:color w:val="000000" w:themeColor="text1" w:themeTint="FF" w:themeShade="FF"/>
          <w:sz w:val="40"/>
          <w:szCs w:val="40"/>
          <w:lang w:val="en-GB"/>
        </w:rPr>
        <w:t>: written assignment (case study Report)</w:t>
      </w:r>
    </w:p>
    <w:p w:rsidR="1BA45B2A" w:rsidP="272350BB" w:rsidRDefault="1BA45B2A" w14:paraId="6D1E1EE2" w14:textId="324E6BAF">
      <w:pPr>
        <w:jc w:val="left"/>
        <w:rPr>
          <w:rFonts w:ascii="Arial" w:hAnsi="Arial" w:eastAsia="Arial" w:cs="Arial"/>
          <w:b w:val="0"/>
          <w:bCs w:val="0"/>
          <w:i w:val="0"/>
          <w:iCs w:val="0"/>
          <w:caps w:val="0"/>
          <w:smallCaps w:val="0"/>
          <w:noProof w:val="0"/>
          <w:color w:val="000000" w:themeColor="text1" w:themeTint="FF" w:themeShade="FF"/>
          <w:sz w:val="40"/>
          <w:szCs w:val="40"/>
          <w:lang w:val="en-GB"/>
        </w:rPr>
      </w:pPr>
    </w:p>
    <w:p w:rsidR="4C116F80" w:rsidP="272350BB" w:rsidRDefault="4C116F80" w14:paraId="5B05C28B" w14:textId="590C8850">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272350BB" w:rsidR="69E951A2">
        <w:rPr>
          <w:rFonts w:ascii="Arial" w:hAnsi="Arial" w:eastAsia="Arial" w:cs="Arial"/>
          <w:b w:val="1"/>
          <w:bCs w:val="1"/>
          <w:i w:val="0"/>
          <w:iCs w:val="0"/>
          <w:caps w:val="0"/>
          <w:smallCaps w:val="0"/>
          <w:noProof w:val="0"/>
          <w:color w:val="000000" w:themeColor="text1" w:themeTint="FF" w:themeShade="FF"/>
          <w:sz w:val="40"/>
          <w:szCs w:val="40"/>
          <w:lang w:val="en-GB"/>
        </w:rPr>
        <w:t>Module title</w:t>
      </w:r>
      <w:r w:rsidRPr="272350BB" w:rsidR="69E951A2">
        <w:rPr>
          <w:rFonts w:ascii="Arial" w:hAnsi="Arial" w:eastAsia="Arial" w:cs="Arial"/>
          <w:b w:val="0"/>
          <w:bCs w:val="0"/>
          <w:i w:val="0"/>
          <w:iCs w:val="0"/>
          <w:caps w:val="0"/>
          <w:smallCaps w:val="0"/>
          <w:noProof w:val="0"/>
          <w:color w:val="000000" w:themeColor="text1" w:themeTint="FF" w:themeShade="FF"/>
          <w:sz w:val="40"/>
          <w:szCs w:val="40"/>
          <w:lang w:val="en-GB"/>
        </w:rPr>
        <w:t>: Introduction to Physiology</w:t>
      </w:r>
    </w:p>
    <w:p w:rsidR="1BA45B2A" w:rsidP="272350BB" w:rsidRDefault="1BA45B2A" w14:paraId="3017BDB4" w14:textId="0168290F">
      <w:pPr>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4C116F80" w:rsidP="272350BB" w:rsidRDefault="4C116F80" w14:paraId="6D4C2575" w14:textId="07FCDFD8">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272350BB" w:rsidR="69E951A2">
        <w:rPr>
          <w:rFonts w:ascii="Arial" w:hAnsi="Arial" w:eastAsia="Arial" w:cs="Arial"/>
          <w:b w:val="1"/>
          <w:bCs w:val="1"/>
          <w:i w:val="0"/>
          <w:iCs w:val="0"/>
          <w:caps w:val="0"/>
          <w:smallCaps w:val="0"/>
          <w:noProof w:val="0"/>
          <w:color w:val="000000" w:themeColor="text1" w:themeTint="FF" w:themeShade="FF"/>
          <w:sz w:val="40"/>
          <w:szCs w:val="40"/>
          <w:lang w:val="en-GB"/>
        </w:rPr>
        <w:t>Module code</w:t>
      </w:r>
      <w:r w:rsidRPr="272350BB" w:rsidR="69E951A2">
        <w:rPr>
          <w:rFonts w:ascii="Arial" w:hAnsi="Arial" w:eastAsia="Arial" w:cs="Arial"/>
          <w:b w:val="0"/>
          <w:bCs w:val="0"/>
          <w:i w:val="0"/>
          <w:iCs w:val="0"/>
          <w:caps w:val="0"/>
          <w:smallCaps w:val="0"/>
          <w:noProof w:val="0"/>
          <w:color w:val="000000" w:themeColor="text1" w:themeTint="FF" w:themeShade="FF"/>
          <w:sz w:val="40"/>
          <w:szCs w:val="40"/>
          <w:lang w:val="en-GB"/>
        </w:rPr>
        <w:t>: -BMHP5023</w:t>
      </w:r>
    </w:p>
    <w:p w:rsidR="1BA45B2A" w:rsidP="272350BB" w:rsidRDefault="1BA45B2A" w14:paraId="784E5B95" w14:textId="67493D40">
      <w:pPr>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1BA45B2A" w:rsidP="272350BB" w:rsidRDefault="1BA45B2A" w14:paraId="3EE29FB1" w14:textId="026570EE">
      <w:pPr>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4C116F80" w:rsidP="272350BB" w:rsidRDefault="4C116F80" w14:paraId="0E638E05" w14:textId="60FF6002">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272350BB" w:rsidR="69E951A2">
        <w:rPr>
          <w:rFonts w:ascii="Arial" w:hAnsi="Arial" w:eastAsia="Arial" w:cs="Arial"/>
          <w:b w:val="1"/>
          <w:bCs w:val="1"/>
          <w:i w:val="0"/>
          <w:iCs w:val="0"/>
          <w:caps w:val="0"/>
          <w:smallCaps w:val="0"/>
          <w:noProof w:val="0"/>
          <w:color w:val="000000" w:themeColor="text1" w:themeTint="FF" w:themeShade="FF"/>
          <w:sz w:val="40"/>
          <w:szCs w:val="40"/>
          <w:lang w:val="en-GB"/>
        </w:rPr>
        <w:t>Student name</w:t>
      </w:r>
      <w:r w:rsidRPr="272350BB" w:rsidR="69E951A2">
        <w:rPr>
          <w:rFonts w:ascii="Arial" w:hAnsi="Arial" w:eastAsia="Arial" w:cs="Arial"/>
          <w:b w:val="0"/>
          <w:bCs w:val="0"/>
          <w:i w:val="0"/>
          <w:iCs w:val="0"/>
          <w:caps w:val="0"/>
          <w:smallCaps w:val="0"/>
          <w:noProof w:val="0"/>
          <w:color w:val="000000" w:themeColor="text1" w:themeTint="FF" w:themeShade="FF"/>
          <w:sz w:val="40"/>
          <w:szCs w:val="40"/>
          <w:lang w:val="en-GB"/>
        </w:rPr>
        <w:t>: Kate Akosua Narh</w:t>
      </w:r>
    </w:p>
    <w:p w:rsidR="4C116F80" w:rsidP="272350BB" w:rsidRDefault="4C116F80" w14:paraId="43A397B1" w14:textId="1186C078">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272350BB" w:rsidR="69E951A2">
        <w:rPr>
          <w:rFonts w:ascii="Arial" w:hAnsi="Arial" w:eastAsia="Arial" w:cs="Arial"/>
          <w:b w:val="1"/>
          <w:bCs w:val="1"/>
          <w:i w:val="0"/>
          <w:iCs w:val="0"/>
          <w:caps w:val="0"/>
          <w:smallCaps w:val="0"/>
          <w:noProof w:val="0"/>
          <w:color w:val="000000" w:themeColor="text1" w:themeTint="FF" w:themeShade="FF"/>
          <w:sz w:val="40"/>
          <w:szCs w:val="40"/>
          <w:lang w:val="en-GB"/>
        </w:rPr>
        <w:t>Student ID</w:t>
      </w:r>
      <w:r w:rsidRPr="272350BB" w:rsidR="69E951A2">
        <w:rPr>
          <w:rFonts w:ascii="Arial" w:hAnsi="Arial" w:eastAsia="Arial" w:cs="Arial"/>
          <w:b w:val="0"/>
          <w:bCs w:val="0"/>
          <w:i w:val="0"/>
          <w:iCs w:val="0"/>
          <w:caps w:val="0"/>
          <w:smallCaps w:val="0"/>
          <w:noProof w:val="0"/>
          <w:color w:val="000000" w:themeColor="text1" w:themeTint="FF" w:themeShade="FF"/>
          <w:sz w:val="40"/>
          <w:szCs w:val="40"/>
          <w:lang w:val="en-GB"/>
        </w:rPr>
        <w:t>: 2419949</w:t>
      </w:r>
    </w:p>
    <w:p w:rsidR="1BA45B2A" w:rsidP="272350BB" w:rsidRDefault="1BA45B2A" w14:paraId="486025F0" w14:textId="394ABBB4">
      <w:pPr>
        <w:jc w:val="left"/>
        <w:rPr>
          <w:rFonts w:ascii="Arial" w:hAnsi="Arial" w:eastAsia="Arial" w:cs="Arial"/>
          <w:b w:val="0"/>
          <w:bCs w:val="0"/>
          <w:i w:val="0"/>
          <w:iCs w:val="0"/>
          <w:caps w:val="0"/>
          <w:smallCaps w:val="0"/>
          <w:noProof w:val="0"/>
          <w:color w:val="000000" w:themeColor="text1" w:themeTint="FF" w:themeShade="FF"/>
          <w:sz w:val="40"/>
          <w:szCs w:val="40"/>
          <w:lang w:val="en-GB"/>
        </w:rPr>
      </w:pPr>
    </w:p>
    <w:p w:rsidR="4C116F80" w:rsidP="272350BB" w:rsidRDefault="4C116F80" w14:paraId="520305E5" w14:textId="49127F37">
      <w:pPr>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272350BB" w:rsidR="69E951A2">
        <w:rPr>
          <w:rFonts w:ascii="Arial" w:hAnsi="Arial" w:eastAsia="Arial" w:cs="Arial"/>
          <w:b w:val="1"/>
          <w:bCs w:val="1"/>
          <w:i w:val="0"/>
          <w:iCs w:val="0"/>
          <w:caps w:val="0"/>
          <w:smallCaps w:val="0"/>
          <w:noProof w:val="0"/>
          <w:color w:val="000000" w:themeColor="text1" w:themeTint="FF" w:themeShade="FF"/>
          <w:sz w:val="40"/>
          <w:szCs w:val="40"/>
          <w:lang w:val="en-GB"/>
        </w:rPr>
        <w:t>Lecturer name</w:t>
      </w:r>
      <w:r w:rsidRPr="272350BB" w:rsidR="69E951A2">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rsidRPr="272350BB" w:rsidR="56A3B0F7">
        <w:rPr>
          <w:rFonts w:ascii="Arial" w:hAnsi="Arial" w:eastAsia="Arial" w:cs="Arial"/>
          <w:b w:val="0"/>
          <w:bCs w:val="0"/>
          <w:i w:val="0"/>
          <w:iCs w:val="0"/>
          <w:caps w:val="0"/>
          <w:smallCaps w:val="0"/>
          <w:noProof w:val="0"/>
          <w:color w:val="000000" w:themeColor="text1" w:themeTint="FF" w:themeShade="FF"/>
          <w:sz w:val="40"/>
          <w:szCs w:val="40"/>
          <w:lang w:val="en-GB"/>
        </w:rPr>
        <w:t>Dr</w:t>
      </w:r>
      <w:r w:rsidRPr="272350BB" w:rsidR="5AB4DE52">
        <w:rPr>
          <w:rFonts w:ascii="Arial" w:hAnsi="Arial" w:eastAsia="Arial" w:cs="Arial"/>
          <w:b w:val="0"/>
          <w:bCs w:val="0"/>
          <w:i w:val="0"/>
          <w:iCs w:val="0"/>
          <w:caps w:val="0"/>
          <w:smallCaps w:val="0"/>
          <w:noProof w:val="0"/>
          <w:color w:val="000000" w:themeColor="text1" w:themeTint="FF" w:themeShade="FF"/>
          <w:sz w:val="40"/>
          <w:szCs w:val="40"/>
          <w:lang w:val="en-GB"/>
        </w:rPr>
        <w:t>.</w:t>
      </w:r>
      <w:r w:rsidRPr="272350BB" w:rsidR="56A3B0F7">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rsidRPr="272350BB" w:rsidR="69E951A2">
        <w:rPr>
          <w:rFonts w:ascii="Arial" w:hAnsi="Arial" w:eastAsia="Arial" w:cs="Arial"/>
          <w:b w:val="0"/>
          <w:bCs w:val="0"/>
          <w:i w:val="0"/>
          <w:iCs w:val="0"/>
          <w:caps w:val="0"/>
          <w:smallCaps w:val="0"/>
          <w:noProof w:val="0"/>
          <w:color w:val="000000" w:themeColor="text1" w:themeTint="FF" w:themeShade="FF"/>
          <w:sz w:val="40"/>
          <w:szCs w:val="40"/>
          <w:lang w:val="en-GB"/>
        </w:rPr>
        <w:t xml:space="preserve">Robert </w:t>
      </w:r>
      <w:r w:rsidRPr="272350BB" w:rsidR="69E951A2">
        <w:rPr>
          <w:rFonts w:ascii="Arial" w:hAnsi="Arial" w:eastAsia="Arial" w:cs="Arial"/>
          <w:b w:val="0"/>
          <w:bCs w:val="0"/>
          <w:i w:val="0"/>
          <w:iCs w:val="0"/>
          <w:caps w:val="0"/>
          <w:smallCaps w:val="0"/>
          <w:noProof w:val="0"/>
          <w:color w:val="000000" w:themeColor="text1" w:themeTint="FF" w:themeShade="FF"/>
          <w:sz w:val="40"/>
          <w:szCs w:val="40"/>
          <w:lang w:val="en-GB"/>
        </w:rPr>
        <w:t>Nart</w:t>
      </w:r>
      <w:r w:rsidRPr="272350BB" w:rsidR="149F515A">
        <w:rPr>
          <w:rFonts w:ascii="Arial" w:hAnsi="Arial" w:eastAsia="Arial" w:cs="Arial"/>
          <w:b w:val="0"/>
          <w:bCs w:val="0"/>
          <w:i w:val="0"/>
          <w:iCs w:val="0"/>
          <w:caps w:val="0"/>
          <w:smallCaps w:val="0"/>
          <w:noProof w:val="0"/>
          <w:color w:val="000000" w:themeColor="text1" w:themeTint="FF" w:themeShade="FF"/>
          <w:sz w:val="40"/>
          <w:szCs w:val="40"/>
          <w:lang w:val="en-GB"/>
        </w:rPr>
        <w:t>ow</w:t>
      </w:r>
      <w:r w:rsidRPr="272350BB" w:rsidR="39DD6FA9">
        <w:rPr>
          <w:rFonts w:ascii="Arial" w:hAnsi="Arial" w:eastAsia="Arial" w:cs="Arial"/>
          <w:b w:val="0"/>
          <w:bCs w:val="0"/>
          <w:i w:val="0"/>
          <w:iCs w:val="0"/>
          <w:caps w:val="0"/>
          <w:smallCaps w:val="0"/>
          <w:noProof w:val="0"/>
          <w:color w:val="000000" w:themeColor="text1" w:themeTint="FF" w:themeShade="FF"/>
          <w:sz w:val="40"/>
          <w:szCs w:val="40"/>
          <w:lang w:val="en-GB"/>
        </w:rPr>
        <w:t>ski</w:t>
      </w:r>
    </w:p>
    <w:p w:rsidR="272350BB" w:rsidP="272350BB" w:rsidRDefault="272350BB" w14:paraId="16EE79D2" w14:textId="59A7F1BF">
      <w:pPr>
        <w:jc w:val="left"/>
        <w:rPr>
          <w:rFonts w:ascii="Arial" w:hAnsi="Arial" w:eastAsia="Arial" w:cs="Arial"/>
          <w:b w:val="0"/>
          <w:bCs w:val="0"/>
          <w:i w:val="0"/>
          <w:iCs w:val="0"/>
          <w:caps w:val="0"/>
          <w:smallCaps w:val="0"/>
          <w:noProof w:val="0"/>
          <w:color w:val="000000" w:themeColor="text1" w:themeTint="FF" w:themeShade="FF"/>
          <w:sz w:val="40"/>
          <w:szCs w:val="40"/>
          <w:lang w:val="en-GB"/>
        </w:rPr>
      </w:pPr>
    </w:p>
    <w:p w:rsidR="4B70BCE9" w:rsidP="272350BB" w:rsidRDefault="4B70BCE9" w14:paraId="3368EB49" w14:textId="13618376">
      <w:pPr>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272350BB" w:rsidR="4B70BCE9">
        <w:rPr>
          <w:rFonts w:ascii="Arial" w:hAnsi="Arial" w:eastAsia="Arial" w:cs="Arial"/>
          <w:b w:val="1"/>
          <w:bCs w:val="1"/>
          <w:i w:val="0"/>
          <w:iCs w:val="0"/>
          <w:caps w:val="0"/>
          <w:smallCaps w:val="0"/>
          <w:noProof w:val="0"/>
          <w:color w:val="000000" w:themeColor="text1" w:themeTint="FF" w:themeShade="FF"/>
          <w:sz w:val="40"/>
          <w:szCs w:val="40"/>
          <w:lang w:val="en-GB"/>
        </w:rPr>
        <w:t>Submission deadline</w:t>
      </w:r>
      <w:r w:rsidRPr="272350BB" w:rsidR="4B70BCE9">
        <w:rPr>
          <w:rFonts w:ascii="Arial" w:hAnsi="Arial" w:eastAsia="Arial" w:cs="Arial"/>
          <w:b w:val="0"/>
          <w:bCs w:val="0"/>
          <w:i w:val="0"/>
          <w:iCs w:val="0"/>
          <w:caps w:val="0"/>
          <w:smallCaps w:val="0"/>
          <w:noProof w:val="0"/>
          <w:color w:val="000000" w:themeColor="text1" w:themeTint="FF" w:themeShade="FF"/>
          <w:sz w:val="40"/>
          <w:szCs w:val="40"/>
          <w:lang w:val="en-GB"/>
        </w:rPr>
        <w:t>: 23</w:t>
      </w:r>
      <w:r w:rsidRPr="272350BB" w:rsidR="4B70BCE9">
        <w:rPr>
          <w:rFonts w:ascii="Arial" w:hAnsi="Arial" w:eastAsia="Arial" w:cs="Arial"/>
          <w:b w:val="0"/>
          <w:bCs w:val="0"/>
          <w:i w:val="0"/>
          <w:iCs w:val="0"/>
          <w:caps w:val="0"/>
          <w:smallCaps w:val="0"/>
          <w:noProof w:val="0"/>
          <w:color w:val="000000" w:themeColor="text1" w:themeTint="FF" w:themeShade="FF"/>
          <w:sz w:val="40"/>
          <w:szCs w:val="40"/>
          <w:vertAlign w:val="superscript"/>
          <w:lang w:val="en-GB"/>
        </w:rPr>
        <w:t>rd</w:t>
      </w:r>
      <w:r w:rsidRPr="272350BB" w:rsidR="4B70BCE9">
        <w:rPr>
          <w:rFonts w:ascii="Arial" w:hAnsi="Arial" w:eastAsia="Arial" w:cs="Arial"/>
          <w:b w:val="0"/>
          <w:bCs w:val="0"/>
          <w:i w:val="0"/>
          <w:iCs w:val="0"/>
          <w:caps w:val="0"/>
          <w:smallCaps w:val="0"/>
          <w:noProof w:val="0"/>
          <w:color w:val="000000" w:themeColor="text1" w:themeTint="FF" w:themeShade="FF"/>
          <w:sz w:val="40"/>
          <w:szCs w:val="40"/>
          <w:lang w:val="en-GB"/>
        </w:rPr>
        <w:t xml:space="preserve"> February 2026</w:t>
      </w:r>
    </w:p>
    <w:p w:rsidR="272350BB" w:rsidP="272350BB" w:rsidRDefault="272350BB" w14:paraId="1C393012" w14:textId="3CADB8FD">
      <w:pPr>
        <w:jc w:val="left"/>
        <w:rPr>
          <w:rFonts w:ascii="Arial" w:hAnsi="Arial" w:eastAsia="Arial" w:cs="Arial"/>
          <w:b w:val="0"/>
          <w:bCs w:val="0"/>
          <w:i w:val="0"/>
          <w:iCs w:val="0"/>
          <w:caps w:val="0"/>
          <w:smallCaps w:val="0"/>
          <w:noProof w:val="0"/>
          <w:color w:val="000000" w:themeColor="text1" w:themeTint="FF" w:themeShade="FF"/>
          <w:sz w:val="40"/>
          <w:szCs w:val="40"/>
          <w:lang w:val="en-GB"/>
        </w:rPr>
      </w:pPr>
    </w:p>
    <w:sdt>
      <w:sdtPr>
        <w:id w:val="1109101569"/>
        <w:docPartObj>
          <w:docPartGallery w:val="Table of Contents"/>
          <w:docPartUnique/>
        </w:docPartObj>
      </w:sdtPr>
      <w:sdtContent>
        <w:p w:rsidR="272350BB" w:rsidP="272350BB" w:rsidRDefault="272350BB" w14:paraId="148A4ED1" w14:textId="6A749C6E">
          <w:pPr>
            <w:pStyle w:val="TOC1"/>
            <w:tabs>
              <w:tab w:val="right" w:leader="dot" w:pos="9015"/>
            </w:tabs>
            <w:bidi w:val="0"/>
            <w:rPr>
              <w:rStyle w:val="Hyperlink"/>
              <w:sz w:val="22"/>
              <w:szCs w:val="22"/>
            </w:rPr>
          </w:pPr>
          <w:r>
            <w:fldChar w:fldCharType="begin"/>
          </w:r>
          <w:r>
            <w:instrText xml:space="preserve">TOC \o "1-9" \z \u \h</w:instrText>
          </w:r>
          <w:r>
            <w:fldChar w:fldCharType="separate"/>
          </w:r>
          <w:hyperlink w:anchor="_Toc2143629193">
            <w:r w:rsidRPr="272350BB" w:rsidR="272350BB">
              <w:rPr>
                <w:rStyle w:val="Hyperlink"/>
                <w:sz w:val="22"/>
                <w:szCs w:val="22"/>
              </w:rPr>
              <w:t>An Analysis of Type 2 Diabetes: A Case Study Report for Practice Nurses</w:t>
            </w:r>
            <w:r>
              <w:tab/>
            </w:r>
            <w:r>
              <w:fldChar w:fldCharType="begin"/>
            </w:r>
            <w:r>
              <w:instrText xml:space="preserve">PAGEREF _Toc2143629193 \h</w:instrText>
            </w:r>
            <w:r>
              <w:fldChar w:fldCharType="separate"/>
            </w:r>
            <w:r w:rsidRPr="272350BB" w:rsidR="272350BB">
              <w:rPr>
                <w:rStyle w:val="Hyperlink"/>
                <w:sz w:val="22"/>
                <w:szCs w:val="22"/>
              </w:rPr>
              <w:t>2</w:t>
            </w:r>
            <w:r>
              <w:fldChar w:fldCharType="end"/>
            </w:r>
          </w:hyperlink>
        </w:p>
        <w:p w:rsidR="272350BB" w:rsidP="272350BB" w:rsidRDefault="272350BB" w14:paraId="149B9F90" w14:textId="610798E2">
          <w:pPr>
            <w:pStyle w:val="TOC2"/>
            <w:tabs>
              <w:tab w:val="right" w:leader="dot" w:pos="9015"/>
            </w:tabs>
            <w:bidi w:val="0"/>
            <w:rPr>
              <w:rStyle w:val="Hyperlink"/>
              <w:sz w:val="22"/>
              <w:szCs w:val="22"/>
            </w:rPr>
          </w:pPr>
          <w:hyperlink w:anchor="_Toc864824148">
            <w:r w:rsidRPr="272350BB" w:rsidR="272350BB">
              <w:rPr>
                <w:rStyle w:val="Hyperlink"/>
                <w:sz w:val="22"/>
                <w:szCs w:val="22"/>
              </w:rPr>
              <w:t>Introduction</w:t>
            </w:r>
            <w:r>
              <w:tab/>
            </w:r>
            <w:r>
              <w:fldChar w:fldCharType="begin"/>
            </w:r>
            <w:r>
              <w:instrText xml:space="preserve">PAGEREF _Toc864824148 \h</w:instrText>
            </w:r>
            <w:r>
              <w:fldChar w:fldCharType="separate"/>
            </w:r>
            <w:r w:rsidRPr="272350BB" w:rsidR="272350BB">
              <w:rPr>
                <w:rStyle w:val="Hyperlink"/>
                <w:sz w:val="22"/>
                <w:szCs w:val="22"/>
              </w:rPr>
              <w:t>2</w:t>
            </w:r>
            <w:r>
              <w:fldChar w:fldCharType="end"/>
            </w:r>
          </w:hyperlink>
        </w:p>
        <w:p w:rsidR="272350BB" w:rsidP="272350BB" w:rsidRDefault="272350BB" w14:paraId="477255DF" w14:textId="66435CD5">
          <w:pPr>
            <w:pStyle w:val="TOC1"/>
            <w:tabs>
              <w:tab w:val="right" w:leader="dot" w:pos="9015"/>
            </w:tabs>
            <w:bidi w:val="0"/>
            <w:rPr>
              <w:rStyle w:val="Hyperlink"/>
              <w:sz w:val="22"/>
              <w:szCs w:val="22"/>
            </w:rPr>
          </w:pPr>
          <w:hyperlink w:anchor="_Toc275769683">
            <w:r w:rsidRPr="272350BB" w:rsidR="272350BB">
              <w:rPr>
                <w:rStyle w:val="Hyperlink"/>
                <w:sz w:val="22"/>
                <w:szCs w:val="22"/>
              </w:rPr>
              <w:t>Diabetes: Causes and Risk Factors</w:t>
            </w:r>
            <w:r>
              <w:tab/>
            </w:r>
            <w:r>
              <w:fldChar w:fldCharType="begin"/>
            </w:r>
            <w:r>
              <w:instrText xml:space="preserve">PAGEREF _Toc275769683 \h</w:instrText>
            </w:r>
            <w:r>
              <w:fldChar w:fldCharType="separate"/>
            </w:r>
            <w:r w:rsidRPr="272350BB" w:rsidR="272350BB">
              <w:rPr>
                <w:rStyle w:val="Hyperlink"/>
                <w:sz w:val="22"/>
                <w:szCs w:val="22"/>
              </w:rPr>
              <w:t>3</w:t>
            </w:r>
            <w:r>
              <w:fldChar w:fldCharType="end"/>
            </w:r>
          </w:hyperlink>
        </w:p>
        <w:p w:rsidR="272350BB" w:rsidP="272350BB" w:rsidRDefault="272350BB" w14:paraId="2EF963A4" w14:textId="1488EEF6">
          <w:pPr>
            <w:pStyle w:val="TOC1"/>
            <w:tabs>
              <w:tab w:val="right" w:leader="dot" w:pos="9015"/>
            </w:tabs>
            <w:bidi w:val="0"/>
            <w:rPr>
              <w:rStyle w:val="Hyperlink"/>
              <w:sz w:val="22"/>
              <w:szCs w:val="22"/>
            </w:rPr>
          </w:pPr>
          <w:hyperlink w:anchor="_Toc923007019">
            <w:r w:rsidRPr="272350BB" w:rsidR="272350BB">
              <w:rPr>
                <w:rStyle w:val="Hyperlink"/>
                <w:sz w:val="22"/>
                <w:szCs w:val="22"/>
              </w:rPr>
              <w:t>The Anatomy and Physiology of Glucose Homeostasis</w:t>
            </w:r>
            <w:r>
              <w:tab/>
            </w:r>
            <w:r>
              <w:fldChar w:fldCharType="begin"/>
            </w:r>
            <w:r>
              <w:instrText xml:space="preserve">PAGEREF _Toc923007019 \h</w:instrText>
            </w:r>
            <w:r>
              <w:fldChar w:fldCharType="separate"/>
            </w:r>
            <w:r w:rsidRPr="272350BB" w:rsidR="272350BB">
              <w:rPr>
                <w:rStyle w:val="Hyperlink"/>
                <w:sz w:val="22"/>
                <w:szCs w:val="22"/>
              </w:rPr>
              <w:t>3</w:t>
            </w:r>
            <w:r>
              <w:fldChar w:fldCharType="end"/>
            </w:r>
          </w:hyperlink>
        </w:p>
        <w:p w:rsidR="272350BB" w:rsidP="272350BB" w:rsidRDefault="272350BB" w14:paraId="6ECC79C9" w14:textId="3F91FD9F">
          <w:pPr>
            <w:pStyle w:val="TOC2"/>
            <w:tabs>
              <w:tab w:val="right" w:leader="dot" w:pos="9015"/>
            </w:tabs>
            <w:bidi w:val="0"/>
            <w:rPr>
              <w:rStyle w:val="Hyperlink"/>
              <w:sz w:val="22"/>
              <w:szCs w:val="22"/>
            </w:rPr>
          </w:pPr>
          <w:hyperlink w:anchor="_Toc869312503">
            <w:r w:rsidRPr="272350BB" w:rsidR="272350BB">
              <w:rPr>
                <w:rStyle w:val="Hyperlink"/>
                <w:sz w:val="22"/>
                <w:szCs w:val="22"/>
              </w:rPr>
              <w:t>The Function of Glucose in Energy Metabolism</w:t>
            </w:r>
            <w:r>
              <w:tab/>
            </w:r>
            <w:r>
              <w:fldChar w:fldCharType="begin"/>
            </w:r>
            <w:r>
              <w:instrText xml:space="preserve">PAGEREF _Toc869312503 \h</w:instrText>
            </w:r>
            <w:r>
              <w:fldChar w:fldCharType="separate"/>
            </w:r>
            <w:r w:rsidRPr="272350BB" w:rsidR="272350BB">
              <w:rPr>
                <w:rStyle w:val="Hyperlink"/>
                <w:sz w:val="22"/>
                <w:szCs w:val="22"/>
              </w:rPr>
              <w:t>4</w:t>
            </w:r>
            <w:r>
              <w:fldChar w:fldCharType="end"/>
            </w:r>
          </w:hyperlink>
        </w:p>
        <w:p w:rsidR="272350BB" w:rsidP="272350BB" w:rsidRDefault="272350BB" w14:paraId="5E0B3DBC" w14:textId="5288DDC5">
          <w:pPr>
            <w:pStyle w:val="TOC2"/>
            <w:tabs>
              <w:tab w:val="right" w:leader="dot" w:pos="9015"/>
            </w:tabs>
            <w:bidi w:val="0"/>
            <w:rPr>
              <w:rStyle w:val="Hyperlink"/>
              <w:sz w:val="22"/>
              <w:szCs w:val="22"/>
            </w:rPr>
          </w:pPr>
          <w:hyperlink w:anchor="_Toc256875331">
            <w:r w:rsidRPr="272350BB" w:rsidR="272350BB">
              <w:rPr>
                <w:rStyle w:val="Hyperlink"/>
                <w:sz w:val="22"/>
                <w:szCs w:val="22"/>
              </w:rPr>
              <w:t>Metabolic Pathways Supporting Regulation</w:t>
            </w:r>
            <w:r>
              <w:tab/>
            </w:r>
            <w:r>
              <w:fldChar w:fldCharType="begin"/>
            </w:r>
            <w:r>
              <w:instrText xml:space="preserve">PAGEREF _Toc256875331 \h</w:instrText>
            </w:r>
            <w:r>
              <w:fldChar w:fldCharType="separate"/>
            </w:r>
            <w:r w:rsidRPr="272350BB" w:rsidR="272350BB">
              <w:rPr>
                <w:rStyle w:val="Hyperlink"/>
                <w:sz w:val="22"/>
                <w:szCs w:val="22"/>
              </w:rPr>
              <w:t>5</w:t>
            </w:r>
            <w:r>
              <w:fldChar w:fldCharType="end"/>
            </w:r>
          </w:hyperlink>
        </w:p>
        <w:p w:rsidR="272350BB" w:rsidP="272350BB" w:rsidRDefault="272350BB" w14:paraId="264C9B9D" w14:textId="28A2DEB8">
          <w:pPr>
            <w:pStyle w:val="TOC2"/>
            <w:tabs>
              <w:tab w:val="right" w:leader="dot" w:pos="9015"/>
            </w:tabs>
            <w:bidi w:val="0"/>
            <w:rPr>
              <w:rStyle w:val="Hyperlink"/>
              <w:sz w:val="22"/>
              <w:szCs w:val="22"/>
            </w:rPr>
          </w:pPr>
          <w:hyperlink w:anchor="_Toc683388419">
            <w:r w:rsidRPr="272350BB" w:rsidR="272350BB">
              <w:rPr>
                <w:rStyle w:val="Hyperlink"/>
                <w:sz w:val="22"/>
                <w:szCs w:val="22"/>
              </w:rPr>
              <w:t>Hormonal and Organ System Integration</w:t>
            </w:r>
            <w:r>
              <w:tab/>
            </w:r>
            <w:r>
              <w:fldChar w:fldCharType="begin"/>
            </w:r>
            <w:r>
              <w:instrText xml:space="preserve">PAGEREF _Toc683388419 \h</w:instrText>
            </w:r>
            <w:r>
              <w:fldChar w:fldCharType="separate"/>
            </w:r>
            <w:r w:rsidRPr="272350BB" w:rsidR="272350BB">
              <w:rPr>
                <w:rStyle w:val="Hyperlink"/>
                <w:sz w:val="22"/>
                <w:szCs w:val="22"/>
              </w:rPr>
              <w:t>5</w:t>
            </w:r>
            <w:r>
              <w:fldChar w:fldCharType="end"/>
            </w:r>
          </w:hyperlink>
        </w:p>
        <w:p w:rsidR="272350BB" w:rsidP="272350BB" w:rsidRDefault="272350BB" w14:paraId="46F57904" w14:textId="4C3DD04E">
          <w:pPr>
            <w:pStyle w:val="TOC2"/>
            <w:tabs>
              <w:tab w:val="right" w:leader="dot" w:pos="9015"/>
            </w:tabs>
            <w:bidi w:val="0"/>
            <w:rPr>
              <w:rStyle w:val="Hyperlink"/>
              <w:sz w:val="22"/>
              <w:szCs w:val="22"/>
            </w:rPr>
          </w:pPr>
          <w:hyperlink w:anchor="_Toc1679853694">
            <w:r w:rsidRPr="272350BB" w:rsidR="272350BB">
              <w:rPr>
                <w:rStyle w:val="Hyperlink"/>
                <w:sz w:val="22"/>
                <w:szCs w:val="22"/>
              </w:rPr>
              <w:t>Circadian Regulation of Blood Glucose</w:t>
            </w:r>
            <w:r>
              <w:tab/>
            </w:r>
            <w:r>
              <w:fldChar w:fldCharType="begin"/>
            </w:r>
            <w:r>
              <w:instrText xml:space="preserve">PAGEREF _Toc1679853694 \h</w:instrText>
            </w:r>
            <w:r>
              <w:fldChar w:fldCharType="separate"/>
            </w:r>
            <w:r w:rsidRPr="272350BB" w:rsidR="272350BB">
              <w:rPr>
                <w:rStyle w:val="Hyperlink"/>
                <w:sz w:val="22"/>
                <w:szCs w:val="22"/>
              </w:rPr>
              <w:t>6</w:t>
            </w:r>
            <w:r>
              <w:fldChar w:fldCharType="end"/>
            </w:r>
          </w:hyperlink>
        </w:p>
        <w:p w:rsidR="272350BB" w:rsidP="272350BB" w:rsidRDefault="272350BB" w14:paraId="2E302D2A" w14:textId="3A69CD8A">
          <w:pPr>
            <w:pStyle w:val="TOC2"/>
            <w:tabs>
              <w:tab w:val="right" w:leader="dot" w:pos="9015"/>
            </w:tabs>
            <w:bidi w:val="0"/>
            <w:rPr>
              <w:rStyle w:val="Hyperlink"/>
              <w:sz w:val="22"/>
              <w:szCs w:val="22"/>
            </w:rPr>
          </w:pPr>
          <w:hyperlink w:anchor="_Toc1794508011">
            <w:r w:rsidRPr="272350BB" w:rsidR="272350BB">
              <w:rPr>
                <w:rStyle w:val="Hyperlink"/>
                <w:sz w:val="22"/>
                <w:szCs w:val="22"/>
              </w:rPr>
              <w:t>Linking Anatomy and Physiology: Complications of Chronic Hyperglycaemia</w:t>
            </w:r>
            <w:r>
              <w:tab/>
            </w:r>
            <w:r>
              <w:fldChar w:fldCharType="begin"/>
            </w:r>
            <w:r>
              <w:instrText xml:space="preserve">PAGEREF _Toc1794508011 \h</w:instrText>
            </w:r>
            <w:r>
              <w:fldChar w:fldCharType="separate"/>
            </w:r>
            <w:r w:rsidRPr="272350BB" w:rsidR="272350BB">
              <w:rPr>
                <w:rStyle w:val="Hyperlink"/>
                <w:sz w:val="22"/>
                <w:szCs w:val="22"/>
              </w:rPr>
              <w:t>6</w:t>
            </w:r>
            <w:r>
              <w:fldChar w:fldCharType="end"/>
            </w:r>
          </w:hyperlink>
        </w:p>
        <w:p w:rsidR="272350BB" w:rsidP="272350BB" w:rsidRDefault="272350BB" w14:paraId="50963400" w14:textId="3CE3B8B0">
          <w:pPr>
            <w:pStyle w:val="TOC2"/>
            <w:tabs>
              <w:tab w:val="right" w:leader="dot" w:pos="9015"/>
            </w:tabs>
            <w:bidi w:val="0"/>
            <w:rPr>
              <w:rStyle w:val="Hyperlink"/>
              <w:sz w:val="22"/>
              <w:szCs w:val="22"/>
            </w:rPr>
          </w:pPr>
          <w:hyperlink w:anchor="_Toc1924852379">
            <w:r w:rsidRPr="272350BB" w:rsidR="272350BB">
              <w:rPr>
                <w:rStyle w:val="Hyperlink"/>
                <w:sz w:val="22"/>
                <w:szCs w:val="22"/>
              </w:rPr>
              <w:t>Cellular Respiration: Oxygen and Glucose in ATP Production</w:t>
            </w:r>
            <w:r>
              <w:tab/>
            </w:r>
            <w:r>
              <w:fldChar w:fldCharType="begin"/>
            </w:r>
            <w:r>
              <w:instrText xml:space="preserve">PAGEREF _Toc1924852379 \h</w:instrText>
            </w:r>
            <w:r>
              <w:fldChar w:fldCharType="separate"/>
            </w:r>
            <w:r w:rsidRPr="272350BB" w:rsidR="272350BB">
              <w:rPr>
                <w:rStyle w:val="Hyperlink"/>
                <w:sz w:val="22"/>
                <w:szCs w:val="22"/>
              </w:rPr>
              <w:t>6</w:t>
            </w:r>
            <w:r>
              <w:fldChar w:fldCharType="end"/>
            </w:r>
          </w:hyperlink>
        </w:p>
        <w:p w:rsidR="272350BB" w:rsidP="272350BB" w:rsidRDefault="272350BB" w14:paraId="2A84D216" w14:textId="012707AD">
          <w:pPr>
            <w:pStyle w:val="TOC2"/>
            <w:tabs>
              <w:tab w:val="right" w:leader="dot" w:pos="9015"/>
            </w:tabs>
            <w:bidi w:val="0"/>
            <w:rPr>
              <w:rStyle w:val="Hyperlink"/>
              <w:sz w:val="22"/>
              <w:szCs w:val="22"/>
            </w:rPr>
          </w:pPr>
          <w:hyperlink w:anchor="_Toc1738174445">
            <w:r w:rsidRPr="272350BB" w:rsidR="272350BB">
              <w:rPr>
                <w:rStyle w:val="Hyperlink"/>
                <w:sz w:val="22"/>
                <w:szCs w:val="22"/>
              </w:rPr>
              <w:t>Methods for Research and Evidence Synthesis</w:t>
            </w:r>
            <w:r>
              <w:tab/>
            </w:r>
            <w:r>
              <w:fldChar w:fldCharType="begin"/>
            </w:r>
            <w:r>
              <w:instrText xml:space="preserve">PAGEREF _Toc1738174445 \h</w:instrText>
            </w:r>
            <w:r>
              <w:fldChar w:fldCharType="separate"/>
            </w:r>
            <w:r w:rsidRPr="272350BB" w:rsidR="272350BB">
              <w:rPr>
                <w:rStyle w:val="Hyperlink"/>
                <w:sz w:val="22"/>
                <w:szCs w:val="22"/>
              </w:rPr>
              <w:t>7</w:t>
            </w:r>
            <w:r>
              <w:fldChar w:fldCharType="end"/>
            </w:r>
          </w:hyperlink>
        </w:p>
        <w:p w:rsidR="272350BB" w:rsidP="272350BB" w:rsidRDefault="272350BB" w14:paraId="22F0D6AE" w14:textId="4563708F">
          <w:pPr>
            <w:pStyle w:val="TOC1"/>
            <w:tabs>
              <w:tab w:val="right" w:leader="dot" w:pos="9015"/>
            </w:tabs>
            <w:bidi w:val="0"/>
            <w:rPr>
              <w:rStyle w:val="Hyperlink"/>
              <w:sz w:val="22"/>
              <w:szCs w:val="22"/>
            </w:rPr>
          </w:pPr>
          <w:hyperlink w:anchor="_Toc325533636">
            <w:r w:rsidRPr="272350BB" w:rsidR="272350BB">
              <w:rPr>
                <w:rStyle w:val="Hyperlink"/>
                <w:sz w:val="22"/>
                <w:szCs w:val="22"/>
              </w:rPr>
              <w:t>The Importance of Blood Glucose Monitoring in T2DM</w:t>
            </w:r>
            <w:r>
              <w:tab/>
            </w:r>
            <w:r>
              <w:fldChar w:fldCharType="begin"/>
            </w:r>
            <w:r>
              <w:instrText xml:space="preserve">PAGEREF _Toc325533636 \h</w:instrText>
            </w:r>
            <w:r>
              <w:fldChar w:fldCharType="separate"/>
            </w:r>
            <w:r w:rsidRPr="272350BB" w:rsidR="272350BB">
              <w:rPr>
                <w:rStyle w:val="Hyperlink"/>
                <w:sz w:val="22"/>
                <w:szCs w:val="22"/>
              </w:rPr>
              <w:t>7</w:t>
            </w:r>
            <w:r>
              <w:fldChar w:fldCharType="end"/>
            </w:r>
          </w:hyperlink>
        </w:p>
        <w:p w:rsidR="272350BB" w:rsidP="272350BB" w:rsidRDefault="272350BB" w14:paraId="06E32DE2" w14:textId="6AF85BA6">
          <w:pPr>
            <w:pStyle w:val="TOC1"/>
            <w:tabs>
              <w:tab w:val="right" w:leader="dot" w:pos="9015"/>
            </w:tabs>
            <w:bidi w:val="0"/>
            <w:rPr>
              <w:rStyle w:val="Hyperlink"/>
              <w:sz w:val="22"/>
              <w:szCs w:val="22"/>
            </w:rPr>
          </w:pPr>
          <w:hyperlink w:anchor="_Toc194199276">
            <w:r w:rsidRPr="272350BB" w:rsidR="272350BB">
              <w:rPr>
                <w:rStyle w:val="Hyperlink"/>
                <w:sz w:val="22"/>
                <w:szCs w:val="22"/>
              </w:rPr>
              <w:t>Lifestyle Interventions: Mechanisms and Evidence-Based Practice</w:t>
            </w:r>
            <w:r>
              <w:tab/>
            </w:r>
            <w:r>
              <w:fldChar w:fldCharType="begin"/>
            </w:r>
            <w:r>
              <w:instrText xml:space="preserve">PAGEREF _Toc194199276 \h</w:instrText>
            </w:r>
            <w:r>
              <w:fldChar w:fldCharType="separate"/>
            </w:r>
            <w:r w:rsidRPr="272350BB" w:rsidR="272350BB">
              <w:rPr>
                <w:rStyle w:val="Hyperlink"/>
                <w:sz w:val="22"/>
                <w:szCs w:val="22"/>
              </w:rPr>
              <w:t>8</w:t>
            </w:r>
            <w:r>
              <w:fldChar w:fldCharType="end"/>
            </w:r>
          </w:hyperlink>
        </w:p>
        <w:p w:rsidR="272350BB" w:rsidP="272350BB" w:rsidRDefault="272350BB" w14:paraId="2E9D2FC1" w14:textId="75F6F28D">
          <w:pPr>
            <w:pStyle w:val="TOC1"/>
            <w:tabs>
              <w:tab w:val="right" w:leader="dot" w:pos="9015"/>
            </w:tabs>
            <w:bidi w:val="0"/>
            <w:rPr>
              <w:rStyle w:val="Hyperlink"/>
              <w:sz w:val="22"/>
              <w:szCs w:val="22"/>
            </w:rPr>
          </w:pPr>
          <w:hyperlink w:anchor="_Toc521838479">
            <w:r w:rsidRPr="272350BB" w:rsidR="272350BB">
              <w:rPr>
                <w:rStyle w:val="Hyperlink"/>
                <w:sz w:val="22"/>
                <w:szCs w:val="22"/>
              </w:rPr>
              <w:t>Conclusion</w:t>
            </w:r>
            <w:r>
              <w:tab/>
            </w:r>
            <w:r>
              <w:fldChar w:fldCharType="begin"/>
            </w:r>
            <w:r>
              <w:instrText xml:space="preserve">PAGEREF _Toc521838479 \h</w:instrText>
            </w:r>
            <w:r>
              <w:fldChar w:fldCharType="separate"/>
            </w:r>
            <w:r w:rsidRPr="272350BB" w:rsidR="272350BB">
              <w:rPr>
                <w:rStyle w:val="Hyperlink"/>
                <w:sz w:val="22"/>
                <w:szCs w:val="22"/>
              </w:rPr>
              <w:t>8</w:t>
            </w:r>
            <w:r>
              <w:fldChar w:fldCharType="end"/>
            </w:r>
          </w:hyperlink>
        </w:p>
        <w:p w:rsidR="272350BB" w:rsidP="272350BB" w:rsidRDefault="272350BB" w14:paraId="6851AC74" w14:textId="15555652">
          <w:pPr>
            <w:pStyle w:val="TOC1"/>
            <w:tabs>
              <w:tab w:val="right" w:leader="dot" w:pos="9015"/>
            </w:tabs>
            <w:bidi w:val="0"/>
            <w:rPr>
              <w:rStyle w:val="Hyperlink"/>
              <w:sz w:val="22"/>
              <w:szCs w:val="22"/>
            </w:rPr>
          </w:pPr>
          <w:hyperlink w:anchor="_Toc392691334">
            <w:r w:rsidRPr="272350BB" w:rsidR="272350BB">
              <w:rPr>
                <w:rStyle w:val="Hyperlink"/>
                <w:sz w:val="22"/>
                <w:szCs w:val="22"/>
              </w:rPr>
              <w:t>Reference List</w:t>
            </w:r>
            <w:r>
              <w:tab/>
            </w:r>
            <w:r>
              <w:fldChar w:fldCharType="begin"/>
            </w:r>
            <w:r>
              <w:instrText xml:space="preserve">PAGEREF _Toc392691334 \h</w:instrText>
            </w:r>
            <w:r>
              <w:fldChar w:fldCharType="separate"/>
            </w:r>
            <w:r w:rsidRPr="272350BB" w:rsidR="272350BB">
              <w:rPr>
                <w:rStyle w:val="Hyperlink"/>
                <w:sz w:val="22"/>
                <w:szCs w:val="22"/>
              </w:rPr>
              <w:t>9</w:t>
            </w:r>
            <w:r>
              <w:fldChar w:fldCharType="end"/>
            </w:r>
          </w:hyperlink>
          <w:r>
            <w:fldChar w:fldCharType="end"/>
          </w:r>
        </w:p>
      </w:sdtContent>
    </w:sdt>
    <w:p w:rsidR="272350BB" w:rsidP="272350BB" w:rsidRDefault="272350BB" w14:paraId="2466A4E4" w14:textId="6061F5F2">
      <w:pPr>
        <w:pStyle w:val="Normal"/>
        <w:spacing w:line="360" w:lineRule="auto"/>
        <w:jc w:val="both"/>
        <w:rPr>
          <w:b w:val="1"/>
          <w:bCs w:val="1"/>
          <w:noProof w:val="0"/>
          <w:sz w:val="22"/>
          <w:szCs w:val="22"/>
          <w:lang w:val="en-GB"/>
        </w:rPr>
      </w:pPr>
    </w:p>
    <w:p w:rsidR="272350BB" w:rsidP="272350BB" w:rsidRDefault="272350BB" w14:paraId="4B521AF4" w14:textId="0540C71B">
      <w:pPr>
        <w:pStyle w:val="Normal"/>
        <w:jc w:val="both"/>
        <w:rPr>
          <w:b w:val="1"/>
          <w:bCs w:val="1"/>
          <w:noProof w:val="0"/>
          <w:lang w:val="en-GB"/>
        </w:rPr>
      </w:pPr>
    </w:p>
    <w:p w:rsidR="272350BB" w:rsidP="272350BB" w:rsidRDefault="272350BB" w14:paraId="210B8E22" w14:textId="3751515E">
      <w:pPr>
        <w:jc w:val="left"/>
        <w:rPr>
          <w:rFonts w:ascii="Arial" w:hAnsi="Arial" w:eastAsia="Arial" w:cs="Arial"/>
          <w:b w:val="0"/>
          <w:bCs w:val="0"/>
          <w:i w:val="0"/>
          <w:iCs w:val="0"/>
          <w:caps w:val="0"/>
          <w:smallCaps w:val="0"/>
          <w:noProof w:val="0"/>
          <w:color w:val="000000" w:themeColor="text1" w:themeTint="FF" w:themeShade="FF"/>
          <w:sz w:val="40"/>
          <w:szCs w:val="40"/>
          <w:lang w:val="en-GB"/>
        </w:rPr>
      </w:pPr>
    </w:p>
    <w:p w:rsidR="4C116F80" w:rsidP="272350BB" w:rsidRDefault="4C116F80" w14:paraId="574FE497" w14:textId="3DC29D68">
      <w:pPr>
        <w:jc w:val="both"/>
        <w:rPr>
          <w:rFonts w:ascii="Aptos" w:hAnsi="Aptos" w:eastAsia="Aptos" w:cs="Aptos"/>
          <w:b w:val="0"/>
          <w:bCs w:val="0"/>
          <w:i w:val="0"/>
          <w:iCs w:val="0"/>
          <w:caps w:val="0"/>
          <w:smallCaps w:val="0"/>
          <w:noProof w:val="0"/>
          <w:color w:val="467886"/>
          <w:sz w:val="24"/>
          <w:szCs w:val="24"/>
          <w:lang w:val="en-GB"/>
        </w:rPr>
      </w:pPr>
      <w:r w:rsidRPr="272350BB" w:rsidR="69E951A2">
        <w:rPr>
          <w:rFonts w:ascii="Aptos" w:hAnsi="Aptos" w:eastAsia="Aptos" w:cs="Aptos"/>
          <w:b w:val="0"/>
          <w:bCs w:val="0"/>
          <w:i w:val="0"/>
          <w:iCs w:val="0"/>
          <w:caps w:val="0"/>
          <w:smallCaps w:val="0"/>
          <w:strike w:val="0"/>
          <w:dstrike w:val="0"/>
          <w:noProof w:val="0"/>
          <w:color w:val="467886"/>
          <w:sz w:val="24"/>
          <w:szCs w:val="24"/>
          <w:u w:val="single"/>
          <w:lang w:val="en-GB"/>
        </w:rPr>
        <w:t xml:space="preserve"> </w:t>
      </w:r>
    </w:p>
    <w:p w:rsidR="272350BB" w:rsidP="272350BB" w:rsidRDefault="272350BB" w14:paraId="14639172" w14:textId="58F86902">
      <w:pPr>
        <w:tabs>
          <w:tab w:val="right" w:leader="dot" w:pos="9015"/>
        </w:tabs>
        <w:spacing w:after="100"/>
        <w:ind w:left="220"/>
        <w:jc w:val="both"/>
        <w:rPr>
          <w:rFonts w:ascii="Aptos" w:hAnsi="Aptos" w:eastAsia="Aptos" w:cs="Aptos"/>
          <w:b w:val="0"/>
          <w:bCs w:val="0"/>
          <w:i w:val="0"/>
          <w:iCs w:val="0"/>
          <w:caps w:val="0"/>
          <w:smallCaps w:val="0"/>
          <w:strike w:val="0"/>
          <w:dstrike w:val="0"/>
          <w:noProof w:val="0"/>
          <w:color w:val="467886"/>
          <w:sz w:val="24"/>
          <w:szCs w:val="24"/>
          <w:u w:val="single"/>
          <w:lang w:val="en-GB"/>
        </w:rPr>
      </w:pPr>
    </w:p>
    <w:p w:rsidR="272350BB" w:rsidP="272350BB" w:rsidRDefault="272350BB" w14:paraId="2196E260" w14:textId="3BB4F7B4">
      <w:pPr>
        <w:tabs>
          <w:tab w:val="right" w:leader="dot" w:pos="9015"/>
        </w:tabs>
        <w:spacing w:after="100"/>
        <w:ind w:left="220"/>
        <w:jc w:val="both"/>
        <w:rPr>
          <w:rFonts w:ascii="Aptos" w:hAnsi="Aptos" w:eastAsia="Aptos" w:cs="Aptos"/>
          <w:b w:val="0"/>
          <w:bCs w:val="0"/>
          <w:i w:val="0"/>
          <w:iCs w:val="0"/>
          <w:caps w:val="0"/>
          <w:smallCaps w:val="0"/>
          <w:strike w:val="0"/>
          <w:dstrike w:val="0"/>
          <w:noProof w:val="0"/>
          <w:color w:val="467886"/>
          <w:sz w:val="24"/>
          <w:szCs w:val="24"/>
          <w:u w:val="single"/>
          <w:lang w:val="en-GB"/>
        </w:rPr>
      </w:pPr>
    </w:p>
    <w:p w:rsidR="272350BB" w:rsidP="272350BB" w:rsidRDefault="272350BB" w14:paraId="7407EFA4" w14:textId="444BEC58">
      <w:pPr>
        <w:pStyle w:val="Normal"/>
        <w:tabs>
          <w:tab w:val="right" w:leader="dot" w:pos="9015"/>
        </w:tabs>
        <w:spacing w:after="100"/>
        <w:ind w:left="0"/>
        <w:jc w:val="both"/>
        <w:rPr>
          <w:rFonts w:ascii="Aptos" w:hAnsi="Aptos" w:eastAsia="Aptos" w:cs="Aptos"/>
          <w:b w:val="0"/>
          <w:bCs w:val="0"/>
          <w:i w:val="0"/>
          <w:iCs w:val="0"/>
          <w:caps w:val="0"/>
          <w:smallCaps w:val="0"/>
          <w:strike w:val="0"/>
          <w:dstrike w:val="0"/>
          <w:noProof w:val="0"/>
          <w:color w:val="467886"/>
          <w:sz w:val="24"/>
          <w:szCs w:val="24"/>
          <w:u w:val="single"/>
          <w:lang w:val="en-GB"/>
        </w:rPr>
      </w:pPr>
    </w:p>
    <w:p w:rsidR="272350BB" w:rsidP="272350BB" w:rsidRDefault="272350BB" w14:paraId="1EFC660D" w14:textId="08BD602F">
      <w:pPr>
        <w:tabs>
          <w:tab w:val="right" w:leader="dot" w:pos="9015"/>
        </w:tabs>
        <w:spacing w:after="100"/>
        <w:ind w:left="220"/>
        <w:jc w:val="both"/>
        <w:rPr>
          <w:rFonts w:ascii="Aptos" w:hAnsi="Aptos" w:eastAsia="Aptos" w:cs="Aptos"/>
          <w:b w:val="0"/>
          <w:bCs w:val="0"/>
          <w:i w:val="0"/>
          <w:iCs w:val="0"/>
          <w:caps w:val="0"/>
          <w:smallCaps w:val="0"/>
          <w:strike w:val="0"/>
          <w:dstrike w:val="0"/>
          <w:noProof w:val="0"/>
          <w:color w:val="467886"/>
          <w:sz w:val="24"/>
          <w:szCs w:val="24"/>
          <w:u w:val="single"/>
          <w:lang w:val="en-GB"/>
        </w:rPr>
      </w:pPr>
    </w:p>
    <w:p w:rsidR="272350BB" w:rsidP="272350BB" w:rsidRDefault="272350BB" w14:paraId="2A29C28E" w14:textId="2F1E5CDB">
      <w:pPr>
        <w:tabs>
          <w:tab w:val="right" w:leader="dot" w:pos="9015"/>
        </w:tabs>
        <w:spacing w:after="100"/>
        <w:ind w:left="220"/>
        <w:jc w:val="both"/>
        <w:rPr>
          <w:rFonts w:ascii="Aptos" w:hAnsi="Aptos" w:eastAsia="Aptos" w:cs="Aptos"/>
          <w:b w:val="0"/>
          <w:bCs w:val="0"/>
          <w:i w:val="0"/>
          <w:iCs w:val="0"/>
          <w:caps w:val="0"/>
          <w:smallCaps w:val="0"/>
          <w:strike w:val="0"/>
          <w:dstrike w:val="0"/>
          <w:noProof w:val="0"/>
          <w:color w:val="467886"/>
          <w:sz w:val="24"/>
          <w:szCs w:val="24"/>
          <w:u w:val="single"/>
          <w:lang w:val="en-GB"/>
        </w:rPr>
      </w:pPr>
    </w:p>
    <w:p w:rsidR="272350BB" w:rsidP="272350BB" w:rsidRDefault="272350BB" w14:paraId="5EFB75B8" w14:textId="5CB866BA">
      <w:pPr>
        <w:tabs>
          <w:tab w:val="right" w:leader="dot" w:pos="9015"/>
        </w:tabs>
        <w:spacing w:after="100"/>
        <w:ind w:left="220"/>
        <w:jc w:val="both"/>
        <w:rPr>
          <w:rFonts w:ascii="Aptos" w:hAnsi="Aptos" w:eastAsia="Aptos" w:cs="Aptos"/>
          <w:b w:val="0"/>
          <w:bCs w:val="0"/>
          <w:i w:val="0"/>
          <w:iCs w:val="0"/>
          <w:caps w:val="0"/>
          <w:smallCaps w:val="0"/>
          <w:strike w:val="0"/>
          <w:dstrike w:val="0"/>
          <w:noProof w:val="0"/>
          <w:color w:val="467886"/>
          <w:sz w:val="24"/>
          <w:szCs w:val="24"/>
          <w:u w:val="single"/>
          <w:lang w:val="en-GB"/>
        </w:rPr>
      </w:pPr>
    </w:p>
    <w:p w:rsidR="272350BB" w:rsidP="272350BB" w:rsidRDefault="272350BB" w14:paraId="412290D5" w14:textId="1D1FD966">
      <w:pPr>
        <w:tabs>
          <w:tab w:val="right" w:leader="dot" w:pos="9015"/>
        </w:tabs>
        <w:spacing w:after="100"/>
        <w:ind w:left="220"/>
        <w:jc w:val="both"/>
        <w:rPr>
          <w:rFonts w:ascii="Aptos" w:hAnsi="Aptos" w:eastAsia="Aptos" w:cs="Aptos"/>
          <w:b w:val="0"/>
          <w:bCs w:val="0"/>
          <w:i w:val="0"/>
          <w:iCs w:val="0"/>
          <w:caps w:val="0"/>
          <w:smallCaps w:val="0"/>
          <w:strike w:val="0"/>
          <w:dstrike w:val="0"/>
          <w:noProof w:val="0"/>
          <w:color w:val="467886"/>
          <w:sz w:val="24"/>
          <w:szCs w:val="24"/>
          <w:u w:val="single"/>
          <w:lang w:val="en-GB"/>
        </w:rPr>
      </w:pPr>
    </w:p>
    <w:p w:rsidR="272350BB" w:rsidP="272350BB" w:rsidRDefault="272350BB" w14:paraId="588F93A6" w14:textId="61AAA8CF">
      <w:pPr>
        <w:tabs>
          <w:tab w:val="right" w:leader="dot" w:pos="9015"/>
        </w:tabs>
        <w:spacing w:after="100"/>
        <w:ind w:left="220"/>
        <w:jc w:val="both"/>
        <w:rPr>
          <w:rFonts w:ascii="Aptos" w:hAnsi="Aptos" w:eastAsia="Aptos" w:cs="Aptos"/>
          <w:b w:val="0"/>
          <w:bCs w:val="0"/>
          <w:i w:val="0"/>
          <w:iCs w:val="0"/>
          <w:caps w:val="0"/>
          <w:smallCaps w:val="0"/>
          <w:strike w:val="0"/>
          <w:dstrike w:val="0"/>
          <w:noProof w:val="0"/>
          <w:color w:val="467886"/>
          <w:sz w:val="24"/>
          <w:szCs w:val="24"/>
          <w:u w:val="single"/>
          <w:lang w:val="en-GB"/>
        </w:rPr>
      </w:pPr>
    </w:p>
    <w:p w:rsidR="272350BB" w:rsidP="272350BB" w:rsidRDefault="272350BB" w14:paraId="1903B804" w14:textId="2F24091C">
      <w:pPr>
        <w:tabs>
          <w:tab w:val="right" w:leader="dot" w:pos="9015"/>
        </w:tabs>
        <w:spacing w:after="100"/>
        <w:ind w:left="220"/>
        <w:jc w:val="both"/>
        <w:rPr>
          <w:rFonts w:ascii="Aptos" w:hAnsi="Aptos" w:eastAsia="Aptos" w:cs="Aptos"/>
          <w:b w:val="0"/>
          <w:bCs w:val="0"/>
          <w:i w:val="0"/>
          <w:iCs w:val="0"/>
          <w:caps w:val="0"/>
          <w:smallCaps w:val="0"/>
          <w:strike w:val="0"/>
          <w:dstrike w:val="0"/>
          <w:noProof w:val="0"/>
          <w:color w:val="467886"/>
          <w:sz w:val="24"/>
          <w:szCs w:val="24"/>
          <w:u w:val="single"/>
          <w:lang w:val="en-GB"/>
        </w:rPr>
      </w:pPr>
    </w:p>
    <w:p w:rsidR="272350BB" w:rsidP="272350BB" w:rsidRDefault="272350BB" w14:paraId="130DCDB4" w14:textId="367A2955">
      <w:pPr>
        <w:tabs>
          <w:tab w:val="right" w:leader="dot" w:pos="9015"/>
        </w:tabs>
        <w:spacing w:after="100"/>
        <w:ind w:left="220"/>
        <w:rPr>
          <w:rFonts w:ascii="Aptos" w:hAnsi="Aptos" w:eastAsia="Aptos" w:cs="Aptos"/>
          <w:b w:val="0"/>
          <w:bCs w:val="0"/>
          <w:i w:val="0"/>
          <w:iCs w:val="0"/>
          <w:caps w:val="0"/>
          <w:smallCaps w:val="0"/>
          <w:strike w:val="0"/>
          <w:dstrike w:val="0"/>
          <w:noProof w:val="0"/>
          <w:color w:val="467886"/>
          <w:sz w:val="24"/>
          <w:szCs w:val="24"/>
          <w:u w:val="single"/>
          <w:lang w:val="en-GB"/>
        </w:rPr>
      </w:pPr>
    </w:p>
    <w:p w:rsidR="272350BB" w:rsidP="272350BB" w:rsidRDefault="272350BB" w14:paraId="7740510A" w14:textId="24F44321">
      <w:pPr>
        <w:tabs>
          <w:tab w:val="right" w:leader="dot" w:pos="9015"/>
        </w:tabs>
        <w:spacing w:after="100"/>
        <w:ind w:left="220"/>
        <w:rPr>
          <w:rFonts w:ascii="Aptos" w:hAnsi="Aptos" w:eastAsia="Aptos" w:cs="Aptos"/>
          <w:b w:val="0"/>
          <w:bCs w:val="0"/>
          <w:i w:val="0"/>
          <w:iCs w:val="0"/>
          <w:caps w:val="0"/>
          <w:smallCaps w:val="0"/>
          <w:strike w:val="0"/>
          <w:dstrike w:val="0"/>
          <w:noProof w:val="0"/>
          <w:color w:val="467886"/>
          <w:sz w:val="24"/>
          <w:szCs w:val="24"/>
          <w:u w:val="single"/>
          <w:lang w:val="en-GB"/>
        </w:rPr>
      </w:pPr>
    </w:p>
    <w:p w:rsidR="4C116F80" w:rsidP="1BA45B2A" w:rsidRDefault="4C116F80" w14:paraId="7C48050A" w14:textId="45D2315E">
      <w:pPr>
        <w:tabs>
          <w:tab w:val="right" w:leader="dot" w:pos="9015"/>
        </w:tabs>
        <w:spacing w:after="100"/>
        <w:ind w:left="220"/>
        <w:rPr>
          <w:rFonts w:ascii="Aptos" w:hAnsi="Aptos" w:eastAsia="Aptos" w:cs="Aptos"/>
          <w:b w:val="0"/>
          <w:bCs w:val="0"/>
          <w:i w:val="0"/>
          <w:iCs w:val="0"/>
          <w:caps w:val="0"/>
          <w:smallCaps w:val="0"/>
          <w:noProof w:val="0"/>
          <w:color w:val="467886"/>
          <w:sz w:val="24"/>
          <w:szCs w:val="24"/>
          <w:lang w:val="en-GB"/>
        </w:rPr>
      </w:pPr>
      <w:r w:rsidRPr="1BA45B2A" w:rsidR="4C116F80">
        <w:rPr>
          <w:rFonts w:ascii="Aptos" w:hAnsi="Aptos" w:eastAsia="Aptos" w:cs="Aptos"/>
          <w:b w:val="0"/>
          <w:bCs w:val="0"/>
          <w:i w:val="0"/>
          <w:iCs w:val="0"/>
          <w:caps w:val="0"/>
          <w:smallCaps w:val="0"/>
          <w:strike w:val="0"/>
          <w:dstrike w:val="0"/>
          <w:noProof w:val="0"/>
          <w:color w:val="467886"/>
          <w:sz w:val="24"/>
          <w:szCs w:val="24"/>
          <w:u w:val="single"/>
          <w:lang w:val="en-GB"/>
        </w:rPr>
        <w:t xml:space="preserve"> </w:t>
      </w:r>
    </w:p>
    <w:p w:rsidR="4C116F80" w:rsidP="1BA45B2A" w:rsidRDefault="4C116F80" w14:paraId="2AE52E0A" w14:textId="4AF65D9B">
      <w:pPr>
        <w:tabs>
          <w:tab w:val="right" w:leader="dot" w:pos="9015"/>
        </w:tabs>
        <w:spacing w:after="100"/>
        <w:ind w:left="220"/>
        <w:rPr>
          <w:rFonts w:ascii="Aptos" w:hAnsi="Aptos" w:eastAsia="Aptos" w:cs="Aptos"/>
          <w:b w:val="0"/>
          <w:bCs w:val="0"/>
          <w:i w:val="0"/>
          <w:iCs w:val="0"/>
          <w:caps w:val="0"/>
          <w:smallCaps w:val="0"/>
          <w:noProof w:val="0"/>
          <w:color w:val="467886"/>
          <w:sz w:val="24"/>
          <w:szCs w:val="24"/>
          <w:lang w:val="en-GB"/>
        </w:rPr>
      </w:pPr>
      <w:r w:rsidRPr="272350BB" w:rsidR="69E951A2">
        <w:rPr>
          <w:rFonts w:ascii="Aptos" w:hAnsi="Aptos" w:eastAsia="Aptos" w:cs="Aptos"/>
          <w:b w:val="0"/>
          <w:bCs w:val="0"/>
          <w:i w:val="0"/>
          <w:iCs w:val="0"/>
          <w:caps w:val="0"/>
          <w:smallCaps w:val="0"/>
          <w:strike w:val="0"/>
          <w:dstrike w:val="0"/>
          <w:noProof w:val="0"/>
          <w:color w:val="467886"/>
          <w:sz w:val="24"/>
          <w:szCs w:val="24"/>
          <w:u w:val="single"/>
          <w:lang w:val="en-GB"/>
        </w:rPr>
        <w:t xml:space="preserve"> </w:t>
      </w:r>
    </w:p>
    <w:p w:rsidR="272350BB" w:rsidP="272350BB" w:rsidRDefault="272350BB" w14:paraId="761A8CFE" w14:textId="0BAE84ED">
      <w:pPr>
        <w:pStyle w:val="Normal"/>
        <w:spacing w:line="360" w:lineRule="auto"/>
        <w:jc w:val="left"/>
        <w:rPr>
          <w:noProof w:val="0"/>
          <w:lang w:val="en-GB"/>
        </w:rPr>
      </w:pPr>
    </w:p>
    <w:p w:rsidR="4457BD69" w:rsidP="272350BB" w:rsidRDefault="4457BD69" w14:paraId="7A7111F9" w14:textId="55EFC219">
      <w:pPr>
        <w:pStyle w:val="Heading1"/>
        <w:spacing w:line="360" w:lineRule="auto"/>
        <w:jc w:val="both"/>
        <w:rPr>
          <w:noProof w:val="0"/>
          <w:lang w:val="en-GB"/>
        </w:rPr>
      </w:pPr>
      <w:bookmarkStart w:name="_Toc2143629193" w:id="559514205"/>
      <w:r w:rsidRPr="272350BB" w:rsidR="4457BD69">
        <w:rPr>
          <w:noProof w:val="0"/>
          <w:lang w:val="en-GB"/>
        </w:rPr>
        <w:t>An Analysis of Type 2 Diabetes: A Case Study Report for Practice Nurses</w:t>
      </w:r>
      <w:bookmarkEnd w:id="559514205"/>
      <w:r w:rsidRPr="272350BB" w:rsidR="4457BD69">
        <w:rPr>
          <w:noProof w:val="0"/>
          <w:lang w:val="en-GB"/>
        </w:rPr>
        <w:t xml:space="preserve"> </w:t>
      </w:r>
    </w:p>
    <w:p w:rsidR="4457BD69" w:rsidP="272350BB" w:rsidRDefault="4457BD69" w14:paraId="48369124" w14:textId="1ADA3895">
      <w:pPr>
        <w:pStyle w:val="Heading2"/>
        <w:spacing w:line="360" w:lineRule="auto"/>
        <w:jc w:val="both"/>
        <w:rPr>
          <w:noProof w:val="0"/>
          <w:sz w:val="28"/>
          <w:szCs w:val="28"/>
          <w:lang w:val="en-GB"/>
        </w:rPr>
      </w:pPr>
      <w:bookmarkStart w:name="_Toc864824148" w:id="1771677552"/>
      <w:r w:rsidRPr="272350BB" w:rsidR="4457BD69">
        <w:rPr>
          <w:noProof w:val="0"/>
          <w:lang w:val="en-GB"/>
        </w:rPr>
        <w:t>I</w:t>
      </w:r>
      <w:r w:rsidRPr="272350BB" w:rsidR="4457BD69">
        <w:rPr>
          <w:noProof w:val="0"/>
          <w:sz w:val="28"/>
          <w:szCs w:val="28"/>
          <w:lang w:val="en-GB"/>
        </w:rPr>
        <w:t>ntroduction</w:t>
      </w:r>
      <w:bookmarkEnd w:id="1771677552"/>
      <w:r w:rsidRPr="272350BB" w:rsidR="4457BD69">
        <w:rPr>
          <w:noProof w:val="0"/>
          <w:sz w:val="28"/>
          <w:szCs w:val="28"/>
          <w:lang w:val="en-GB"/>
        </w:rPr>
        <w:t xml:space="preserve"> </w:t>
      </w:r>
    </w:p>
    <w:p w:rsidR="4457BD69" w:rsidP="272350BB" w:rsidRDefault="4457BD69" w14:paraId="31956C39" w14:textId="1C1DBEE4">
      <w:pPr>
        <w:pStyle w:val="Normal"/>
        <w:spacing w:line="360" w:lineRule="auto"/>
        <w:jc w:val="both"/>
        <w:rPr>
          <w:noProof w:val="0"/>
          <w:sz w:val="22"/>
          <w:szCs w:val="22"/>
          <w:lang w:val="en-GB"/>
        </w:rPr>
      </w:pPr>
      <w:r w:rsidRPr="272350BB" w:rsidR="4457BD69">
        <w:rPr>
          <w:noProof w:val="0"/>
          <w:sz w:val="22"/>
          <w:szCs w:val="22"/>
          <w:lang w:val="en-GB"/>
        </w:rPr>
        <w:t xml:space="preserve">Diabetes mellitus is a chronic metabolic disorder characterized by persistently elevated blood glucose concentrations resulting from impaired insulin secretion, reduced insulin sensitivity, or a combination of both (Galicia-Garcia </w:t>
      </w:r>
      <w:r w:rsidRPr="272350BB" w:rsidR="4457BD69">
        <w:rPr>
          <w:i w:val="1"/>
          <w:iCs w:val="1"/>
          <w:noProof w:val="0"/>
          <w:sz w:val="22"/>
          <w:szCs w:val="22"/>
          <w:lang w:val="en-GB"/>
        </w:rPr>
        <w:t>et al</w:t>
      </w:r>
      <w:r w:rsidRPr="272350BB" w:rsidR="4457BD69">
        <w:rPr>
          <w:noProof w:val="0"/>
          <w:sz w:val="22"/>
          <w:szCs w:val="22"/>
          <w:lang w:val="en-GB"/>
        </w:rPr>
        <w:t xml:space="preserve">., 2020). The global burden of diabetes has increased </w:t>
      </w:r>
      <w:r w:rsidRPr="272350BB" w:rsidR="4457BD69">
        <w:rPr>
          <w:noProof w:val="0"/>
          <w:sz w:val="22"/>
          <w:szCs w:val="22"/>
          <w:lang w:val="en-GB"/>
        </w:rPr>
        <w:t>substantially over</w:t>
      </w:r>
      <w:r w:rsidRPr="272350BB" w:rsidR="4457BD69">
        <w:rPr>
          <w:noProof w:val="0"/>
          <w:sz w:val="22"/>
          <w:szCs w:val="22"/>
          <w:lang w:val="en-GB"/>
        </w:rPr>
        <w:t xml:space="preserve"> recent decades, rising from 200 million cases in 1990 to 830 million in 2022 (Ong </w:t>
      </w:r>
      <w:r w:rsidRPr="272350BB" w:rsidR="4457BD69">
        <w:rPr>
          <w:i w:val="1"/>
          <w:iCs w:val="1"/>
          <w:noProof w:val="0"/>
          <w:sz w:val="22"/>
          <w:szCs w:val="22"/>
          <w:lang w:val="en-GB"/>
        </w:rPr>
        <w:t>et a</w:t>
      </w:r>
      <w:r w:rsidRPr="272350BB" w:rsidR="4457BD69">
        <w:rPr>
          <w:i w:val="1"/>
          <w:iCs w:val="1"/>
          <w:noProof w:val="0"/>
          <w:sz w:val="22"/>
          <w:szCs w:val="22"/>
          <w:lang w:val="en-GB"/>
        </w:rPr>
        <w:t>l.</w:t>
      </w:r>
      <w:r w:rsidRPr="272350BB" w:rsidR="4457BD69">
        <w:rPr>
          <w:noProof w:val="0"/>
          <w:sz w:val="22"/>
          <w:szCs w:val="22"/>
          <w:lang w:val="en-GB"/>
        </w:rPr>
        <w:t xml:space="preserve">, 2023). Limited healthcare access, medication adherence, and inadequate preventative infrastructure have </w:t>
      </w:r>
      <w:r w:rsidRPr="272350BB" w:rsidR="4457BD69">
        <w:rPr>
          <w:noProof w:val="0"/>
          <w:sz w:val="22"/>
          <w:szCs w:val="22"/>
          <w:lang w:val="en-GB"/>
        </w:rPr>
        <w:t>exacerbated</w:t>
      </w:r>
      <w:r w:rsidRPr="272350BB" w:rsidR="4457BD69">
        <w:rPr>
          <w:noProof w:val="0"/>
          <w:sz w:val="22"/>
          <w:szCs w:val="22"/>
          <w:lang w:val="en-GB"/>
        </w:rPr>
        <w:t xml:space="preserve"> disease progression in low- and middle-income countries, contributing to the rise. In 2022, more than half of individuals living with diabetes in these regions did not receive </w:t>
      </w:r>
      <w:r w:rsidRPr="272350BB" w:rsidR="4457BD69">
        <w:rPr>
          <w:noProof w:val="0"/>
          <w:sz w:val="22"/>
          <w:szCs w:val="22"/>
          <w:lang w:val="en-GB"/>
        </w:rPr>
        <w:t>appropriate pharmacological</w:t>
      </w:r>
      <w:r w:rsidRPr="272350BB" w:rsidR="4457BD69">
        <w:rPr>
          <w:noProof w:val="0"/>
          <w:sz w:val="22"/>
          <w:szCs w:val="22"/>
          <w:lang w:val="en-GB"/>
        </w:rPr>
        <w:t xml:space="preserve"> treatment (Zhou </w:t>
      </w:r>
      <w:r w:rsidRPr="272350BB" w:rsidR="4457BD69">
        <w:rPr>
          <w:i w:val="1"/>
          <w:iCs w:val="1"/>
          <w:noProof w:val="0"/>
          <w:sz w:val="22"/>
          <w:szCs w:val="22"/>
          <w:lang w:val="en-GB"/>
        </w:rPr>
        <w:t>et al</w:t>
      </w:r>
      <w:r w:rsidRPr="272350BB" w:rsidR="4457BD69">
        <w:rPr>
          <w:noProof w:val="0"/>
          <w:sz w:val="22"/>
          <w:szCs w:val="22"/>
          <w:lang w:val="en-GB"/>
        </w:rPr>
        <w:t xml:space="preserve">., 2024). Diabetes is associated with significant morbidity and premature mortality, contributing to cardiovascular disease, renal failure, neuropathy, retinopathy, and lower-limb amputation (Zhang </w:t>
      </w:r>
      <w:r w:rsidRPr="272350BB" w:rsidR="4457BD69">
        <w:rPr>
          <w:i w:val="1"/>
          <w:iCs w:val="1"/>
          <w:noProof w:val="0"/>
          <w:sz w:val="22"/>
          <w:szCs w:val="22"/>
          <w:lang w:val="en-GB"/>
        </w:rPr>
        <w:t>et al.</w:t>
      </w:r>
      <w:r w:rsidRPr="272350BB" w:rsidR="4457BD69">
        <w:rPr>
          <w:noProof w:val="0"/>
          <w:sz w:val="22"/>
          <w:szCs w:val="22"/>
          <w:lang w:val="en-GB"/>
        </w:rPr>
        <w:t xml:space="preserve">, 2020). Notably, hyperglycaemia contributed to approximately 11% of global cardiovascular deaths in 2021 (ElSayed </w:t>
      </w:r>
      <w:r w:rsidRPr="272350BB" w:rsidR="4457BD69">
        <w:rPr>
          <w:i w:val="1"/>
          <w:iCs w:val="1"/>
          <w:noProof w:val="0"/>
          <w:sz w:val="22"/>
          <w:szCs w:val="22"/>
          <w:lang w:val="en-GB"/>
        </w:rPr>
        <w:t>et al.</w:t>
      </w:r>
      <w:r w:rsidRPr="272350BB" w:rsidR="4457BD69">
        <w:rPr>
          <w:noProof w:val="0"/>
          <w:sz w:val="22"/>
          <w:szCs w:val="22"/>
          <w:lang w:val="en-GB"/>
        </w:rPr>
        <w:t xml:space="preserve">, 2023). </w:t>
      </w:r>
    </w:p>
    <w:p w:rsidR="4457BD69" w:rsidP="272350BB" w:rsidRDefault="4457BD69" w14:paraId="77556926" w14:textId="296CC515">
      <w:pPr>
        <w:pStyle w:val="Normal"/>
        <w:spacing w:line="360" w:lineRule="auto"/>
        <w:jc w:val="both"/>
        <w:rPr>
          <w:noProof w:val="0"/>
          <w:sz w:val="22"/>
          <w:szCs w:val="22"/>
          <w:lang w:val="en-GB"/>
        </w:rPr>
      </w:pPr>
      <w:r w:rsidRPr="272350BB" w:rsidR="4457BD69">
        <w:rPr>
          <w:noProof w:val="0"/>
          <w:sz w:val="22"/>
          <w:szCs w:val="22"/>
          <w:lang w:val="en-GB"/>
        </w:rPr>
        <w:t xml:space="preserve">Type 2 diabetes mellitus (T2DM) is the most prevalent form and is characterized by progressive insulin resistance alongside β-cell dysfunction (ElSayed </w:t>
      </w:r>
      <w:r w:rsidRPr="272350BB" w:rsidR="4457BD69">
        <w:rPr>
          <w:i w:val="1"/>
          <w:iCs w:val="1"/>
          <w:noProof w:val="0"/>
          <w:sz w:val="22"/>
          <w:szCs w:val="22"/>
          <w:lang w:val="en-GB"/>
        </w:rPr>
        <w:t>et al</w:t>
      </w:r>
      <w:r w:rsidRPr="272350BB" w:rsidR="4457BD69">
        <w:rPr>
          <w:noProof w:val="0"/>
          <w:sz w:val="22"/>
          <w:szCs w:val="22"/>
          <w:lang w:val="en-GB"/>
        </w:rPr>
        <w:t xml:space="preserve">., 2022). Its rising prevalence is due to demographic ageing, sedentary lifestyles, obesity, and </w:t>
      </w:r>
      <w:r w:rsidRPr="272350BB" w:rsidR="105FA5AB">
        <w:rPr>
          <w:rFonts w:ascii="Aptos" w:hAnsi="Aptos" w:eastAsia="Aptos" w:cs="Aptos"/>
          <w:noProof w:val="0"/>
          <w:sz w:val="22"/>
          <w:szCs w:val="22"/>
          <w:lang w:val="en-GB"/>
        </w:rPr>
        <w:t>urbanization</w:t>
      </w:r>
      <w:r w:rsidRPr="272350BB" w:rsidR="4457BD69">
        <w:rPr>
          <w:noProof w:val="0"/>
          <w:sz w:val="22"/>
          <w:szCs w:val="22"/>
          <w:lang w:val="en-GB"/>
        </w:rPr>
        <w:t xml:space="preserve"> (Ahmad </w:t>
      </w:r>
      <w:r w:rsidRPr="272350BB" w:rsidR="4457BD69">
        <w:rPr>
          <w:i w:val="1"/>
          <w:iCs w:val="1"/>
          <w:noProof w:val="0"/>
          <w:sz w:val="22"/>
          <w:szCs w:val="22"/>
          <w:lang w:val="en-GB"/>
        </w:rPr>
        <w:t>et al</w:t>
      </w:r>
      <w:r w:rsidRPr="272350BB" w:rsidR="4457BD69">
        <w:rPr>
          <w:noProof w:val="0"/>
          <w:sz w:val="22"/>
          <w:szCs w:val="22"/>
          <w:lang w:val="en-GB"/>
        </w:rPr>
        <w:t xml:space="preserve">., 2022). For practice nurses working in primary care, an in-depth understanding of pathophysiology, monitoring strategies, and lifestyle interventions is essential for safe and effective patient management. This report critically examines glucose homeostasis, the relationship between oxygen and cellular energy production, evidence synthesis in diabetes care, and the clinical importance of monitoring and lifestyle modification. </w:t>
      </w:r>
    </w:p>
    <w:p w:rsidR="4457BD69" w:rsidP="272350BB" w:rsidRDefault="4457BD69" w14:paraId="327ED4B8" w14:textId="2F4804EB">
      <w:pPr>
        <w:pStyle w:val="Heading1"/>
        <w:spacing w:line="360" w:lineRule="auto"/>
        <w:jc w:val="both"/>
        <w:rPr>
          <w:noProof w:val="0"/>
          <w:sz w:val="28"/>
          <w:szCs w:val="28"/>
          <w:lang w:val="en-GB"/>
        </w:rPr>
      </w:pPr>
      <w:bookmarkStart w:name="_Toc275769683" w:id="619566850"/>
      <w:r w:rsidRPr="272350BB" w:rsidR="4457BD69">
        <w:rPr>
          <w:noProof w:val="0"/>
          <w:sz w:val="28"/>
          <w:szCs w:val="28"/>
          <w:lang w:val="en-GB"/>
        </w:rPr>
        <w:t>Diabetes: Causes and Risk Factors</w:t>
      </w:r>
      <w:bookmarkEnd w:id="619566850"/>
      <w:r w:rsidRPr="272350BB" w:rsidR="4457BD69">
        <w:rPr>
          <w:noProof w:val="0"/>
          <w:sz w:val="28"/>
          <w:szCs w:val="28"/>
          <w:lang w:val="en-GB"/>
        </w:rPr>
        <w:t xml:space="preserve"> </w:t>
      </w:r>
    </w:p>
    <w:p w:rsidR="4457BD69" w:rsidP="272350BB" w:rsidRDefault="4457BD69" w14:paraId="7FFC395F" w14:textId="5E32D469">
      <w:pPr>
        <w:pStyle w:val="Normal"/>
        <w:spacing w:line="360" w:lineRule="auto"/>
        <w:jc w:val="both"/>
        <w:rPr>
          <w:noProof w:val="0"/>
          <w:sz w:val="22"/>
          <w:szCs w:val="22"/>
          <w:lang w:val="en-GB"/>
        </w:rPr>
      </w:pPr>
      <w:r w:rsidRPr="272350BB" w:rsidR="4457BD69">
        <w:rPr>
          <w:noProof w:val="0"/>
          <w:sz w:val="22"/>
          <w:szCs w:val="22"/>
          <w:lang w:val="en-GB"/>
        </w:rPr>
        <w:t xml:space="preserve">T2DM develops because of the interaction of genetic predisposition and modifiable environmental factors. Non-modifiable risk factors include age, ethnicity, and family history (Liu </w:t>
      </w:r>
      <w:r w:rsidRPr="272350BB" w:rsidR="4457BD69">
        <w:rPr>
          <w:i w:val="1"/>
          <w:iCs w:val="1"/>
          <w:noProof w:val="0"/>
          <w:sz w:val="22"/>
          <w:szCs w:val="22"/>
          <w:lang w:val="en-GB"/>
        </w:rPr>
        <w:t>et al.</w:t>
      </w:r>
      <w:r w:rsidRPr="272350BB" w:rsidR="4457BD69">
        <w:rPr>
          <w:noProof w:val="0"/>
          <w:sz w:val="22"/>
          <w:szCs w:val="22"/>
          <w:lang w:val="en-GB"/>
        </w:rPr>
        <w:t xml:space="preserve">, 2022). However, modifiable determinants such as physical inactivity, excess caloric intake, smoking, obesity, and certain medications </w:t>
      </w:r>
      <w:r w:rsidRPr="272350BB" w:rsidR="4457BD69">
        <w:rPr>
          <w:noProof w:val="0"/>
          <w:sz w:val="22"/>
          <w:szCs w:val="22"/>
          <w:lang w:val="en-GB"/>
        </w:rPr>
        <w:t xml:space="preserve">substantially </w:t>
      </w:r>
      <w:r w:rsidRPr="272350BB" w:rsidR="51AC7778">
        <w:rPr>
          <w:noProof w:val="0"/>
          <w:sz w:val="22"/>
          <w:szCs w:val="22"/>
          <w:lang w:val="en-GB"/>
        </w:rPr>
        <w:t>increased</w:t>
      </w:r>
      <w:r w:rsidRPr="272350BB" w:rsidR="4457BD69">
        <w:rPr>
          <w:noProof w:val="0"/>
          <w:sz w:val="22"/>
          <w:szCs w:val="22"/>
          <w:lang w:val="en-GB"/>
        </w:rPr>
        <w:t xml:space="preserve"> risk (Ahmad </w:t>
      </w:r>
      <w:r w:rsidRPr="272350BB" w:rsidR="4457BD69">
        <w:rPr>
          <w:i w:val="1"/>
          <w:iCs w:val="1"/>
          <w:noProof w:val="0"/>
          <w:sz w:val="22"/>
          <w:szCs w:val="22"/>
          <w:lang w:val="en-GB"/>
        </w:rPr>
        <w:t>et al</w:t>
      </w:r>
      <w:r w:rsidRPr="272350BB" w:rsidR="4457BD69">
        <w:rPr>
          <w:noProof w:val="0"/>
          <w:sz w:val="22"/>
          <w:szCs w:val="22"/>
          <w:lang w:val="en-GB"/>
        </w:rPr>
        <w:t xml:space="preserve">., 2022). These factors are strongly shaped by socioeconomic context, including access to nutritious food, safe environments for exercise, health literacy, and healthcare availability. </w:t>
      </w:r>
    </w:p>
    <w:p w:rsidR="4457BD69" w:rsidP="272350BB" w:rsidRDefault="4457BD69" w14:paraId="2BE897E8" w14:textId="76A50859">
      <w:pPr>
        <w:pStyle w:val="Normal"/>
        <w:spacing w:line="360" w:lineRule="auto"/>
        <w:jc w:val="both"/>
        <w:rPr>
          <w:noProof w:val="0"/>
          <w:sz w:val="22"/>
          <w:szCs w:val="22"/>
          <w:lang w:val="en-GB"/>
        </w:rPr>
      </w:pPr>
      <w:r w:rsidRPr="272350BB" w:rsidR="4457BD69">
        <w:rPr>
          <w:noProof w:val="0"/>
          <w:sz w:val="22"/>
          <w:szCs w:val="22"/>
          <w:lang w:val="en-GB"/>
        </w:rPr>
        <w:t xml:space="preserve">Central adiposity plays a particularly significant role in pathogenesis. Visceral adipose tissue is metabolically active and produces pro-inflammatory cytokines, which disrupt insulin signalling pathways. Chronic low-grade inflammation can lead to insulin resistance, straining pancreatic β-cells over time. Over time, compensatory </w:t>
      </w:r>
      <w:r w:rsidRPr="272350BB" w:rsidR="7CC1BB68">
        <w:rPr>
          <w:noProof w:val="0"/>
          <w:sz w:val="22"/>
          <w:szCs w:val="22"/>
          <w:lang w:val="en-GB"/>
        </w:rPr>
        <w:t>hyperinsulinemias</w:t>
      </w:r>
      <w:r w:rsidRPr="272350BB" w:rsidR="4457BD69">
        <w:rPr>
          <w:noProof w:val="0"/>
          <w:sz w:val="22"/>
          <w:szCs w:val="22"/>
          <w:lang w:val="en-GB"/>
        </w:rPr>
        <w:t xml:space="preserve"> </w:t>
      </w:r>
      <w:r w:rsidRPr="272350BB" w:rsidR="4457BD69">
        <w:rPr>
          <w:noProof w:val="0"/>
          <w:sz w:val="22"/>
          <w:szCs w:val="22"/>
          <w:lang w:val="en-GB"/>
        </w:rPr>
        <w:t>become</w:t>
      </w:r>
      <w:r w:rsidRPr="272350BB" w:rsidR="4457BD69">
        <w:rPr>
          <w:noProof w:val="0"/>
          <w:sz w:val="22"/>
          <w:szCs w:val="22"/>
          <w:lang w:val="en-GB"/>
        </w:rPr>
        <w:t xml:space="preserve"> insufficient, leading to persistent hyperglycaemia and clinical diabetes. Understanding these mechanisms allows practice nurses to </w:t>
      </w:r>
      <w:r w:rsidRPr="272350BB" w:rsidR="6C339AF4">
        <w:rPr>
          <w:rFonts w:ascii="Aptos" w:hAnsi="Aptos" w:eastAsia="Aptos" w:cs="Aptos"/>
          <w:noProof w:val="0"/>
          <w:sz w:val="22"/>
          <w:szCs w:val="22"/>
          <w:lang w:val="en-GB"/>
        </w:rPr>
        <w:t>contextualize</w:t>
      </w:r>
      <w:r w:rsidRPr="272350BB" w:rsidR="4457BD69">
        <w:rPr>
          <w:noProof w:val="0"/>
          <w:sz w:val="22"/>
          <w:szCs w:val="22"/>
          <w:lang w:val="en-GB"/>
        </w:rPr>
        <w:t xml:space="preserve"> lifestyle advice within biological processes, which improves patient education. </w:t>
      </w:r>
    </w:p>
    <w:p w:rsidR="272350BB" w:rsidP="272350BB" w:rsidRDefault="272350BB" w14:paraId="56A8F9D5" w14:textId="12514F2E">
      <w:pPr>
        <w:pStyle w:val="Normal"/>
        <w:spacing w:line="360" w:lineRule="auto"/>
        <w:jc w:val="both"/>
        <w:rPr>
          <w:noProof w:val="0"/>
          <w:sz w:val="22"/>
          <w:szCs w:val="22"/>
          <w:lang w:val="en-GB"/>
        </w:rPr>
      </w:pPr>
    </w:p>
    <w:p w:rsidR="4457BD69" w:rsidP="272350BB" w:rsidRDefault="4457BD69" w14:paraId="47109CC2" w14:textId="6B7BB204">
      <w:pPr>
        <w:pStyle w:val="Heading1"/>
        <w:rPr>
          <w:noProof w:val="0"/>
          <w:sz w:val="28"/>
          <w:szCs w:val="28"/>
          <w:lang w:val="en-GB"/>
        </w:rPr>
      </w:pPr>
      <w:bookmarkStart w:name="_Toc923007019" w:id="1717827223"/>
      <w:r w:rsidRPr="272350BB" w:rsidR="4457BD69">
        <w:rPr>
          <w:noProof w:val="0"/>
          <w:sz w:val="28"/>
          <w:szCs w:val="28"/>
          <w:lang w:val="en-GB"/>
        </w:rPr>
        <w:t>The Anatomy and Physiology of Glucose Homeostasis</w:t>
      </w:r>
      <w:bookmarkEnd w:id="1717827223"/>
      <w:r w:rsidRPr="272350BB" w:rsidR="4457BD69">
        <w:rPr>
          <w:noProof w:val="0"/>
          <w:sz w:val="28"/>
          <w:szCs w:val="28"/>
          <w:lang w:val="en-GB"/>
        </w:rPr>
        <w:t xml:space="preserve"> </w:t>
      </w:r>
    </w:p>
    <w:p w:rsidR="4457BD69" w:rsidP="272350BB" w:rsidRDefault="4457BD69" w14:paraId="078986C2" w14:textId="5060D83B">
      <w:pPr>
        <w:pStyle w:val="Normal"/>
        <w:spacing w:line="360" w:lineRule="auto"/>
        <w:jc w:val="both"/>
        <w:rPr>
          <w:noProof w:val="0"/>
          <w:sz w:val="22"/>
          <w:szCs w:val="22"/>
          <w:lang w:val="en-GB"/>
        </w:rPr>
      </w:pPr>
      <w:r w:rsidRPr="272350BB" w:rsidR="4457BD69">
        <w:rPr>
          <w:noProof w:val="0"/>
          <w:sz w:val="22"/>
          <w:szCs w:val="22"/>
          <w:lang w:val="en-GB"/>
        </w:rPr>
        <w:t>Glucose serves as the principal energy substrate for most tissues (</w:t>
      </w:r>
      <w:r w:rsidRPr="272350BB" w:rsidR="4457BD69">
        <w:rPr>
          <w:noProof w:val="0"/>
          <w:sz w:val="22"/>
          <w:szCs w:val="22"/>
          <w:lang w:val="en-GB"/>
        </w:rPr>
        <w:t>Hantzidiamantis</w:t>
      </w:r>
      <w:r w:rsidRPr="272350BB" w:rsidR="4457BD69">
        <w:rPr>
          <w:noProof w:val="0"/>
          <w:sz w:val="22"/>
          <w:szCs w:val="22"/>
          <w:lang w:val="en-GB"/>
        </w:rPr>
        <w:t xml:space="preserve">, Lappin, and Awosika, 2024). Glucose homeostasis refers to the tightly regulated physiological processes that </w:t>
      </w:r>
      <w:r w:rsidRPr="272350BB" w:rsidR="4457BD69">
        <w:rPr>
          <w:noProof w:val="0"/>
          <w:sz w:val="22"/>
          <w:szCs w:val="22"/>
          <w:lang w:val="en-GB"/>
        </w:rPr>
        <w:t>maintain</w:t>
      </w:r>
      <w:r w:rsidRPr="272350BB" w:rsidR="4457BD69">
        <w:rPr>
          <w:noProof w:val="0"/>
          <w:sz w:val="22"/>
          <w:szCs w:val="22"/>
          <w:lang w:val="en-GB"/>
        </w:rPr>
        <w:t xml:space="preserve"> plasma glucose within a narrow range, typically 4–7 mmol/L under normal conditions (Peate, 2021). </w:t>
      </w:r>
      <w:r w:rsidRPr="272350BB" w:rsidR="4457BD69">
        <w:rPr>
          <w:noProof w:val="0"/>
          <w:sz w:val="22"/>
          <w:szCs w:val="22"/>
          <w:lang w:val="en-GB"/>
        </w:rPr>
        <w:t>Maintaining</w:t>
      </w:r>
      <w:r w:rsidRPr="272350BB" w:rsidR="4457BD69">
        <w:rPr>
          <w:noProof w:val="0"/>
          <w:sz w:val="22"/>
          <w:szCs w:val="22"/>
          <w:lang w:val="en-GB"/>
        </w:rPr>
        <w:t xml:space="preserve"> this range is critical to ensuring continuous cellular energy supply while avoiding the negative effects of hypo- or hyperglycaemia. </w:t>
      </w:r>
    </w:p>
    <w:p w:rsidR="4457BD69" w:rsidP="272350BB" w:rsidRDefault="4457BD69" w14:paraId="0D8218CF" w14:textId="47C21481">
      <w:pPr>
        <w:pStyle w:val="Normal"/>
        <w:spacing w:line="360" w:lineRule="auto"/>
        <w:jc w:val="both"/>
        <w:rPr>
          <w:noProof w:val="0"/>
          <w:sz w:val="22"/>
          <w:szCs w:val="22"/>
          <w:lang w:val="en-GB"/>
        </w:rPr>
      </w:pPr>
      <w:r w:rsidRPr="272350BB" w:rsidR="4457BD69">
        <w:rPr>
          <w:noProof w:val="0"/>
          <w:sz w:val="22"/>
          <w:szCs w:val="22"/>
          <w:lang w:val="en-GB"/>
        </w:rPr>
        <w:t>Regula</w:t>
      </w:r>
      <w:r w:rsidRPr="272350BB" w:rsidR="4457BD69">
        <w:rPr>
          <w:noProof w:val="0"/>
          <w:sz w:val="22"/>
          <w:szCs w:val="22"/>
          <w:lang w:val="en-GB"/>
        </w:rPr>
        <w:t xml:space="preserve">tion depends upon coordinated endocrine signalling and metabolic integration across multiple organ systems, including the pancreas, liver, skeletal muscle, adipose tissue, kidneys, and cardiovascular system (Colbert, 2012). The brain is especially dependent on glucose, relying </w:t>
      </w:r>
      <w:r w:rsidRPr="272350BB" w:rsidR="4457BD69">
        <w:rPr>
          <w:noProof w:val="0"/>
          <w:sz w:val="22"/>
          <w:szCs w:val="22"/>
          <w:lang w:val="en-GB"/>
        </w:rPr>
        <w:t>almost entirely</w:t>
      </w:r>
      <w:r w:rsidRPr="272350BB" w:rsidR="4457BD69">
        <w:rPr>
          <w:noProof w:val="0"/>
          <w:sz w:val="22"/>
          <w:szCs w:val="22"/>
          <w:lang w:val="en-GB"/>
        </w:rPr>
        <w:t xml:space="preserve"> on it under physiological conditions, </w:t>
      </w:r>
      <w:r w:rsidRPr="272350BB" w:rsidR="31EEA329">
        <w:rPr>
          <w:noProof w:val="0"/>
          <w:sz w:val="22"/>
          <w:szCs w:val="22"/>
          <w:lang w:val="en-GB"/>
        </w:rPr>
        <w:t>emphasizing</w:t>
      </w:r>
      <w:r w:rsidRPr="272350BB" w:rsidR="4457BD69">
        <w:rPr>
          <w:noProof w:val="0"/>
          <w:sz w:val="22"/>
          <w:szCs w:val="22"/>
          <w:lang w:val="en-GB"/>
        </w:rPr>
        <w:t xml:space="preserve"> the importance of stable plasma concentrations. </w:t>
      </w:r>
    </w:p>
    <w:p w:rsidR="272350BB" w:rsidP="272350BB" w:rsidRDefault="272350BB" w14:paraId="06C399E6" w14:textId="4BDB59B0">
      <w:pPr>
        <w:pStyle w:val="Normal"/>
        <w:spacing w:line="360" w:lineRule="auto"/>
        <w:jc w:val="left"/>
        <w:rPr>
          <w:noProof w:val="0"/>
          <w:lang w:val="en-GB"/>
        </w:rPr>
      </w:pPr>
    </w:p>
    <w:p w:rsidR="4457BD69" w:rsidP="272350BB" w:rsidRDefault="4457BD69" w14:paraId="21327894" w14:textId="5DC5B1A3">
      <w:pPr>
        <w:pStyle w:val="Heading2"/>
        <w:spacing w:line="360" w:lineRule="auto"/>
        <w:jc w:val="both"/>
        <w:rPr>
          <w:noProof w:val="0"/>
          <w:sz w:val="28"/>
          <w:szCs w:val="28"/>
          <w:lang w:val="en-GB"/>
        </w:rPr>
      </w:pPr>
      <w:bookmarkStart w:name="_Toc869312503" w:id="429238936"/>
      <w:r w:rsidRPr="272350BB" w:rsidR="4457BD69">
        <w:rPr>
          <w:noProof w:val="0"/>
          <w:sz w:val="28"/>
          <w:szCs w:val="28"/>
          <w:lang w:val="en-GB"/>
        </w:rPr>
        <w:t>The Function of Glucose in Energy Metabolism</w:t>
      </w:r>
      <w:bookmarkEnd w:id="429238936"/>
      <w:r w:rsidRPr="272350BB" w:rsidR="4457BD69">
        <w:rPr>
          <w:noProof w:val="0"/>
          <w:sz w:val="28"/>
          <w:szCs w:val="28"/>
          <w:lang w:val="en-GB"/>
        </w:rPr>
        <w:t xml:space="preserve"> </w:t>
      </w:r>
    </w:p>
    <w:p w:rsidR="4457BD69" w:rsidP="272350BB" w:rsidRDefault="4457BD69" w14:paraId="57CDEE59" w14:textId="299E76A7">
      <w:pPr>
        <w:pStyle w:val="Normal"/>
        <w:spacing w:line="360" w:lineRule="auto"/>
        <w:jc w:val="both"/>
        <w:rPr>
          <w:noProof w:val="0"/>
          <w:sz w:val="22"/>
          <w:szCs w:val="22"/>
          <w:lang w:val="en-GB"/>
        </w:rPr>
      </w:pPr>
      <w:r w:rsidRPr="272350BB" w:rsidR="4457BD69">
        <w:rPr>
          <w:noProof w:val="0"/>
          <w:sz w:val="22"/>
          <w:szCs w:val="22"/>
          <w:lang w:val="en-GB"/>
        </w:rPr>
        <w:t xml:space="preserve">Dietary carbohydrates provide the primary source of glucose, while amino acids contribute during prolonged fasting. Although fatty acids may be converted into ketone bodies, they do not directly contribute to gluconeogenesis, reinforcing glucose’s distinct metabolic importance. Beyond ATP production, glucose functions as a precursor for glycogen storage and for structural molecules, including ribose, deoxyribose, glycolipids, and glycoproteins. </w:t>
      </w:r>
    </w:p>
    <w:p w:rsidR="4457BD69" w:rsidP="272350BB" w:rsidRDefault="4457BD69" w14:paraId="1D7ADAAB" w14:textId="07AAB66F">
      <w:pPr>
        <w:pStyle w:val="Normal"/>
        <w:spacing w:line="360" w:lineRule="auto"/>
        <w:jc w:val="both"/>
        <w:rPr>
          <w:noProof w:val="0"/>
          <w:sz w:val="22"/>
          <w:szCs w:val="22"/>
          <w:lang w:val="en-GB"/>
        </w:rPr>
      </w:pPr>
      <w:r w:rsidRPr="272350BB" w:rsidR="4457BD69">
        <w:rPr>
          <w:noProof w:val="0"/>
          <w:sz w:val="22"/>
          <w:szCs w:val="22"/>
          <w:lang w:val="en-GB"/>
        </w:rPr>
        <w:t>Within cells, glucose metabolism produces adenosine triphosphate (ATP), the universal energy currency needed for muscle contraction, neuronal signalling, membrane transport, biosynthesis, and tissue repair (</w:t>
      </w:r>
      <w:r w:rsidRPr="272350BB" w:rsidR="4457BD69">
        <w:rPr>
          <w:noProof w:val="0"/>
          <w:sz w:val="22"/>
          <w:szCs w:val="22"/>
          <w:lang w:val="en-GB"/>
        </w:rPr>
        <w:t>Nakrani</w:t>
      </w:r>
      <w:r w:rsidRPr="272350BB" w:rsidR="4457BD69">
        <w:rPr>
          <w:noProof w:val="0"/>
          <w:sz w:val="22"/>
          <w:szCs w:val="22"/>
          <w:lang w:val="en-GB"/>
        </w:rPr>
        <w:t xml:space="preserve">, Wineland, &amp; Anjum, 2023). Consequently, disruption of glucose availability or </w:t>
      </w:r>
      <w:r w:rsidRPr="272350BB" w:rsidR="4457BD69">
        <w:rPr>
          <w:noProof w:val="0"/>
          <w:sz w:val="22"/>
          <w:szCs w:val="22"/>
          <w:lang w:val="en-GB"/>
        </w:rPr>
        <w:t>utilization</w:t>
      </w:r>
      <w:r w:rsidRPr="272350BB" w:rsidR="4457BD69">
        <w:rPr>
          <w:noProof w:val="0"/>
          <w:sz w:val="22"/>
          <w:szCs w:val="22"/>
          <w:lang w:val="en-GB"/>
        </w:rPr>
        <w:t xml:space="preserve"> has widespread systemic implications.</w:t>
      </w:r>
    </w:p>
    <w:p w:rsidR="272350BB" w:rsidP="272350BB" w:rsidRDefault="272350BB" w14:paraId="2F4D4EB2" w14:textId="43A4EFC3">
      <w:pPr>
        <w:pStyle w:val="Normal"/>
        <w:spacing w:line="360" w:lineRule="auto"/>
        <w:jc w:val="both"/>
        <w:rPr>
          <w:noProof w:val="0"/>
          <w:lang w:val="en-GB"/>
        </w:rPr>
      </w:pPr>
    </w:p>
    <w:p w:rsidR="272350BB" w:rsidP="272350BB" w:rsidRDefault="272350BB" w14:paraId="6CE5F9ED" w14:textId="62B5BB8B">
      <w:pPr>
        <w:pStyle w:val="Normal"/>
        <w:spacing w:line="360" w:lineRule="auto"/>
        <w:rPr>
          <w:noProof w:val="0"/>
          <w:lang w:val="en-GB"/>
        </w:rPr>
      </w:pPr>
    </w:p>
    <w:p w:rsidR="272350BB" w:rsidP="272350BB" w:rsidRDefault="272350BB" w14:paraId="6399BD7F" w14:textId="7ABBFD06">
      <w:pPr>
        <w:pStyle w:val="Normal"/>
        <w:spacing w:line="360" w:lineRule="auto"/>
        <w:rPr>
          <w:noProof w:val="0"/>
          <w:lang w:val="en-GB"/>
        </w:rPr>
      </w:pPr>
    </w:p>
    <w:p w:rsidR="272350BB" w:rsidP="272350BB" w:rsidRDefault="272350BB" w14:paraId="74F2A807" w14:textId="16D3582E">
      <w:pPr>
        <w:pStyle w:val="Normal"/>
        <w:spacing w:line="360" w:lineRule="auto"/>
        <w:rPr>
          <w:noProof w:val="0"/>
          <w:lang w:val="en-GB"/>
        </w:rPr>
      </w:pPr>
    </w:p>
    <w:p w:rsidR="272350BB" w:rsidP="272350BB" w:rsidRDefault="272350BB" w14:paraId="266BDAF4" w14:textId="0CD3961C">
      <w:pPr>
        <w:pStyle w:val="Normal"/>
        <w:spacing w:line="360" w:lineRule="auto"/>
        <w:rPr>
          <w:noProof w:val="0"/>
          <w:lang w:val="en-GB"/>
        </w:rPr>
      </w:pPr>
    </w:p>
    <w:p w:rsidR="272350BB" w:rsidP="272350BB" w:rsidRDefault="272350BB" w14:paraId="4D9B4376" w14:textId="48BA34CD">
      <w:pPr>
        <w:pStyle w:val="Normal"/>
        <w:spacing w:line="360" w:lineRule="auto"/>
        <w:rPr>
          <w:noProof w:val="0"/>
          <w:lang w:val="en-GB"/>
        </w:rPr>
      </w:pPr>
    </w:p>
    <w:p w:rsidR="39D457BF" w:rsidP="272350BB" w:rsidRDefault="39D457BF" w14:paraId="146BE935" w14:textId="344C397C">
      <w:pPr>
        <w:pStyle w:val="Normal"/>
      </w:pPr>
      <w:r w:rsidR="39D457BF">
        <w:drawing>
          <wp:inline wp14:editId="736503E4" wp14:anchorId="06A162DC">
            <wp:extent cx="5730737" cy="2883658"/>
            <wp:effectExtent l="0" t="0" r="0" b="0"/>
            <wp:docPr id="1438356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835657" name="Picture 143835657"/>
                    <pic:cNvPicPr/>
                  </pic:nvPicPr>
                  <pic:blipFill>
                    <a:blip xmlns:r="http://schemas.openxmlformats.org/officeDocument/2006/relationships" r:embed="rId1106692136">
                      <a:extLst>
                        <a:ext uri="{28A0092B-C50C-407E-A947-70E740481C1C}">
                          <a14:useLocalDpi xmlns:a14="http://schemas.microsoft.com/office/drawing/2010/main"/>
                        </a:ext>
                      </a:extLst>
                    </a:blip>
                    <a:stretch>
                      <a:fillRect/>
                    </a:stretch>
                  </pic:blipFill>
                  <pic:spPr>
                    <a:xfrm>
                      <a:off x="0" y="0"/>
                      <a:ext cx="5730737" cy="2883658"/>
                    </a:xfrm>
                    <a:prstGeom prst="rect">
                      <a:avLst/>
                    </a:prstGeom>
                  </pic:spPr>
                </pic:pic>
              </a:graphicData>
            </a:graphic>
          </wp:inline>
        </w:drawing>
      </w:r>
    </w:p>
    <w:p w:rsidR="272350BB" w:rsidP="272350BB" w:rsidRDefault="272350BB" w14:paraId="01A05126" w14:textId="74CEDF3A">
      <w:pPr>
        <w:pStyle w:val="Normal"/>
        <w:spacing w:line="360" w:lineRule="auto"/>
        <w:jc w:val="left"/>
        <w:rPr>
          <w:noProof w:val="0"/>
          <w:lang w:val="en-GB"/>
        </w:rPr>
      </w:pPr>
    </w:p>
    <w:p w:rsidR="6DB31D88" w:rsidP="272350BB" w:rsidRDefault="6DB31D88" w14:paraId="601278D2" w14:textId="1DA26A8C">
      <w:pPr>
        <w:pStyle w:val="Normal"/>
        <w:spacing w:line="360" w:lineRule="auto"/>
        <w:jc w:val="both"/>
        <w:rPr>
          <w:b w:val="1"/>
          <w:bCs w:val="1"/>
          <w:noProof w:val="0"/>
          <w:sz w:val="22"/>
          <w:szCs w:val="22"/>
          <w:lang w:val="en-GB"/>
        </w:rPr>
      </w:pPr>
      <w:r w:rsidRPr="272350BB" w:rsidR="6DB31D88">
        <w:rPr>
          <w:b w:val="1"/>
          <w:bCs w:val="1"/>
          <w:noProof w:val="0"/>
          <w:sz w:val="22"/>
          <w:szCs w:val="22"/>
          <w:lang w:val="en-GB"/>
        </w:rPr>
        <w:t xml:space="preserve">Figure 1. Cells and Secretions of the Pancreatic Islets </w:t>
      </w:r>
    </w:p>
    <w:p w:rsidR="6DB31D88" w:rsidP="272350BB" w:rsidRDefault="6DB31D88" w14:paraId="50262309" w14:textId="647301D1">
      <w:pPr>
        <w:pStyle w:val="Normal"/>
        <w:spacing w:line="360" w:lineRule="auto"/>
        <w:jc w:val="both"/>
        <w:rPr>
          <w:noProof w:val="0"/>
          <w:sz w:val="22"/>
          <w:szCs w:val="22"/>
          <w:lang w:val="en-GB"/>
        </w:rPr>
      </w:pPr>
      <w:r w:rsidRPr="272350BB" w:rsidR="6DB31D88">
        <w:rPr>
          <w:noProof w:val="0"/>
          <w:sz w:val="22"/>
          <w:szCs w:val="22"/>
          <w:lang w:val="en-GB"/>
        </w:rPr>
        <w:t xml:space="preserve">The pancreatic exocrine function involves acinar cells secreting digestive enzymes transported into the small intestine via the pancreatic duct. Its endocrine function involves the secretion of insulin (produced by beta cells) and glucagon (produced by alpha cells) within the pancreatic islets. These hormones regulate glucose metabolism. The micrograph reveals pancreatic islets. LM × 760. (Micrograph provided by the Regents of University of Michigan Medical School © 2012) </w:t>
      </w:r>
    </w:p>
    <w:p w:rsidR="272350BB" w:rsidP="272350BB" w:rsidRDefault="272350BB" w14:paraId="5B379C51" w14:textId="56127936">
      <w:pPr>
        <w:pStyle w:val="Normal"/>
        <w:spacing w:line="360" w:lineRule="auto"/>
        <w:jc w:val="both"/>
        <w:rPr>
          <w:noProof w:val="0"/>
          <w:lang w:val="en-GB"/>
        </w:rPr>
      </w:pPr>
    </w:p>
    <w:p w:rsidR="272350BB" w:rsidP="272350BB" w:rsidRDefault="272350BB" w14:paraId="78339756" w14:textId="7776D7FA">
      <w:pPr>
        <w:pStyle w:val="Normal"/>
        <w:spacing w:line="360" w:lineRule="auto"/>
        <w:jc w:val="both"/>
        <w:rPr>
          <w:noProof w:val="0"/>
          <w:lang w:val="en-GB"/>
        </w:rPr>
      </w:pPr>
    </w:p>
    <w:p w:rsidR="6DB31D88" w:rsidP="272350BB" w:rsidRDefault="6DB31D88" w14:paraId="4D1139BC" w14:textId="72F74E77">
      <w:pPr>
        <w:pStyle w:val="Heading2"/>
        <w:spacing w:line="360" w:lineRule="auto"/>
        <w:jc w:val="both"/>
        <w:rPr>
          <w:noProof w:val="0"/>
          <w:sz w:val="28"/>
          <w:szCs w:val="28"/>
          <w:lang w:val="en-GB"/>
        </w:rPr>
      </w:pPr>
      <w:bookmarkStart w:name="_Toc256875331" w:id="968302456"/>
      <w:r w:rsidRPr="272350BB" w:rsidR="6DB31D88">
        <w:rPr>
          <w:noProof w:val="0"/>
          <w:sz w:val="28"/>
          <w:szCs w:val="28"/>
          <w:lang w:val="en-GB"/>
        </w:rPr>
        <w:t>Metabolic Pathways Supporting Regulation</w:t>
      </w:r>
      <w:bookmarkEnd w:id="968302456"/>
      <w:r w:rsidRPr="272350BB" w:rsidR="6DB31D88">
        <w:rPr>
          <w:noProof w:val="0"/>
          <w:sz w:val="28"/>
          <w:szCs w:val="28"/>
          <w:lang w:val="en-GB"/>
        </w:rPr>
        <w:t xml:space="preserve"> </w:t>
      </w:r>
    </w:p>
    <w:p w:rsidR="6DB31D88" w:rsidP="272350BB" w:rsidRDefault="6DB31D88" w14:paraId="6A60AAB5" w14:textId="7157927F">
      <w:pPr>
        <w:pStyle w:val="Normal"/>
        <w:spacing w:line="360" w:lineRule="auto"/>
        <w:jc w:val="both"/>
        <w:rPr>
          <w:noProof w:val="0"/>
          <w:sz w:val="22"/>
          <w:szCs w:val="22"/>
          <w:lang w:val="en-GB"/>
        </w:rPr>
      </w:pPr>
      <w:r w:rsidRPr="272350BB" w:rsidR="6DB31D88">
        <w:rPr>
          <w:noProof w:val="0"/>
          <w:sz w:val="22"/>
          <w:szCs w:val="22"/>
          <w:lang w:val="en-GB"/>
        </w:rPr>
        <w:t xml:space="preserve">Glucose homeostasis is sustained through reciprocal regulation of glycolysis, gluconeogenesis, glycogenolysis, and glycogenesis. Glycolysis enables ATP production through glucose breakdown, </w:t>
      </w:r>
      <w:r w:rsidRPr="272350BB" w:rsidR="6DB31D88">
        <w:rPr>
          <w:noProof w:val="0"/>
          <w:sz w:val="22"/>
          <w:szCs w:val="22"/>
          <w:lang w:val="en-GB"/>
        </w:rPr>
        <w:t>whereas</w:t>
      </w:r>
      <w:r w:rsidRPr="272350BB" w:rsidR="6DB31D88">
        <w:rPr>
          <w:noProof w:val="0"/>
          <w:sz w:val="22"/>
          <w:szCs w:val="22"/>
          <w:lang w:val="en-GB"/>
        </w:rPr>
        <w:t xml:space="preserve"> glycogenesis promotes storage during periods of nutritional abundance. In contrast, glycogenolysis and gluconeogenesis restore plasma glucose during fasting states (Min </w:t>
      </w:r>
      <w:r w:rsidRPr="272350BB" w:rsidR="6DB31D88">
        <w:rPr>
          <w:i w:val="1"/>
          <w:iCs w:val="1"/>
          <w:noProof w:val="0"/>
          <w:sz w:val="22"/>
          <w:szCs w:val="22"/>
          <w:lang w:val="en-GB"/>
        </w:rPr>
        <w:t>et al.</w:t>
      </w:r>
      <w:r w:rsidRPr="272350BB" w:rsidR="6DB31D88">
        <w:rPr>
          <w:noProof w:val="0"/>
          <w:sz w:val="22"/>
          <w:szCs w:val="22"/>
          <w:lang w:val="en-GB"/>
        </w:rPr>
        <w:t xml:space="preserve">, 2024). Hepatic glucokinase functions as a metabolic sensor following food intake, </w:t>
      </w:r>
      <w:r w:rsidRPr="272350BB" w:rsidR="6DB31D88">
        <w:rPr>
          <w:noProof w:val="0"/>
          <w:sz w:val="22"/>
          <w:szCs w:val="22"/>
          <w:lang w:val="en-GB"/>
        </w:rPr>
        <w:t>facilitating</w:t>
      </w:r>
      <w:r w:rsidRPr="272350BB" w:rsidR="6DB31D88">
        <w:rPr>
          <w:noProof w:val="0"/>
          <w:sz w:val="22"/>
          <w:szCs w:val="22"/>
          <w:lang w:val="en-GB"/>
        </w:rPr>
        <w:t xml:space="preserve"> </w:t>
      </w:r>
      <w:r w:rsidRPr="272350BB" w:rsidR="6DB31D88">
        <w:rPr>
          <w:noProof w:val="0"/>
          <w:sz w:val="22"/>
          <w:szCs w:val="22"/>
          <w:lang w:val="en-GB"/>
        </w:rPr>
        <w:t>appropriate insulin-mediated</w:t>
      </w:r>
      <w:r w:rsidRPr="272350BB" w:rsidR="6DB31D88">
        <w:rPr>
          <w:noProof w:val="0"/>
          <w:sz w:val="22"/>
          <w:szCs w:val="22"/>
          <w:lang w:val="en-GB"/>
        </w:rPr>
        <w:t xml:space="preserve"> responses. This metabolic flexibility allows adaptation to feeding, fasting, stress, and illness. </w:t>
      </w:r>
    </w:p>
    <w:p w:rsidR="272350BB" w:rsidP="272350BB" w:rsidRDefault="272350BB" w14:paraId="6E247278" w14:textId="22A87F33">
      <w:pPr>
        <w:pStyle w:val="Normal"/>
        <w:spacing w:line="360" w:lineRule="auto"/>
        <w:jc w:val="both"/>
        <w:rPr>
          <w:noProof w:val="0"/>
          <w:lang w:val="en-GB"/>
        </w:rPr>
      </w:pPr>
    </w:p>
    <w:p w:rsidR="6DB31D88" w:rsidP="272350BB" w:rsidRDefault="6DB31D88" w14:paraId="63CB18FB" w14:textId="2D58771D">
      <w:pPr>
        <w:pStyle w:val="Heading2"/>
        <w:spacing w:line="360" w:lineRule="auto"/>
        <w:jc w:val="both"/>
        <w:rPr>
          <w:noProof w:val="0"/>
          <w:sz w:val="28"/>
          <w:szCs w:val="28"/>
          <w:lang w:val="en-GB"/>
        </w:rPr>
      </w:pPr>
      <w:bookmarkStart w:name="_Toc683388419" w:id="1286537403"/>
      <w:r w:rsidRPr="272350BB" w:rsidR="6DB31D88">
        <w:rPr>
          <w:noProof w:val="0"/>
          <w:sz w:val="28"/>
          <w:szCs w:val="28"/>
          <w:lang w:val="en-GB"/>
        </w:rPr>
        <w:t>Hormonal and Organ System Integration</w:t>
      </w:r>
      <w:bookmarkEnd w:id="1286537403"/>
      <w:r w:rsidRPr="272350BB" w:rsidR="6DB31D88">
        <w:rPr>
          <w:noProof w:val="0"/>
          <w:sz w:val="28"/>
          <w:szCs w:val="28"/>
          <w:lang w:val="en-GB"/>
        </w:rPr>
        <w:t xml:space="preserve"> </w:t>
      </w:r>
    </w:p>
    <w:p w:rsidR="6DB31D88" w:rsidP="272350BB" w:rsidRDefault="6DB31D88" w14:paraId="6EDDB00C" w14:textId="698AE351">
      <w:pPr>
        <w:pStyle w:val="Normal"/>
        <w:spacing w:line="360" w:lineRule="auto"/>
        <w:jc w:val="both"/>
        <w:rPr>
          <w:noProof w:val="0"/>
          <w:sz w:val="22"/>
          <w:szCs w:val="22"/>
          <w:lang w:val="en-GB"/>
        </w:rPr>
      </w:pPr>
      <w:r w:rsidRPr="272350BB" w:rsidR="6DB31D88">
        <w:rPr>
          <w:noProof w:val="0"/>
          <w:sz w:val="22"/>
          <w:szCs w:val="22"/>
          <w:lang w:val="en-GB"/>
        </w:rPr>
        <w:t xml:space="preserve">Insulin and glucagon act as principal counter-regulatory hormones. Rising plasma glucose stimulates pancreatic c β-cells to release insulin, promoting GLUT4-mediated glucose uptake in skeletal muscle and adipose tissue and inhibiting hepatic glucose output. C On the contrary, declining glucose concentrations stimulate α-cell glucagon. secretion, increasing hepatic glycogenolysis and gluconeogenesis (Vossen </w:t>
      </w:r>
      <w:r w:rsidRPr="272350BB" w:rsidR="6DB31D88">
        <w:rPr>
          <w:i w:val="1"/>
          <w:iCs w:val="1"/>
          <w:noProof w:val="0"/>
          <w:sz w:val="22"/>
          <w:szCs w:val="22"/>
          <w:lang w:val="en-GB"/>
        </w:rPr>
        <w:t>et al</w:t>
      </w:r>
      <w:r w:rsidRPr="272350BB" w:rsidR="6DB31D88">
        <w:rPr>
          <w:noProof w:val="0"/>
          <w:sz w:val="22"/>
          <w:szCs w:val="22"/>
          <w:lang w:val="en-GB"/>
        </w:rPr>
        <w:t xml:space="preserve">., 2024). </w:t>
      </w:r>
    </w:p>
    <w:p w:rsidR="6DB31D88" w:rsidP="272350BB" w:rsidRDefault="6DB31D88" w14:paraId="7A011926" w14:textId="65510631">
      <w:pPr>
        <w:pStyle w:val="Normal"/>
        <w:spacing w:line="360" w:lineRule="auto"/>
        <w:jc w:val="both"/>
        <w:rPr>
          <w:noProof w:val="0"/>
          <w:sz w:val="22"/>
          <w:szCs w:val="22"/>
          <w:lang w:val="en-GB"/>
        </w:rPr>
      </w:pPr>
      <w:r w:rsidRPr="272350BB" w:rsidR="6DB31D88">
        <w:rPr>
          <w:noProof w:val="0"/>
          <w:sz w:val="22"/>
          <w:szCs w:val="22"/>
          <w:lang w:val="en-GB"/>
        </w:rPr>
        <w:t>Additional</w:t>
      </w:r>
      <w:r w:rsidRPr="272350BB" w:rsidR="6DB31D88">
        <w:rPr>
          <w:noProof w:val="0"/>
          <w:sz w:val="22"/>
          <w:szCs w:val="22"/>
          <w:lang w:val="en-GB"/>
        </w:rPr>
        <w:t xml:space="preserve"> hormones, including cortisol, epinephrine, and growth hormone, modulate glucose availability during physiological stress. This </w:t>
      </w:r>
      <w:r w:rsidRPr="272350BB" w:rsidR="6DB31D88">
        <w:rPr>
          <w:noProof w:val="0"/>
          <w:sz w:val="22"/>
          <w:szCs w:val="22"/>
          <w:lang w:val="en-GB"/>
        </w:rPr>
        <w:t>finely balanced</w:t>
      </w:r>
      <w:r w:rsidRPr="272350BB" w:rsidR="6DB31D88">
        <w:rPr>
          <w:noProof w:val="0"/>
          <w:sz w:val="22"/>
          <w:szCs w:val="22"/>
          <w:lang w:val="en-GB"/>
        </w:rPr>
        <w:t xml:space="preserve"> negative-feedback system </w:t>
      </w:r>
      <w:r w:rsidRPr="272350BB" w:rsidR="6DB31D88">
        <w:rPr>
          <w:noProof w:val="0"/>
          <w:sz w:val="22"/>
          <w:szCs w:val="22"/>
          <w:lang w:val="en-GB"/>
        </w:rPr>
        <w:t>maintains</w:t>
      </w:r>
      <w:r w:rsidRPr="272350BB" w:rsidR="6DB31D88">
        <w:rPr>
          <w:noProof w:val="0"/>
          <w:sz w:val="22"/>
          <w:szCs w:val="22"/>
          <w:lang w:val="en-GB"/>
        </w:rPr>
        <w:t xml:space="preserve"> metabolic stability. In T2DM, however, impaired insulin signalling and inappropriate hepatic glucose production </w:t>
      </w:r>
      <w:r w:rsidRPr="272350BB" w:rsidR="63EF8FE3">
        <w:rPr>
          <w:rFonts w:ascii="Aptos" w:hAnsi="Aptos" w:eastAsia="Aptos" w:cs="Aptos"/>
          <w:noProof w:val="0"/>
          <w:sz w:val="22"/>
          <w:szCs w:val="22"/>
          <w:lang w:val="en-GB"/>
        </w:rPr>
        <w:t>disrupts</w:t>
      </w:r>
      <w:r w:rsidRPr="272350BB" w:rsidR="6DB31D88">
        <w:rPr>
          <w:noProof w:val="0"/>
          <w:sz w:val="22"/>
          <w:szCs w:val="22"/>
          <w:lang w:val="en-GB"/>
        </w:rPr>
        <w:t xml:space="preserve"> this equilibrium, resulting in chronic hyperglycaemia. </w:t>
      </w:r>
    </w:p>
    <w:p w:rsidR="272350BB" w:rsidP="272350BB" w:rsidRDefault="272350BB" w14:paraId="17891683" w14:textId="73DABBE6">
      <w:pPr>
        <w:pStyle w:val="Normal"/>
        <w:spacing w:line="360" w:lineRule="auto"/>
        <w:jc w:val="both"/>
        <w:rPr>
          <w:noProof w:val="0"/>
          <w:sz w:val="22"/>
          <w:szCs w:val="22"/>
          <w:lang w:val="en-GB"/>
        </w:rPr>
      </w:pPr>
    </w:p>
    <w:p w:rsidR="6DB31D88" w:rsidP="272350BB" w:rsidRDefault="6DB31D88" w14:paraId="59E9BF71" w14:textId="0A9D20AC">
      <w:pPr>
        <w:pStyle w:val="Heading2"/>
        <w:spacing w:line="360" w:lineRule="auto"/>
        <w:jc w:val="both"/>
        <w:rPr>
          <w:noProof w:val="0"/>
          <w:sz w:val="28"/>
          <w:szCs w:val="28"/>
          <w:lang w:val="en-GB"/>
        </w:rPr>
      </w:pPr>
      <w:bookmarkStart w:name="_Toc1679853694" w:id="1827288370"/>
      <w:r w:rsidRPr="272350BB" w:rsidR="6DB31D88">
        <w:rPr>
          <w:noProof w:val="0"/>
          <w:sz w:val="28"/>
          <w:szCs w:val="28"/>
          <w:lang w:val="en-GB"/>
        </w:rPr>
        <w:t>Circadian Regulation of Blood Glucose</w:t>
      </w:r>
      <w:bookmarkEnd w:id="1827288370"/>
      <w:r w:rsidRPr="272350BB" w:rsidR="6DB31D88">
        <w:rPr>
          <w:noProof w:val="0"/>
          <w:sz w:val="28"/>
          <w:szCs w:val="28"/>
          <w:lang w:val="en-GB"/>
        </w:rPr>
        <w:t xml:space="preserve"> </w:t>
      </w:r>
    </w:p>
    <w:p w:rsidR="6DB31D88" w:rsidP="272350BB" w:rsidRDefault="6DB31D88" w14:paraId="4456ED10" w14:textId="0AAAFAE4">
      <w:pPr>
        <w:pStyle w:val="Normal"/>
        <w:spacing w:line="360" w:lineRule="auto"/>
        <w:jc w:val="both"/>
        <w:rPr>
          <w:noProof w:val="0"/>
          <w:sz w:val="22"/>
          <w:szCs w:val="22"/>
          <w:lang w:val="en-GB"/>
        </w:rPr>
      </w:pPr>
      <w:r w:rsidRPr="272350BB" w:rsidR="6DB31D88">
        <w:rPr>
          <w:noProof w:val="0"/>
          <w:sz w:val="22"/>
          <w:szCs w:val="22"/>
          <w:lang w:val="en-GB"/>
        </w:rPr>
        <w:t xml:space="preserve">Glucose tolerance varies according to circadian rhythms. Peak insulin sensitivity typically occurs in the morning, </w:t>
      </w:r>
      <w:r w:rsidRPr="272350BB" w:rsidR="6DB31D88">
        <w:rPr>
          <w:noProof w:val="0"/>
          <w:sz w:val="22"/>
          <w:szCs w:val="22"/>
          <w:lang w:val="en-GB"/>
        </w:rPr>
        <w:t>whereas</w:t>
      </w:r>
      <w:r w:rsidRPr="272350BB" w:rsidR="6DB31D88">
        <w:rPr>
          <w:noProof w:val="0"/>
          <w:sz w:val="22"/>
          <w:szCs w:val="22"/>
          <w:lang w:val="en-GB"/>
        </w:rPr>
        <w:t xml:space="preserve"> reduced responsiveness later in the day may contribute to postprandial hyperglycaemia (Zhang </w:t>
      </w:r>
      <w:r w:rsidRPr="272350BB" w:rsidR="6DB31D88">
        <w:rPr>
          <w:i w:val="1"/>
          <w:iCs w:val="1"/>
          <w:noProof w:val="0"/>
          <w:sz w:val="22"/>
          <w:szCs w:val="22"/>
          <w:lang w:val="en-GB"/>
        </w:rPr>
        <w:t>et al</w:t>
      </w:r>
      <w:r w:rsidRPr="272350BB" w:rsidR="6DB31D88">
        <w:rPr>
          <w:noProof w:val="0"/>
          <w:sz w:val="22"/>
          <w:szCs w:val="22"/>
          <w:lang w:val="en-GB"/>
        </w:rPr>
        <w:t xml:space="preserve">., 2025). Recognizing circadian variation has clinical implications, including medication timing, dietary advice, and patient education in primary care. </w:t>
      </w:r>
    </w:p>
    <w:p w:rsidR="272350BB" w:rsidP="272350BB" w:rsidRDefault="272350BB" w14:paraId="6F69BA8D" w14:textId="71B9EA0F">
      <w:pPr>
        <w:pStyle w:val="Normal"/>
        <w:spacing w:line="360" w:lineRule="auto"/>
        <w:jc w:val="both"/>
        <w:rPr>
          <w:noProof w:val="0"/>
          <w:sz w:val="22"/>
          <w:szCs w:val="22"/>
          <w:lang w:val="en-GB"/>
        </w:rPr>
      </w:pPr>
    </w:p>
    <w:p w:rsidR="6DB31D88" w:rsidP="272350BB" w:rsidRDefault="6DB31D88" w14:paraId="6E028B9B" w14:textId="3931B1EF">
      <w:pPr>
        <w:pStyle w:val="Heading2"/>
        <w:rPr>
          <w:noProof w:val="0"/>
          <w:sz w:val="28"/>
          <w:szCs w:val="28"/>
          <w:lang w:val="en-GB"/>
        </w:rPr>
      </w:pPr>
      <w:bookmarkStart w:name="_Toc1794508011" w:id="876462475"/>
      <w:r w:rsidRPr="272350BB" w:rsidR="6DB31D88">
        <w:rPr>
          <w:noProof w:val="0"/>
          <w:sz w:val="28"/>
          <w:szCs w:val="28"/>
          <w:lang w:val="en-GB"/>
        </w:rPr>
        <w:t>Linking</w:t>
      </w:r>
      <w:r w:rsidRPr="272350BB" w:rsidR="325B12E8">
        <w:rPr>
          <w:noProof w:val="0"/>
          <w:sz w:val="28"/>
          <w:szCs w:val="28"/>
          <w:lang w:val="en-GB"/>
        </w:rPr>
        <w:t xml:space="preserve"> </w:t>
      </w:r>
      <w:r w:rsidRPr="272350BB" w:rsidR="6DB31D88">
        <w:rPr>
          <w:noProof w:val="0"/>
          <w:sz w:val="28"/>
          <w:szCs w:val="28"/>
          <w:lang w:val="en-GB"/>
        </w:rPr>
        <w:t>Anatomy and Physiology: Complications of Chronic Hyperglycaemia</w:t>
      </w:r>
      <w:bookmarkEnd w:id="876462475"/>
      <w:r w:rsidRPr="272350BB" w:rsidR="6DB31D88">
        <w:rPr>
          <w:noProof w:val="0"/>
          <w:sz w:val="28"/>
          <w:szCs w:val="28"/>
          <w:lang w:val="en-GB"/>
        </w:rPr>
        <w:t xml:space="preserve"> </w:t>
      </w:r>
    </w:p>
    <w:p w:rsidR="6DB31D88" w:rsidP="272350BB" w:rsidRDefault="6DB31D88" w14:paraId="2C89DD03" w14:textId="2CD61CAC">
      <w:pPr>
        <w:pStyle w:val="Normal"/>
        <w:spacing w:line="360" w:lineRule="auto"/>
        <w:jc w:val="both"/>
        <w:rPr>
          <w:noProof w:val="0"/>
          <w:sz w:val="22"/>
          <w:szCs w:val="22"/>
          <w:lang w:val="en-GB"/>
        </w:rPr>
      </w:pPr>
      <w:r w:rsidRPr="272350BB" w:rsidR="6DB31D88">
        <w:rPr>
          <w:noProof w:val="0"/>
          <w:sz w:val="22"/>
          <w:szCs w:val="22"/>
          <w:lang w:val="en-GB"/>
        </w:rPr>
        <w:t xml:space="preserve">Sustained hyperglycaemia activates several pathogenic pathways, including advanced glycation end-product (AGE) formation, protein kinase C activation, and oxidative stress. Overproduction of reactive oxygen species in the mitochondria damages the vascular endothelium, promoting inflammation and microvascular injury (Galicia-Garcia et al., 2020). These mechanisms serve as the foundation for retinopathy, nephropathy, and neuropathy. </w:t>
      </w:r>
    </w:p>
    <w:p w:rsidR="6DB31D88" w:rsidP="272350BB" w:rsidRDefault="6DB31D88" w14:paraId="29C433E8" w14:textId="7DAC9A6B">
      <w:pPr>
        <w:pStyle w:val="Normal"/>
        <w:spacing w:line="360" w:lineRule="auto"/>
        <w:jc w:val="both"/>
        <w:rPr>
          <w:noProof w:val="0"/>
          <w:sz w:val="22"/>
          <w:szCs w:val="22"/>
          <w:lang w:val="en-GB"/>
        </w:rPr>
      </w:pPr>
      <w:r w:rsidRPr="272350BB" w:rsidR="6DB31D88">
        <w:rPr>
          <w:noProof w:val="0"/>
          <w:sz w:val="22"/>
          <w:szCs w:val="22"/>
          <w:lang w:val="en-GB"/>
        </w:rPr>
        <w:t xml:space="preserve">Skeletal muscle accounts for the majority of postprandial glucose disposal due to high GLUT4 expression and extensive capillary networks (Merz and Thurmond, 2020). In contrast, increased adiposity disrupts endocrine communication through inflammatory mediators such as TNF-α and IL-6, further impairing insulin sensitivity (Kirichenko et al., 2022). The specialized vascular architecture of pancreatic islets </w:t>
      </w:r>
      <w:r w:rsidRPr="272350BB" w:rsidR="6DB31D88">
        <w:rPr>
          <w:noProof w:val="0"/>
          <w:sz w:val="22"/>
          <w:szCs w:val="22"/>
          <w:lang w:val="en-GB"/>
        </w:rPr>
        <w:t>facilitates</w:t>
      </w:r>
      <w:r w:rsidRPr="272350BB" w:rsidR="6DB31D88">
        <w:rPr>
          <w:noProof w:val="0"/>
          <w:sz w:val="22"/>
          <w:szCs w:val="22"/>
          <w:lang w:val="en-GB"/>
        </w:rPr>
        <w:t xml:space="preserve"> rapid glucose sensing and hormonal release (Campbell and Newgard, 2021). Structural alterations in these systems therefore translate directly into functional impairment. </w:t>
      </w:r>
    </w:p>
    <w:p w:rsidR="272350BB" w:rsidP="272350BB" w:rsidRDefault="272350BB" w14:paraId="6219956D" w14:textId="0ADCC685">
      <w:pPr>
        <w:pStyle w:val="Normal"/>
        <w:spacing w:line="360" w:lineRule="auto"/>
        <w:jc w:val="both"/>
        <w:rPr>
          <w:noProof w:val="0"/>
          <w:sz w:val="22"/>
          <w:szCs w:val="22"/>
          <w:lang w:val="en-GB"/>
        </w:rPr>
      </w:pPr>
    </w:p>
    <w:p w:rsidR="6DB31D88" w:rsidP="272350BB" w:rsidRDefault="6DB31D88" w14:paraId="06E85EAF" w14:textId="67DE72ED">
      <w:pPr>
        <w:pStyle w:val="Heading2"/>
        <w:spacing w:line="360" w:lineRule="auto"/>
        <w:jc w:val="both"/>
        <w:rPr>
          <w:noProof w:val="0"/>
          <w:sz w:val="28"/>
          <w:szCs w:val="28"/>
          <w:lang w:val="en-GB"/>
        </w:rPr>
      </w:pPr>
      <w:bookmarkStart w:name="_Toc1924852379" w:id="758740262"/>
      <w:r w:rsidRPr="272350BB" w:rsidR="6DB31D88">
        <w:rPr>
          <w:noProof w:val="0"/>
          <w:sz w:val="28"/>
          <w:szCs w:val="28"/>
          <w:lang w:val="en-GB"/>
        </w:rPr>
        <w:t>Cellular Respiration: Oxygen and Glucose in ATP Production</w:t>
      </w:r>
      <w:bookmarkEnd w:id="758740262"/>
      <w:r w:rsidRPr="272350BB" w:rsidR="6DB31D88">
        <w:rPr>
          <w:noProof w:val="0"/>
          <w:sz w:val="28"/>
          <w:szCs w:val="28"/>
          <w:lang w:val="en-GB"/>
        </w:rPr>
        <w:t xml:space="preserve"> </w:t>
      </w:r>
    </w:p>
    <w:p w:rsidR="6DB31D88" w:rsidP="272350BB" w:rsidRDefault="6DB31D88" w14:paraId="615840C6" w14:textId="61DE485D">
      <w:pPr>
        <w:pStyle w:val="Normal"/>
        <w:spacing w:line="360" w:lineRule="auto"/>
        <w:jc w:val="both"/>
        <w:rPr>
          <w:noProof w:val="0"/>
          <w:sz w:val="22"/>
          <w:szCs w:val="22"/>
          <w:lang w:val="en-GB"/>
        </w:rPr>
      </w:pPr>
      <w:r w:rsidRPr="272350BB" w:rsidR="6DB31D88">
        <w:rPr>
          <w:noProof w:val="0"/>
          <w:sz w:val="22"/>
          <w:szCs w:val="22"/>
          <w:lang w:val="en-GB"/>
        </w:rPr>
        <w:t xml:space="preserve">Cellular respiration enables conversion of glucose into usable energy. Glycolysis occurs within the cytosol, converting one glucose molecule into two molecules of pyruvate and generating a modest yield of 2 net ATP alongside NADH. </w:t>
      </w:r>
    </w:p>
    <w:p w:rsidR="6DB31D88" w:rsidP="272350BB" w:rsidRDefault="6DB31D88" w14:paraId="62D59C4C" w14:textId="2B78A136">
      <w:pPr>
        <w:pStyle w:val="Normal"/>
        <w:spacing w:line="360" w:lineRule="auto"/>
        <w:jc w:val="both"/>
        <w:rPr>
          <w:noProof w:val="0"/>
          <w:sz w:val="22"/>
          <w:szCs w:val="22"/>
          <w:lang w:val="en-GB"/>
        </w:rPr>
      </w:pPr>
      <w:r w:rsidRPr="272350BB" w:rsidR="6DB31D88">
        <w:rPr>
          <w:noProof w:val="0"/>
          <w:sz w:val="22"/>
          <w:szCs w:val="22"/>
          <w:lang w:val="en-GB"/>
        </w:rPr>
        <w:t xml:space="preserve">Under aerobic conditions, pyruvate enters the mitochondria and is converted into acetyl-CoA before entering the tricarboxylic acid (TCA) cycle. </w:t>
      </w:r>
      <w:r w:rsidRPr="272350BB" w:rsidR="6DB31D88">
        <w:rPr>
          <w:noProof w:val="0"/>
          <w:sz w:val="22"/>
          <w:szCs w:val="22"/>
          <w:lang w:val="en-GB"/>
        </w:rPr>
        <w:t>Subsequent</w:t>
      </w:r>
      <w:r w:rsidRPr="272350BB" w:rsidR="6DB31D88">
        <w:rPr>
          <w:noProof w:val="0"/>
          <w:sz w:val="22"/>
          <w:szCs w:val="22"/>
          <w:lang w:val="en-GB"/>
        </w:rPr>
        <w:t xml:space="preserve"> oxidative phosphorylation within the electron transport chain </w:t>
      </w:r>
      <w:r w:rsidRPr="272350BB" w:rsidR="6DB31D88">
        <w:rPr>
          <w:noProof w:val="0"/>
          <w:sz w:val="22"/>
          <w:szCs w:val="22"/>
          <w:lang w:val="en-GB"/>
        </w:rPr>
        <w:t>establishes</w:t>
      </w:r>
      <w:r w:rsidRPr="272350BB" w:rsidR="6DB31D88">
        <w:rPr>
          <w:noProof w:val="0"/>
          <w:sz w:val="22"/>
          <w:szCs w:val="22"/>
          <w:lang w:val="en-GB"/>
        </w:rPr>
        <w:t xml:space="preserve"> a proton gradient that drives ATP synthase activity (Biro, 2022). </w:t>
      </w:r>
      <w:r w:rsidRPr="272350BB" w:rsidR="6DB31D88">
        <w:rPr>
          <w:noProof w:val="0"/>
          <w:sz w:val="22"/>
          <w:szCs w:val="22"/>
          <w:lang w:val="en-GB"/>
        </w:rPr>
        <w:t>Approximately 36</w:t>
      </w:r>
      <w:r w:rsidRPr="272350BB" w:rsidR="6DB31D88">
        <w:rPr>
          <w:noProof w:val="0"/>
          <w:sz w:val="22"/>
          <w:szCs w:val="22"/>
          <w:lang w:val="en-GB"/>
        </w:rPr>
        <w:t xml:space="preserve">–38 ATP molecules may be produced per glucose molecule (Carnero </w:t>
      </w:r>
      <w:r w:rsidRPr="272350BB" w:rsidR="6DB31D88">
        <w:rPr>
          <w:i w:val="1"/>
          <w:iCs w:val="1"/>
          <w:noProof w:val="0"/>
          <w:sz w:val="22"/>
          <w:szCs w:val="22"/>
          <w:lang w:val="en-GB"/>
        </w:rPr>
        <w:t>et al.</w:t>
      </w:r>
      <w:r w:rsidRPr="272350BB" w:rsidR="6DB31D88">
        <w:rPr>
          <w:noProof w:val="0"/>
          <w:sz w:val="22"/>
          <w:szCs w:val="22"/>
          <w:lang w:val="en-GB"/>
        </w:rPr>
        <w:t xml:space="preserve">, 2021), with oxygen functioning as the final electron acceptor. </w:t>
      </w:r>
    </w:p>
    <w:p w:rsidR="6DB31D88" w:rsidP="272350BB" w:rsidRDefault="6DB31D88" w14:paraId="75D1F43F" w14:textId="4FF1A22B">
      <w:pPr>
        <w:pStyle w:val="Normal"/>
        <w:spacing w:line="360" w:lineRule="auto"/>
        <w:jc w:val="both"/>
        <w:rPr>
          <w:noProof w:val="0"/>
          <w:sz w:val="22"/>
          <w:szCs w:val="22"/>
          <w:lang w:val="en-GB"/>
        </w:rPr>
      </w:pPr>
      <w:r w:rsidRPr="272350BB" w:rsidR="6DB31D88">
        <w:rPr>
          <w:noProof w:val="0"/>
          <w:sz w:val="22"/>
          <w:szCs w:val="22"/>
          <w:lang w:val="en-GB"/>
        </w:rPr>
        <w:t xml:space="preserve">In individuals with diabetes, vascular compromise may reduce oxygen delivery to tissues, impairing aerobic metabolism and contributing to delayed wound healing and tissue dysfunction (Yang </w:t>
      </w:r>
      <w:r w:rsidRPr="272350BB" w:rsidR="6DB31D88">
        <w:rPr>
          <w:i w:val="1"/>
          <w:iCs w:val="1"/>
          <w:noProof w:val="0"/>
          <w:sz w:val="22"/>
          <w:szCs w:val="22"/>
          <w:lang w:val="en-GB"/>
        </w:rPr>
        <w:t>et al</w:t>
      </w:r>
      <w:r w:rsidRPr="272350BB" w:rsidR="6DB31D88">
        <w:rPr>
          <w:noProof w:val="0"/>
          <w:sz w:val="22"/>
          <w:szCs w:val="22"/>
          <w:lang w:val="en-GB"/>
        </w:rPr>
        <w:t xml:space="preserve">., 2025). This illustrates the interdependence of metabolic regulation and vascular integrity. </w:t>
      </w:r>
    </w:p>
    <w:p w:rsidR="272350BB" w:rsidP="272350BB" w:rsidRDefault="272350BB" w14:paraId="3EFD0393" w14:textId="5CDC283D">
      <w:pPr>
        <w:pStyle w:val="Normal"/>
        <w:spacing w:line="360" w:lineRule="auto"/>
        <w:jc w:val="both"/>
        <w:rPr>
          <w:noProof w:val="0"/>
          <w:lang w:val="en-GB"/>
        </w:rPr>
      </w:pPr>
    </w:p>
    <w:p w:rsidR="6DB31D88" w:rsidP="272350BB" w:rsidRDefault="6DB31D88" w14:paraId="446B7954" w14:textId="37F97B24">
      <w:pPr>
        <w:pStyle w:val="Heading2"/>
        <w:spacing w:line="360" w:lineRule="auto"/>
        <w:jc w:val="both"/>
        <w:rPr>
          <w:noProof w:val="0"/>
          <w:sz w:val="28"/>
          <w:szCs w:val="28"/>
          <w:lang w:val="en-GB"/>
        </w:rPr>
      </w:pPr>
      <w:bookmarkStart w:name="_Toc1738174445" w:id="564325392"/>
      <w:r w:rsidRPr="272350BB" w:rsidR="6DB31D88">
        <w:rPr>
          <w:noProof w:val="0"/>
          <w:sz w:val="28"/>
          <w:szCs w:val="28"/>
          <w:lang w:val="en-GB"/>
        </w:rPr>
        <w:t>Methods for Research and Evidence Synthesis</w:t>
      </w:r>
      <w:bookmarkEnd w:id="564325392"/>
      <w:r w:rsidRPr="272350BB" w:rsidR="6DB31D88">
        <w:rPr>
          <w:noProof w:val="0"/>
          <w:sz w:val="28"/>
          <w:szCs w:val="28"/>
          <w:lang w:val="en-GB"/>
        </w:rPr>
        <w:t xml:space="preserve"> </w:t>
      </w:r>
    </w:p>
    <w:p w:rsidR="6DB31D88" w:rsidP="272350BB" w:rsidRDefault="6DB31D88" w14:paraId="72F3B0A2" w14:textId="70F2DC77">
      <w:pPr>
        <w:pStyle w:val="Normal"/>
        <w:spacing w:line="360" w:lineRule="auto"/>
        <w:jc w:val="left"/>
        <w:rPr>
          <w:noProof w:val="0"/>
          <w:sz w:val="22"/>
          <w:szCs w:val="22"/>
          <w:lang w:val="en-GB"/>
        </w:rPr>
      </w:pPr>
      <w:r w:rsidRPr="272350BB" w:rsidR="6DB31D88">
        <w:rPr>
          <w:noProof w:val="0"/>
          <w:sz w:val="22"/>
          <w:szCs w:val="22"/>
          <w:lang w:val="en-GB"/>
        </w:rPr>
        <w:t xml:space="preserve">Evidence informing diabetes management derives from randomized controlled trials (RCTs), longitudinal cohort studies, laboratory investigations, animal models, and systematic reviews. RCTs provide high internal validity but may lack generalizability due to restrictive inclusion criteria. Cohort studies </w:t>
      </w:r>
      <w:r w:rsidRPr="272350BB" w:rsidR="6DB31D88">
        <w:rPr>
          <w:noProof w:val="0"/>
          <w:sz w:val="22"/>
          <w:szCs w:val="22"/>
          <w:lang w:val="en-GB"/>
        </w:rPr>
        <w:t>provide</w:t>
      </w:r>
      <w:r w:rsidRPr="272350BB" w:rsidR="6DB31D88">
        <w:rPr>
          <w:noProof w:val="0"/>
          <w:sz w:val="22"/>
          <w:szCs w:val="22"/>
          <w:lang w:val="en-GB"/>
        </w:rPr>
        <w:t xml:space="preserve"> useful real-world insights but are more prone to confounding. Critical appraisal of </w:t>
      </w:r>
      <w:r w:rsidRPr="272350BB" w:rsidR="6DB31D88">
        <w:rPr>
          <w:noProof w:val="0"/>
          <w:sz w:val="22"/>
          <w:szCs w:val="22"/>
          <w:lang w:val="en-GB"/>
        </w:rPr>
        <w:t>methodology</w:t>
      </w:r>
      <w:r w:rsidRPr="272350BB" w:rsidR="6DB31D88">
        <w:rPr>
          <w:noProof w:val="0"/>
          <w:sz w:val="22"/>
          <w:szCs w:val="22"/>
          <w:lang w:val="en-GB"/>
        </w:rPr>
        <w:t xml:space="preserve">, bias, and applicability is crucial in evidence-based nursing practice (American Diabetes Association, 2021). The ability to interpret research critically supports the safe implementation of guidelines across diverse patient populations. </w:t>
      </w:r>
    </w:p>
    <w:p w:rsidR="272350BB" w:rsidP="272350BB" w:rsidRDefault="272350BB" w14:paraId="1CD9CC04" w14:textId="1ECD2562">
      <w:pPr>
        <w:pStyle w:val="Normal"/>
        <w:spacing w:line="360" w:lineRule="auto"/>
        <w:jc w:val="both"/>
        <w:rPr>
          <w:noProof w:val="0"/>
          <w:lang w:val="en-GB"/>
        </w:rPr>
      </w:pPr>
    </w:p>
    <w:p w:rsidR="6DB31D88" w:rsidP="272350BB" w:rsidRDefault="6DB31D88" w14:paraId="2622054C" w14:textId="185C81B6">
      <w:pPr>
        <w:pStyle w:val="Heading1"/>
        <w:spacing w:line="360" w:lineRule="auto"/>
        <w:jc w:val="both"/>
        <w:rPr>
          <w:noProof w:val="0"/>
          <w:sz w:val="28"/>
          <w:szCs w:val="28"/>
          <w:lang w:val="en-GB"/>
        </w:rPr>
      </w:pPr>
      <w:bookmarkStart w:name="_Toc325533636" w:id="150149907"/>
      <w:r w:rsidRPr="272350BB" w:rsidR="6DB31D88">
        <w:rPr>
          <w:noProof w:val="0"/>
          <w:sz w:val="28"/>
          <w:szCs w:val="28"/>
          <w:lang w:val="en-GB"/>
        </w:rPr>
        <w:t>The Importance of Blood Glucose Monitoring in T2DM</w:t>
      </w:r>
      <w:bookmarkEnd w:id="150149907"/>
      <w:r w:rsidRPr="272350BB" w:rsidR="6DB31D88">
        <w:rPr>
          <w:noProof w:val="0"/>
          <w:sz w:val="28"/>
          <w:szCs w:val="28"/>
          <w:lang w:val="en-GB"/>
        </w:rPr>
        <w:t xml:space="preserve"> </w:t>
      </w:r>
    </w:p>
    <w:p w:rsidR="6DB31D88" w:rsidP="272350BB" w:rsidRDefault="6DB31D88" w14:paraId="6B9E4509" w14:textId="18F2A61D">
      <w:pPr>
        <w:pStyle w:val="Normal"/>
        <w:spacing w:line="360" w:lineRule="auto"/>
        <w:jc w:val="both"/>
        <w:rPr>
          <w:noProof w:val="0"/>
          <w:sz w:val="22"/>
          <w:szCs w:val="22"/>
          <w:lang w:val="en-GB"/>
        </w:rPr>
      </w:pPr>
      <w:r w:rsidRPr="272350BB" w:rsidR="6DB31D88">
        <w:rPr>
          <w:noProof w:val="0"/>
          <w:sz w:val="22"/>
          <w:szCs w:val="22"/>
          <w:lang w:val="en-GB"/>
        </w:rPr>
        <w:t xml:space="preserve">Structured blood glucose monitoring improves clinical decision-making and patient self-management (Ozkan </w:t>
      </w:r>
      <w:r w:rsidRPr="272350BB" w:rsidR="6DB31D88">
        <w:rPr>
          <w:i w:val="1"/>
          <w:iCs w:val="1"/>
          <w:noProof w:val="0"/>
          <w:sz w:val="22"/>
          <w:szCs w:val="22"/>
          <w:lang w:val="en-GB"/>
        </w:rPr>
        <w:t>et al</w:t>
      </w:r>
      <w:r w:rsidRPr="272350BB" w:rsidR="6DB31D88">
        <w:rPr>
          <w:noProof w:val="0"/>
          <w:sz w:val="22"/>
          <w:szCs w:val="22"/>
          <w:lang w:val="en-GB"/>
        </w:rPr>
        <w:t xml:space="preserve">., 2023). Self-monitoring of blood glucose (SMBG) helps in </w:t>
      </w:r>
      <w:r w:rsidRPr="272350BB" w:rsidR="6DB31D88">
        <w:rPr>
          <w:noProof w:val="0"/>
          <w:sz w:val="22"/>
          <w:szCs w:val="22"/>
          <w:lang w:val="en-GB"/>
        </w:rPr>
        <w:t>identifying</w:t>
      </w:r>
      <w:r w:rsidRPr="272350BB" w:rsidR="6DB31D88">
        <w:rPr>
          <w:noProof w:val="0"/>
          <w:sz w:val="22"/>
          <w:szCs w:val="22"/>
          <w:lang w:val="en-GB"/>
        </w:rPr>
        <w:t xml:space="preserve"> glycaemic patterns, evaluating treatment efficacy, and detecting hypoglycaemia, particularly among individuals prescribed insulin or sulfonylureas (McCall </w:t>
      </w:r>
      <w:r w:rsidRPr="272350BB" w:rsidR="6DB31D88">
        <w:rPr>
          <w:i w:val="1"/>
          <w:iCs w:val="1"/>
          <w:noProof w:val="0"/>
          <w:sz w:val="22"/>
          <w:szCs w:val="22"/>
          <w:lang w:val="en-GB"/>
        </w:rPr>
        <w:t>et al</w:t>
      </w:r>
      <w:r w:rsidRPr="272350BB" w:rsidR="6DB31D88">
        <w:rPr>
          <w:noProof w:val="0"/>
          <w:sz w:val="22"/>
          <w:szCs w:val="22"/>
          <w:lang w:val="en-GB"/>
        </w:rPr>
        <w:t xml:space="preserve">., 2022). </w:t>
      </w:r>
    </w:p>
    <w:p w:rsidR="6DB31D88" w:rsidP="272350BB" w:rsidRDefault="6DB31D88" w14:paraId="729E4993" w14:textId="02DCC45D">
      <w:pPr>
        <w:pStyle w:val="Normal"/>
        <w:spacing w:line="360" w:lineRule="auto"/>
        <w:jc w:val="both"/>
        <w:rPr>
          <w:noProof w:val="0"/>
          <w:sz w:val="22"/>
          <w:szCs w:val="22"/>
          <w:lang w:val="en-GB"/>
        </w:rPr>
      </w:pPr>
      <w:r w:rsidRPr="272350BB" w:rsidR="6DB31D88">
        <w:rPr>
          <w:noProof w:val="0"/>
          <w:sz w:val="22"/>
          <w:szCs w:val="22"/>
          <w:lang w:val="en-GB"/>
        </w:rPr>
        <w:t xml:space="preserve">For individuals not treated with insulin, structured SMBG combined with education improves glycaemic outcomes. Continuous glucose monitoring (CGM) provides detailed trend analysis but raises concerns </w:t>
      </w:r>
      <w:r w:rsidRPr="272350BB" w:rsidR="6DB31D88">
        <w:rPr>
          <w:noProof w:val="0"/>
          <w:sz w:val="22"/>
          <w:szCs w:val="22"/>
          <w:lang w:val="en-GB"/>
        </w:rPr>
        <w:t>regarding</w:t>
      </w:r>
      <w:r w:rsidRPr="272350BB" w:rsidR="6DB31D88">
        <w:rPr>
          <w:noProof w:val="0"/>
          <w:sz w:val="22"/>
          <w:szCs w:val="22"/>
          <w:lang w:val="en-GB"/>
        </w:rPr>
        <w:t xml:space="preserve"> cost-effectiveness and accessibility (</w:t>
      </w:r>
      <w:r w:rsidRPr="272350BB" w:rsidR="6DB31D88">
        <w:rPr>
          <w:noProof w:val="0"/>
          <w:sz w:val="22"/>
          <w:szCs w:val="22"/>
          <w:lang w:val="en-GB"/>
        </w:rPr>
        <w:t>Aovare</w:t>
      </w:r>
      <w:r w:rsidRPr="272350BB" w:rsidR="6DB31D88">
        <w:rPr>
          <w:noProof w:val="0"/>
          <w:sz w:val="22"/>
          <w:szCs w:val="22"/>
          <w:lang w:val="en-GB"/>
        </w:rPr>
        <w:t xml:space="preserve"> et al., 2025). Importantly, </w:t>
      </w:r>
      <w:r w:rsidRPr="272350BB" w:rsidR="6DB31D88">
        <w:rPr>
          <w:noProof w:val="0"/>
          <w:sz w:val="22"/>
          <w:szCs w:val="22"/>
          <w:lang w:val="en-GB"/>
        </w:rPr>
        <w:t>monitoring</w:t>
      </w:r>
      <w:r w:rsidRPr="272350BB" w:rsidR="6DB31D88">
        <w:rPr>
          <w:noProof w:val="0"/>
          <w:sz w:val="22"/>
          <w:szCs w:val="22"/>
          <w:lang w:val="en-GB"/>
        </w:rPr>
        <w:t xml:space="preserve"> alone does not improve outcomes; benefit depends on </w:t>
      </w:r>
      <w:r w:rsidRPr="272350BB" w:rsidR="294173F1">
        <w:rPr>
          <w:rFonts w:ascii="Aptos" w:hAnsi="Aptos" w:eastAsia="Aptos" w:cs="Aptos"/>
          <w:noProof w:val="0"/>
          <w:sz w:val="22"/>
          <w:szCs w:val="22"/>
          <w:lang w:val="en-GB"/>
        </w:rPr>
        <w:t>interpretation.</w:t>
      </w:r>
      <w:r w:rsidRPr="272350BB" w:rsidR="6DB31D88">
        <w:rPr>
          <w:noProof w:val="0"/>
          <w:sz w:val="22"/>
          <w:szCs w:val="22"/>
          <w:lang w:val="en-GB"/>
        </w:rPr>
        <w:t xml:space="preserve"> health literacy, clinician feedback, and meaningful behavioural adjustment (Jafari </w:t>
      </w:r>
      <w:r w:rsidRPr="272350BB" w:rsidR="6DB31D88">
        <w:rPr>
          <w:i w:val="1"/>
          <w:iCs w:val="1"/>
          <w:noProof w:val="0"/>
          <w:sz w:val="22"/>
          <w:szCs w:val="22"/>
          <w:lang w:val="en-GB"/>
        </w:rPr>
        <w:t>et al.</w:t>
      </w:r>
      <w:r w:rsidRPr="272350BB" w:rsidR="6DB31D88">
        <w:rPr>
          <w:noProof w:val="0"/>
          <w:sz w:val="22"/>
          <w:szCs w:val="22"/>
          <w:lang w:val="en-GB"/>
        </w:rPr>
        <w:t xml:space="preserve">, 2021). Emerging evidence, including the EDUCATE protocol, highlights the influence of numeracy and literacy on glycaemic control (Brok </w:t>
      </w:r>
      <w:r w:rsidRPr="272350BB" w:rsidR="6DB31D88">
        <w:rPr>
          <w:i w:val="1"/>
          <w:iCs w:val="1"/>
          <w:noProof w:val="0"/>
          <w:sz w:val="22"/>
          <w:szCs w:val="22"/>
          <w:lang w:val="en-GB"/>
        </w:rPr>
        <w:t>et al</w:t>
      </w:r>
      <w:r w:rsidRPr="272350BB" w:rsidR="6DB31D88">
        <w:rPr>
          <w:noProof w:val="0"/>
          <w:sz w:val="22"/>
          <w:szCs w:val="22"/>
          <w:lang w:val="en-GB"/>
        </w:rPr>
        <w:t xml:space="preserve">., 2025). Effective monitoring must therefore be embedded within a patient-centred, educational framework. </w:t>
      </w:r>
    </w:p>
    <w:p w:rsidR="272350BB" w:rsidP="272350BB" w:rsidRDefault="272350BB" w14:paraId="678ECB42" w14:textId="126C7031">
      <w:pPr>
        <w:pStyle w:val="Normal"/>
        <w:spacing w:line="360" w:lineRule="auto"/>
        <w:jc w:val="both"/>
        <w:rPr>
          <w:noProof w:val="0"/>
          <w:lang w:val="en-GB"/>
        </w:rPr>
      </w:pPr>
    </w:p>
    <w:p w:rsidR="6DB31D88" w:rsidP="272350BB" w:rsidRDefault="6DB31D88" w14:paraId="010DA89F" w14:textId="3B9593B1">
      <w:pPr>
        <w:pStyle w:val="Heading1"/>
        <w:spacing w:line="360" w:lineRule="auto"/>
        <w:jc w:val="both"/>
        <w:rPr>
          <w:noProof w:val="0"/>
          <w:sz w:val="28"/>
          <w:szCs w:val="28"/>
          <w:lang w:val="en-GB"/>
        </w:rPr>
      </w:pPr>
      <w:bookmarkStart w:name="_Toc194199276" w:id="1377973087"/>
      <w:r w:rsidRPr="272350BB" w:rsidR="6DB31D88">
        <w:rPr>
          <w:noProof w:val="0"/>
          <w:sz w:val="28"/>
          <w:szCs w:val="28"/>
          <w:lang w:val="en-GB"/>
        </w:rPr>
        <w:t>Lifestyle Interventions: Mechanisms and Evidence-Based Practice</w:t>
      </w:r>
      <w:bookmarkEnd w:id="1377973087"/>
      <w:r w:rsidRPr="272350BB" w:rsidR="6DB31D88">
        <w:rPr>
          <w:noProof w:val="0"/>
          <w:sz w:val="28"/>
          <w:szCs w:val="28"/>
          <w:lang w:val="en-GB"/>
        </w:rPr>
        <w:t xml:space="preserve"> </w:t>
      </w:r>
    </w:p>
    <w:p w:rsidR="6DB31D88" w:rsidP="272350BB" w:rsidRDefault="6DB31D88" w14:paraId="7AA2ADF7" w14:textId="28355DED">
      <w:pPr>
        <w:pStyle w:val="Normal"/>
        <w:spacing w:line="360" w:lineRule="auto"/>
        <w:jc w:val="both"/>
        <w:rPr>
          <w:noProof w:val="0"/>
          <w:sz w:val="22"/>
          <w:szCs w:val="22"/>
          <w:lang w:val="en-GB"/>
        </w:rPr>
      </w:pPr>
      <w:r w:rsidRPr="272350BB" w:rsidR="6DB31D88">
        <w:rPr>
          <w:noProof w:val="0"/>
          <w:sz w:val="22"/>
          <w:szCs w:val="22"/>
          <w:lang w:val="en-GB"/>
        </w:rPr>
        <w:t xml:space="preserve">Lifestyle modification </w:t>
      </w:r>
      <w:r w:rsidRPr="272350BB" w:rsidR="6DB31D88">
        <w:rPr>
          <w:noProof w:val="0"/>
          <w:sz w:val="22"/>
          <w:szCs w:val="22"/>
          <w:lang w:val="en-GB"/>
        </w:rPr>
        <w:t>remains</w:t>
      </w:r>
      <w:r w:rsidRPr="272350BB" w:rsidR="6DB31D88">
        <w:rPr>
          <w:noProof w:val="0"/>
          <w:sz w:val="22"/>
          <w:szCs w:val="22"/>
          <w:lang w:val="en-GB"/>
        </w:rPr>
        <w:t xml:space="preserve"> foundational in T2DM management. Regular physical activity increases insulin sensitivity and enhances skeletal muscle glucose uptake, while smoking and obesity intensify systemic inflammation and cardiovascular risk (Deng </w:t>
      </w:r>
      <w:r w:rsidRPr="272350BB" w:rsidR="6DB31D88">
        <w:rPr>
          <w:i w:val="1"/>
          <w:iCs w:val="1"/>
          <w:noProof w:val="0"/>
          <w:sz w:val="22"/>
          <w:szCs w:val="22"/>
          <w:lang w:val="en-GB"/>
        </w:rPr>
        <w:t>et al</w:t>
      </w:r>
      <w:r w:rsidRPr="272350BB" w:rsidR="6DB31D88">
        <w:rPr>
          <w:noProof w:val="0"/>
          <w:sz w:val="22"/>
          <w:szCs w:val="22"/>
          <w:lang w:val="en-GB"/>
        </w:rPr>
        <w:t xml:space="preserve">., 2024). </w:t>
      </w:r>
    </w:p>
    <w:p w:rsidR="6DB31D88" w:rsidP="272350BB" w:rsidRDefault="6DB31D88" w14:paraId="2F0FB7FB" w14:textId="5D51BC84">
      <w:pPr>
        <w:pStyle w:val="Normal"/>
        <w:spacing w:line="360" w:lineRule="auto"/>
        <w:jc w:val="left"/>
        <w:rPr>
          <w:noProof w:val="0"/>
          <w:sz w:val="22"/>
          <w:szCs w:val="22"/>
          <w:lang w:val="en-GB"/>
        </w:rPr>
      </w:pPr>
      <w:r w:rsidRPr="272350BB" w:rsidR="6DB31D88">
        <w:rPr>
          <w:noProof w:val="0"/>
          <w:sz w:val="22"/>
          <w:szCs w:val="22"/>
          <w:lang w:val="en-GB"/>
        </w:rPr>
        <w:t xml:space="preserve">Robust evidence supports Mediterranean-style dietary patterns, improved carbohydrate quality, 5–10% weight reduction, and a minimum of 150 minutes of moderate-intensity exercise weekly (Guasch-Ferré and Willett, 2021; Heiston </w:t>
      </w:r>
      <w:r w:rsidRPr="272350BB" w:rsidR="6DB31D88">
        <w:rPr>
          <w:i w:val="1"/>
          <w:iCs w:val="1"/>
          <w:noProof w:val="0"/>
          <w:sz w:val="22"/>
          <w:szCs w:val="22"/>
          <w:lang w:val="en-GB"/>
        </w:rPr>
        <w:t>et al</w:t>
      </w:r>
      <w:r w:rsidRPr="272350BB" w:rsidR="6DB31D88">
        <w:rPr>
          <w:noProof w:val="0"/>
          <w:sz w:val="22"/>
          <w:szCs w:val="22"/>
          <w:lang w:val="en-GB"/>
        </w:rPr>
        <w:t xml:space="preserve">., 2021). Resistance training provides </w:t>
      </w:r>
      <w:r w:rsidRPr="272350BB" w:rsidR="6DB31D88">
        <w:rPr>
          <w:noProof w:val="0"/>
          <w:sz w:val="22"/>
          <w:szCs w:val="22"/>
          <w:lang w:val="en-GB"/>
        </w:rPr>
        <w:t>additional</w:t>
      </w:r>
      <w:r w:rsidRPr="272350BB" w:rsidR="6DB31D88">
        <w:rPr>
          <w:noProof w:val="0"/>
          <w:sz w:val="22"/>
          <w:szCs w:val="22"/>
          <w:lang w:val="en-GB"/>
        </w:rPr>
        <w:t xml:space="preserve"> improvements in glycaemic control. Behavioural weight management strategies, smoking cessation support, and moderation of alcohol intake further reduce cardiometabolic risk. Multidisciplinary, patient-centred care models improve adherence and long-term sustainability of lifestyle change.</w:t>
      </w:r>
    </w:p>
    <w:p w:rsidR="272350BB" w:rsidP="272350BB" w:rsidRDefault="272350BB" w14:paraId="2614404B" w14:textId="569E8E5D">
      <w:pPr>
        <w:pStyle w:val="Normal"/>
        <w:spacing w:line="360" w:lineRule="auto"/>
        <w:jc w:val="both"/>
        <w:rPr>
          <w:noProof w:val="0"/>
          <w:lang w:val="en-GB"/>
        </w:rPr>
      </w:pPr>
    </w:p>
    <w:p w:rsidR="272350BB" w:rsidP="272350BB" w:rsidRDefault="272350BB" w14:paraId="38BE8AF8" w14:textId="52CB5F51">
      <w:pPr>
        <w:pStyle w:val="Normal"/>
        <w:spacing w:line="360" w:lineRule="auto"/>
        <w:jc w:val="both"/>
        <w:rPr>
          <w:noProof w:val="0"/>
          <w:lang w:val="en-GB"/>
        </w:rPr>
      </w:pPr>
    </w:p>
    <w:p w:rsidR="272350BB" w:rsidP="272350BB" w:rsidRDefault="272350BB" w14:paraId="2F5B490D" w14:textId="233EB4CB">
      <w:pPr>
        <w:pStyle w:val="Normal"/>
        <w:spacing w:line="360" w:lineRule="auto"/>
        <w:jc w:val="both"/>
        <w:rPr>
          <w:noProof w:val="0"/>
          <w:lang w:val="en-GB"/>
        </w:rPr>
      </w:pPr>
    </w:p>
    <w:p w:rsidR="272350BB" w:rsidP="272350BB" w:rsidRDefault="272350BB" w14:paraId="5C62A520" w14:textId="6F01A747">
      <w:pPr>
        <w:pStyle w:val="Normal"/>
        <w:spacing w:line="360" w:lineRule="auto"/>
        <w:jc w:val="both"/>
        <w:rPr>
          <w:noProof w:val="0"/>
          <w:lang w:val="en-GB"/>
        </w:rPr>
      </w:pPr>
    </w:p>
    <w:p w:rsidR="6DB31D88" w:rsidP="272350BB" w:rsidRDefault="6DB31D88" w14:paraId="51A3E66A" w14:textId="004B5D78">
      <w:pPr>
        <w:pStyle w:val="Heading1"/>
        <w:spacing w:line="360" w:lineRule="auto"/>
        <w:jc w:val="both"/>
        <w:rPr>
          <w:noProof w:val="0"/>
          <w:sz w:val="28"/>
          <w:szCs w:val="28"/>
          <w:lang w:val="en-GB"/>
        </w:rPr>
      </w:pPr>
      <w:bookmarkStart w:name="_Toc521838479" w:id="1935902538"/>
      <w:r w:rsidRPr="272350BB" w:rsidR="6DB31D88">
        <w:rPr>
          <w:noProof w:val="0"/>
          <w:sz w:val="28"/>
          <w:szCs w:val="28"/>
          <w:lang w:val="en-GB"/>
        </w:rPr>
        <w:t>Conclusion</w:t>
      </w:r>
      <w:bookmarkEnd w:id="1935902538"/>
      <w:r w:rsidRPr="272350BB" w:rsidR="6DB31D88">
        <w:rPr>
          <w:noProof w:val="0"/>
          <w:sz w:val="28"/>
          <w:szCs w:val="28"/>
          <w:lang w:val="en-GB"/>
        </w:rPr>
        <w:t xml:space="preserve"> </w:t>
      </w:r>
    </w:p>
    <w:p w:rsidR="6DB31D88" w:rsidP="272350BB" w:rsidRDefault="6DB31D88" w14:paraId="59B85D40" w14:textId="73B3ED9B">
      <w:pPr>
        <w:pStyle w:val="Normal"/>
        <w:spacing w:line="360" w:lineRule="auto"/>
        <w:jc w:val="both"/>
        <w:rPr>
          <w:noProof w:val="0"/>
          <w:sz w:val="22"/>
          <w:szCs w:val="22"/>
          <w:lang w:val="en-GB"/>
        </w:rPr>
      </w:pPr>
      <w:r w:rsidRPr="272350BB" w:rsidR="6DB31D88">
        <w:rPr>
          <w:noProof w:val="0"/>
          <w:sz w:val="22"/>
          <w:szCs w:val="22"/>
          <w:lang w:val="en-GB"/>
        </w:rPr>
        <w:t xml:space="preserve">Type 2 diabetes is a multifactorial metabolic disorder with significant global health implications. The pathophysiology of this condition includes insulin resistance and progressive β-cell dysfunction, oxidative stress, vascular injury, chronic inflammation, and sustained hyperglycaemia. Effective glucose regulation depends on intricate interactions between endocrine signalling, metabolic pathways, and organ systems. </w:t>
      </w:r>
    </w:p>
    <w:p w:rsidR="6DB31D88" w:rsidP="272350BB" w:rsidRDefault="6DB31D88" w14:paraId="6B099118" w14:textId="10737596">
      <w:pPr>
        <w:pStyle w:val="Normal"/>
        <w:spacing w:line="360" w:lineRule="auto"/>
        <w:jc w:val="both"/>
        <w:rPr>
          <w:noProof w:val="0"/>
          <w:sz w:val="22"/>
          <w:szCs w:val="22"/>
          <w:lang w:val="en-GB"/>
        </w:rPr>
      </w:pPr>
      <w:r w:rsidRPr="272350BB" w:rsidR="6DB31D88">
        <w:rPr>
          <w:noProof w:val="0"/>
          <w:sz w:val="22"/>
          <w:szCs w:val="22"/>
          <w:lang w:val="en-GB"/>
        </w:rPr>
        <w:t>Integrating physiological understanding with critical assessment of evidence improves clinical reasoning for practice nurses and promotes holistic, patient-centred care. Blood glucose monitoring, when combined with structured education and</w:t>
      </w:r>
      <w:r w:rsidRPr="272350BB" w:rsidR="6DB31D88">
        <w:rPr>
          <w:noProof w:val="0"/>
          <w:sz w:val="22"/>
          <w:szCs w:val="22"/>
          <w:lang w:val="en-GB"/>
        </w:rPr>
        <w:t xml:space="preserve"> professional guidance, </w:t>
      </w:r>
      <w:r w:rsidRPr="272350BB" w:rsidR="6DB31D88">
        <w:rPr>
          <w:noProof w:val="0"/>
          <w:sz w:val="22"/>
          <w:szCs w:val="22"/>
          <w:lang w:val="en-GB"/>
        </w:rPr>
        <w:t>facilitates</w:t>
      </w:r>
      <w:r w:rsidRPr="272350BB" w:rsidR="6DB31D88">
        <w:rPr>
          <w:noProof w:val="0"/>
          <w:sz w:val="22"/>
          <w:szCs w:val="22"/>
          <w:lang w:val="en-GB"/>
        </w:rPr>
        <w:t xml:space="preserve"> personalized intervention and safe pharmacological management. Nevertheless, monitoring must be accompanied by strategies addressing behavioural, socioeconomic, and literacy-related barriers. </w:t>
      </w:r>
    </w:p>
    <w:p w:rsidR="6DB31D88" w:rsidP="272350BB" w:rsidRDefault="6DB31D88" w14:paraId="44DD16EC" w14:textId="4952129E">
      <w:pPr>
        <w:pStyle w:val="Normal"/>
        <w:spacing w:line="360" w:lineRule="auto"/>
        <w:jc w:val="both"/>
        <w:rPr>
          <w:noProof w:val="0"/>
          <w:sz w:val="22"/>
          <w:szCs w:val="22"/>
          <w:lang w:val="en-GB"/>
        </w:rPr>
      </w:pPr>
      <w:r w:rsidRPr="272350BB" w:rsidR="6DB31D88">
        <w:rPr>
          <w:noProof w:val="0"/>
          <w:sz w:val="22"/>
          <w:szCs w:val="22"/>
          <w:lang w:val="en-GB"/>
        </w:rPr>
        <w:t xml:space="preserve">Evidence consistently </w:t>
      </w:r>
      <w:r w:rsidRPr="272350BB" w:rsidR="6DB31D88">
        <w:rPr>
          <w:noProof w:val="0"/>
          <w:sz w:val="22"/>
          <w:szCs w:val="22"/>
          <w:lang w:val="en-GB"/>
        </w:rPr>
        <w:t>demonstrates</w:t>
      </w:r>
      <w:r w:rsidRPr="272350BB" w:rsidR="6DB31D88">
        <w:rPr>
          <w:noProof w:val="0"/>
          <w:sz w:val="22"/>
          <w:szCs w:val="22"/>
          <w:lang w:val="en-GB"/>
        </w:rPr>
        <w:t xml:space="preserve"> that dietary optimization, regular physical activity, weight management, and smoking cessation are central to improving glycaemic outcomes. Effective T2DM management therefore </w:t>
      </w:r>
      <w:r w:rsidRPr="272350BB" w:rsidR="6DB31D88">
        <w:rPr>
          <w:noProof w:val="0"/>
          <w:sz w:val="22"/>
          <w:szCs w:val="22"/>
          <w:lang w:val="en-GB"/>
        </w:rPr>
        <w:t>requires</w:t>
      </w:r>
      <w:r w:rsidRPr="272350BB" w:rsidR="6DB31D88">
        <w:rPr>
          <w:noProof w:val="0"/>
          <w:sz w:val="22"/>
          <w:szCs w:val="22"/>
          <w:lang w:val="en-GB"/>
        </w:rPr>
        <w:t xml:space="preserve"> an integrated, multidisciplinary approach grounded in scientific understanding and tailored to individual patient needs. Through the application of pathophysiological knowledge, evidence-based practice, and sustained lifestyle support, practice nurses play a pivotal role in reducing complications and improving long-term health outcomes for individuals living with type 2 diabetes. </w:t>
      </w:r>
    </w:p>
    <w:p w:rsidR="272350BB" w:rsidP="272350BB" w:rsidRDefault="272350BB" w14:paraId="3AD987C4" w14:textId="0331A25F">
      <w:pPr>
        <w:pStyle w:val="Normal"/>
        <w:spacing w:line="360" w:lineRule="auto"/>
        <w:jc w:val="both"/>
        <w:rPr>
          <w:noProof w:val="0"/>
          <w:lang w:val="en-GB"/>
        </w:rPr>
      </w:pPr>
    </w:p>
    <w:p w:rsidR="272350BB" w:rsidP="272350BB" w:rsidRDefault="272350BB" w14:paraId="0D6F6C80" w14:textId="4DBC3730">
      <w:pPr>
        <w:pStyle w:val="Normal"/>
        <w:spacing w:line="360" w:lineRule="auto"/>
        <w:jc w:val="both"/>
        <w:rPr>
          <w:noProof w:val="0"/>
          <w:lang w:val="en-GB"/>
        </w:rPr>
      </w:pPr>
    </w:p>
    <w:p w:rsidR="272350BB" w:rsidP="272350BB" w:rsidRDefault="272350BB" w14:paraId="64CF4D76" w14:textId="42F70962">
      <w:pPr>
        <w:pStyle w:val="Normal"/>
        <w:spacing w:line="360" w:lineRule="auto"/>
        <w:jc w:val="both"/>
        <w:rPr>
          <w:noProof w:val="0"/>
          <w:lang w:val="en-GB"/>
        </w:rPr>
      </w:pPr>
    </w:p>
    <w:p w:rsidR="272350BB" w:rsidP="272350BB" w:rsidRDefault="272350BB" w14:paraId="464A5D95" w14:textId="26A29BA0">
      <w:pPr>
        <w:pStyle w:val="Normal"/>
        <w:spacing w:line="360" w:lineRule="auto"/>
        <w:jc w:val="both"/>
        <w:rPr>
          <w:noProof w:val="0"/>
          <w:lang w:val="en-GB"/>
        </w:rPr>
      </w:pPr>
    </w:p>
    <w:p w:rsidR="272350BB" w:rsidP="272350BB" w:rsidRDefault="272350BB" w14:paraId="6BA2EA19" w14:textId="3C37C4D4">
      <w:pPr>
        <w:pStyle w:val="Normal"/>
        <w:spacing w:line="360" w:lineRule="auto"/>
        <w:jc w:val="both"/>
        <w:rPr>
          <w:noProof w:val="0"/>
          <w:lang w:val="en-GB"/>
        </w:rPr>
      </w:pPr>
    </w:p>
    <w:p w:rsidR="272350BB" w:rsidP="272350BB" w:rsidRDefault="272350BB" w14:paraId="00E5EB22" w14:textId="6CF592D6">
      <w:pPr>
        <w:pStyle w:val="Normal"/>
        <w:spacing w:line="360" w:lineRule="auto"/>
        <w:jc w:val="both"/>
        <w:rPr>
          <w:noProof w:val="0"/>
          <w:lang w:val="en-GB"/>
        </w:rPr>
      </w:pPr>
    </w:p>
    <w:p w:rsidR="272350BB" w:rsidP="272350BB" w:rsidRDefault="272350BB" w14:paraId="7C67B6A9" w14:textId="70FECF20">
      <w:pPr>
        <w:pStyle w:val="Normal"/>
        <w:spacing w:line="360" w:lineRule="auto"/>
        <w:jc w:val="both"/>
        <w:rPr>
          <w:noProof w:val="0"/>
          <w:lang w:val="en-GB"/>
        </w:rPr>
      </w:pPr>
    </w:p>
    <w:p w:rsidR="272350BB" w:rsidP="272350BB" w:rsidRDefault="272350BB" w14:paraId="5884533A" w14:textId="0D48ED41">
      <w:pPr>
        <w:pStyle w:val="Normal"/>
        <w:spacing w:line="360" w:lineRule="auto"/>
        <w:jc w:val="both"/>
        <w:rPr>
          <w:noProof w:val="0"/>
          <w:lang w:val="en-GB"/>
        </w:rPr>
      </w:pPr>
    </w:p>
    <w:p w:rsidR="272350BB" w:rsidP="272350BB" w:rsidRDefault="272350BB" w14:paraId="0CD865E4" w14:textId="32F0FF44">
      <w:pPr>
        <w:pStyle w:val="Normal"/>
        <w:spacing w:line="360" w:lineRule="auto"/>
        <w:jc w:val="both"/>
        <w:rPr>
          <w:noProof w:val="0"/>
          <w:lang w:val="en-GB"/>
        </w:rPr>
      </w:pPr>
    </w:p>
    <w:p w:rsidR="6DB31D88" w:rsidP="272350BB" w:rsidRDefault="6DB31D88" w14:paraId="1A4E2D55" w14:textId="21D3A0E4">
      <w:pPr>
        <w:pStyle w:val="Heading1"/>
        <w:rPr>
          <w:noProof w:val="0"/>
          <w:sz w:val="28"/>
          <w:szCs w:val="28"/>
          <w:lang w:val="en-GB"/>
        </w:rPr>
      </w:pPr>
      <w:bookmarkStart w:name="_Toc392691334" w:id="1422645984"/>
      <w:r w:rsidRPr="272350BB" w:rsidR="6DB31D88">
        <w:rPr>
          <w:noProof w:val="0"/>
          <w:sz w:val="28"/>
          <w:szCs w:val="28"/>
          <w:lang w:val="en-GB"/>
        </w:rPr>
        <w:t>Reference List</w:t>
      </w:r>
      <w:bookmarkEnd w:id="1422645984"/>
      <w:r w:rsidRPr="272350BB" w:rsidR="6DB31D88">
        <w:rPr>
          <w:noProof w:val="0"/>
          <w:sz w:val="28"/>
          <w:szCs w:val="28"/>
          <w:lang w:val="en-GB"/>
        </w:rPr>
        <w:t xml:space="preserve"> </w:t>
      </w:r>
    </w:p>
    <w:p w:rsidR="7BA6250F" w:rsidP="272350BB" w:rsidRDefault="7BA6250F" w14:paraId="7DBE4A26" w14:textId="3E4F09F7">
      <w:pPr>
        <w:pStyle w:val="Normal"/>
        <w:spacing w:line="360" w:lineRule="auto"/>
        <w:jc w:val="both"/>
        <w:rPr>
          <w:noProof w:val="0"/>
          <w:sz w:val="22"/>
          <w:szCs w:val="22"/>
          <w:lang w:val="en-GB"/>
        </w:rPr>
      </w:pPr>
      <w:r w:rsidRPr="272350BB" w:rsidR="7BA6250F">
        <w:rPr>
          <w:rFonts w:ascii="Aptos" w:hAnsi="Aptos" w:eastAsia="Aptos" w:cs="Aptos"/>
          <w:noProof w:val="0"/>
          <w:sz w:val="22"/>
          <w:szCs w:val="22"/>
          <w:lang w:val="en-GB"/>
        </w:rPr>
        <w:t>1. Ahmad,</w:t>
      </w:r>
      <w:r w:rsidRPr="272350BB" w:rsidR="6BBED499">
        <w:rPr>
          <w:noProof w:val="0"/>
          <w:sz w:val="22"/>
          <w:szCs w:val="22"/>
          <w:lang w:val="en-GB"/>
        </w:rPr>
        <w:t xml:space="preserve"> E., Lim, S., Lamptey, R., Webb, D.R. and Davies, M.J. (2022) ‘Type 2 diabetes’, The Lancet, 400(10365), pp. 1803–1820. </w:t>
      </w:r>
    </w:p>
    <w:p w:rsidR="6BBED499" w:rsidP="272350BB" w:rsidRDefault="6BBED499" w14:paraId="23DB53AC" w14:textId="4D6260F2">
      <w:pPr>
        <w:pStyle w:val="Normal"/>
        <w:spacing w:line="360" w:lineRule="auto"/>
        <w:jc w:val="both"/>
        <w:rPr>
          <w:noProof w:val="0"/>
          <w:sz w:val="22"/>
          <w:szCs w:val="22"/>
          <w:lang w:val="en-GB"/>
        </w:rPr>
      </w:pPr>
      <w:r w:rsidRPr="272350BB" w:rsidR="6BBED499">
        <w:rPr>
          <w:noProof w:val="0"/>
          <w:sz w:val="22"/>
          <w:szCs w:val="22"/>
          <w:lang w:val="en-GB"/>
        </w:rPr>
        <w:t xml:space="preserve"> </w:t>
      </w:r>
    </w:p>
    <w:p w:rsidR="0DF21FE9" w:rsidP="272350BB" w:rsidRDefault="0DF21FE9" w14:paraId="3A914930" w14:textId="4549742F">
      <w:pPr>
        <w:pStyle w:val="Normal"/>
        <w:spacing w:line="360" w:lineRule="auto"/>
        <w:jc w:val="both"/>
        <w:rPr>
          <w:noProof w:val="0"/>
          <w:sz w:val="22"/>
          <w:szCs w:val="22"/>
          <w:lang w:val="en-GB"/>
        </w:rPr>
      </w:pPr>
      <w:r w:rsidRPr="272350BB" w:rsidR="0DF21FE9">
        <w:rPr>
          <w:rFonts w:ascii="Aptos" w:hAnsi="Aptos" w:eastAsia="Aptos" w:cs="Aptos"/>
          <w:noProof w:val="0"/>
          <w:sz w:val="22"/>
          <w:szCs w:val="22"/>
          <w:lang w:val="en-GB"/>
        </w:rPr>
        <w:t>2. American</w:t>
      </w:r>
      <w:r w:rsidRPr="272350BB" w:rsidR="6BBED499">
        <w:rPr>
          <w:noProof w:val="0"/>
          <w:sz w:val="22"/>
          <w:szCs w:val="22"/>
          <w:lang w:val="en-GB"/>
        </w:rPr>
        <w:t xml:space="preserve"> Diabetes Association (2021) ‘Standards of medical care in diabetes—2013’, Diabetes Care, 36(Supplement_1), pp. S11–S66. doi:10.2337/dc13-s011. </w:t>
      </w:r>
    </w:p>
    <w:p w:rsidR="6BBED499" w:rsidP="272350BB" w:rsidRDefault="6BBED499" w14:paraId="5DD37A50" w14:textId="0C2A80DD">
      <w:pPr>
        <w:pStyle w:val="Normal"/>
        <w:spacing w:line="360" w:lineRule="auto"/>
        <w:jc w:val="both"/>
        <w:rPr>
          <w:noProof w:val="0"/>
          <w:sz w:val="22"/>
          <w:szCs w:val="22"/>
          <w:lang w:val="en-GB"/>
        </w:rPr>
      </w:pPr>
      <w:r w:rsidRPr="272350BB" w:rsidR="6BBED499">
        <w:rPr>
          <w:noProof w:val="0"/>
          <w:sz w:val="22"/>
          <w:szCs w:val="22"/>
          <w:lang w:val="en-GB"/>
        </w:rPr>
        <w:t xml:space="preserve"> </w:t>
      </w:r>
    </w:p>
    <w:p w:rsidR="033945D0" w:rsidP="272350BB" w:rsidRDefault="033945D0" w14:paraId="1E8C58BA" w14:textId="4479C216">
      <w:pPr>
        <w:pStyle w:val="Normal"/>
        <w:spacing w:line="360" w:lineRule="auto"/>
        <w:jc w:val="both"/>
        <w:rPr>
          <w:noProof w:val="0"/>
          <w:sz w:val="22"/>
          <w:szCs w:val="22"/>
          <w:lang w:val="en-GB"/>
        </w:rPr>
      </w:pPr>
      <w:r w:rsidRPr="272350BB" w:rsidR="033945D0">
        <w:rPr>
          <w:rFonts w:ascii="Aptos" w:hAnsi="Aptos" w:eastAsia="Aptos" w:cs="Aptos"/>
          <w:noProof w:val="0"/>
          <w:sz w:val="22"/>
          <w:szCs w:val="22"/>
          <w:lang w:val="en-GB"/>
        </w:rPr>
        <w:t xml:space="preserve">3. </w:t>
      </w:r>
      <w:r w:rsidRPr="272350BB" w:rsidR="033945D0">
        <w:rPr>
          <w:rFonts w:ascii="Aptos" w:hAnsi="Aptos" w:eastAsia="Aptos" w:cs="Aptos"/>
          <w:noProof w:val="0"/>
          <w:sz w:val="22"/>
          <w:szCs w:val="22"/>
          <w:lang w:val="en-GB"/>
        </w:rPr>
        <w:t>Ankey</w:t>
      </w:r>
      <w:r w:rsidRPr="272350BB" w:rsidR="6BBED499">
        <w:rPr>
          <w:noProof w:val="0"/>
          <w:sz w:val="22"/>
          <w:szCs w:val="22"/>
          <w:lang w:val="en-GB"/>
        </w:rPr>
        <w:t xml:space="preserve"> J, Colbert B, Dingle M, Lee K, Steggall M – Anatomy and Physiology for Nursing and Health Professionals UK/USA 2012 Pearson Publications </w:t>
      </w:r>
    </w:p>
    <w:p w:rsidR="6BBED499" w:rsidP="272350BB" w:rsidRDefault="6BBED499" w14:paraId="73457973" w14:textId="33F917FD">
      <w:pPr>
        <w:pStyle w:val="Normal"/>
        <w:spacing w:line="360" w:lineRule="auto"/>
        <w:jc w:val="both"/>
        <w:rPr>
          <w:noProof w:val="0"/>
          <w:sz w:val="22"/>
          <w:szCs w:val="22"/>
          <w:lang w:val="en-GB"/>
        </w:rPr>
      </w:pPr>
      <w:r w:rsidRPr="272350BB" w:rsidR="6BBED499">
        <w:rPr>
          <w:noProof w:val="0"/>
          <w:sz w:val="22"/>
          <w:szCs w:val="22"/>
          <w:lang w:val="en-GB"/>
        </w:rPr>
        <w:t xml:space="preserve"> </w:t>
      </w:r>
    </w:p>
    <w:p w:rsidR="09A3C21E" w:rsidP="272350BB" w:rsidRDefault="09A3C21E" w14:paraId="7589FE9D" w14:textId="2FAC9019">
      <w:pPr>
        <w:pStyle w:val="Normal"/>
        <w:spacing w:line="360" w:lineRule="auto"/>
        <w:jc w:val="both"/>
        <w:rPr>
          <w:noProof w:val="0"/>
          <w:sz w:val="22"/>
          <w:szCs w:val="22"/>
          <w:lang w:val="en-GB"/>
        </w:rPr>
      </w:pPr>
      <w:r w:rsidRPr="272350BB" w:rsidR="09A3C21E">
        <w:rPr>
          <w:rFonts w:ascii="Aptos" w:hAnsi="Aptos" w:eastAsia="Aptos" w:cs="Aptos"/>
          <w:noProof w:val="0"/>
          <w:sz w:val="22"/>
          <w:szCs w:val="22"/>
          <w:lang w:val="en-GB"/>
        </w:rPr>
        <w:t xml:space="preserve">4. </w:t>
      </w:r>
      <w:r w:rsidRPr="272350BB" w:rsidR="09A3C21E">
        <w:rPr>
          <w:rFonts w:ascii="Aptos" w:hAnsi="Aptos" w:eastAsia="Aptos" w:cs="Aptos"/>
          <w:noProof w:val="0"/>
          <w:sz w:val="22"/>
          <w:szCs w:val="22"/>
          <w:lang w:val="en-GB"/>
        </w:rPr>
        <w:t>Aovare</w:t>
      </w:r>
      <w:r w:rsidRPr="272350BB" w:rsidR="09A3C21E">
        <w:rPr>
          <w:rFonts w:ascii="Aptos" w:hAnsi="Aptos" w:eastAsia="Aptos" w:cs="Aptos"/>
          <w:noProof w:val="0"/>
          <w:sz w:val="22"/>
          <w:szCs w:val="22"/>
          <w:lang w:val="en-GB"/>
        </w:rPr>
        <w:t>,</w:t>
      </w:r>
      <w:r w:rsidRPr="272350BB" w:rsidR="6BBED499">
        <w:rPr>
          <w:noProof w:val="0"/>
          <w:sz w:val="22"/>
          <w:szCs w:val="22"/>
          <w:lang w:val="en-GB"/>
        </w:rPr>
        <w:t xml:space="preserve"> P., </w:t>
      </w:r>
      <w:r w:rsidRPr="272350BB" w:rsidR="6BBED499">
        <w:rPr>
          <w:noProof w:val="0"/>
          <w:sz w:val="22"/>
          <w:szCs w:val="22"/>
          <w:lang w:val="en-GB"/>
        </w:rPr>
        <w:t>Beune</w:t>
      </w:r>
      <w:r w:rsidRPr="272350BB" w:rsidR="6BBED499">
        <w:rPr>
          <w:noProof w:val="0"/>
          <w:sz w:val="22"/>
          <w:szCs w:val="22"/>
          <w:lang w:val="en-GB"/>
        </w:rPr>
        <w:t xml:space="preserve">, E., Laar, A., Moens, N., Moll van </w:t>
      </w:r>
      <w:r w:rsidRPr="272350BB" w:rsidR="6BBED499">
        <w:rPr>
          <w:noProof w:val="0"/>
          <w:sz w:val="22"/>
          <w:szCs w:val="22"/>
          <w:lang w:val="en-GB"/>
        </w:rPr>
        <w:t>Charante</w:t>
      </w:r>
      <w:r w:rsidRPr="272350BB" w:rsidR="6BBED499">
        <w:rPr>
          <w:noProof w:val="0"/>
          <w:sz w:val="22"/>
          <w:szCs w:val="22"/>
          <w:lang w:val="en-GB"/>
        </w:rPr>
        <w:t xml:space="preserve">, E.P. and Agyemang, C. (2025) ‘User experiences with a mobile health app for self-management of diabetes and hypertension in Ghana: a qualitative study’, Annals of Medicine, 57(1). doi:10.1080/07853890.2025.2517395. </w:t>
      </w:r>
    </w:p>
    <w:p w:rsidR="6BBED499" w:rsidP="272350BB" w:rsidRDefault="6BBED499" w14:paraId="0759F2FF" w14:textId="60A50892">
      <w:pPr>
        <w:pStyle w:val="Normal"/>
        <w:spacing w:line="360" w:lineRule="auto"/>
        <w:jc w:val="both"/>
        <w:rPr>
          <w:noProof w:val="0"/>
          <w:sz w:val="22"/>
          <w:szCs w:val="22"/>
          <w:lang w:val="en-GB"/>
        </w:rPr>
      </w:pPr>
      <w:r w:rsidRPr="272350BB" w:rsidR="6BBED499">
        <w:rPr>
          <w:noProof w:val="0"/>
          <w:sz w:val="22"/>
          <w:szCs w:val="22"/>
          <w:lang w:val="en-GB"/>
        </w:rPr>
        <w:t xml:space="preserve"> </w:t>
      </w:r>
    </w:p>
    <w:p w:rsidR="63117A48" w:rsidP="272350BB" w:rsidRDefault="63117A48" w14:paraId="6681FB2F" w14:textId="6FFB0E56">
      <w:pPr>
        <w:pStyle w:val="Normal"/>
        <w:spacing w:line="360" w:lineRule="auto"/>
        <w:jc w:val="both"/>
        <w:rPr>
          <w:noProof w:val="0"/>
          <w:sz w:val="22"/>
          <w:szCs w:val="22"/>
          <w:lang w:val="en-GB"/>
        </w:rPr>
      </w:pPr>
      <w:r w:rsidRPr="272350BB" w:rsidR="63117A48">
        <w:rPr>
          <w:noProof w:val="0"/>
          <w:sz w:val="22"/>
          <w:szCs w:val="22"/>
          <w:lang w:val="en-GB"/>
        </w:rPr>
        <w:t xml:space="preserve">5. </w:t>
      </w:r>
      <w:r w:rsidRPr="272350BB" w:rsidR="6BBED499">
        <w:rPr>
          <w:noProof w:val="0"/>
          <w:sz w:val="22"/>
          <w:szCs w:val="22"/>
          <w:lang w:val="en-GB"/>
        </w:rPr>
        <w:t xml:space="preserve">Bahl, V., Lee May, C., Perez, A., Glaser, </w:t>
      </w:r>
      <w:r w:rsidRPr="272350BB" w:rsidR="6BBED499">
        <w:rPr>
          <w:noProof w:val="0"/>
          <w:sz w:val="22"/>
          <w:szCs w:val="22"/>
          <w:lang w:val="en-GB"/>
        </w:rPr>
        <w:t>B.</w:t>
      </w:r>
      <w:r w:rsidRPr="272350BB" w:rsidR="6BBED499">
        <w:rPr>
          <w:noProof w:val="0"/>
          <w:sz w:val="22"/>
          <w:szCs w:val="22"/>
          <w:lang w:val="en-GB"/>
        </w:rPr>
        <w:t xml:space="preserve"> and Kaestner, K.H. (2021) ‘Genetic activation of α-cell glucokinase in mice causes enhanced glucose-suppression of glucagon secretion during normal and diabetic states’, Molecular Metabolism, 49, p. 101193. </w:t>
      </w:r>
      <w:r w:rsidRPr="272350BB" w:rsidR="6BBED499">
        <w:rPr>
          <w:noProof w:val="0"/>
          <w:sz w:val="22"/>
          <w:szCs w:val="22"/>
          <w:lang w:val="en-GB"/>
        </w:rPr>
        <w:t>doi:10.1016/j.molmet</w:t>
      </w:r>
      <w:r w:rsidRPr="272350BB" w:rsidR="6BBED499">
        <w:rPr>
          <w:noProof w:val="0"/>
          <w:sz w:val="22"/>
          <w:szCs w:val="22"/>
          <w:lang w:val="en-GB"/>
        </w:rPr>
        <w:t xml:space="preserve">.2021.101193. </w:t>
      </w:r>
    </w:p>
    <w:p w:rsidR="6BBED499" w:rsidP="272350BB" w:rsidRDefault="6BBED499" w14:paraId="2CEB212C" w14:textId="2C99A46B">
      <w:pPr>
        <w:pStyle w:val="Normal"/>
        <w:spacing w:line="360" w:lineRule="auto"/>
        <w:jc w:val="both"/>
        <w:rPr>
          <w:noProof w:val="0"/>
          <w:sz w:val="22"/>
          <w:szCs w:val="22"/>
          <w:lang w:val="en-GB"/>
        </w:rPr>
      </w:pPr>
      <w:r w:rsidRPr="272350BB" w:rsidR="6BBED499">
        <w:rPr>
          <w:noProof w:val="0"/>
          <w:sz w:val="22"/>
          <w:szCs w:val="22"/>
          <w:lang w:val="en-GB"/>
        </w:rPr>
        <w:t xml:space="preserve"> </w:t>
      </w:r>
    </w:p>
    <w:p w:rsidR="5A8DC0CE" w:rsidP="272350BB" w:rsidRDefault="5A8DC0CE" w14:paraId="5D6485BA" w14:textId="0F65D644">
      <w:pPr>
        <w:pStyle w:val="Normal"/>
        <w:spacing w:line="360" w:lineRule="auto"/>
        <w:jc w:val="both"/>
        <w:rPr>
          <w:noProof w:val="0"/>
          <w:sz w:val="22"/>
          <w:szCs w:val="22"/>
          <w:lang w:val="en-GB"/>
        </w:rPr>
      </w:pPr>
      <w:r w:rsidRPr="272350BB" w:rsidR="5A8DC0CE">
        <w:rPr>
          <w:noProof w:val="0"/>
          <w:sz w:val="22"/>
          <w:szCs w:val="22"/>
          <w:lang w:val="en-GB"/>
        </w:rPr>
        <w:t xml:space="preserve">6. </w:t>
      </w:r>
      <w:r w:rsidRPr="272350BB" w:rsidR="6BBED499">
        <w:rPr>
          <w:noProof w:val="0"/>
          <w:sz w:val="22"/>
          <w:szCs w:val="22"/>
          <w:lang w:val="en-GB"/>
        </w:rPr>
        <w:t xml:space="preserve">Beard, E., Lengacher, S., Dias, S., </w:t>
      </w:r>
      <w:r w:rsidRPr="272350BB" w:rsidR="6BBED499">
        <w:rPr>
          <w:noProof w:val="0"/>
          <w:sz w:val="22"/>
          <w:szCs w:val="22"/>
          <w:lang w:val="en-GB"/>
        </w:rPr>
        <w:t>Magistretti</w:t>
      </w:r>
      <w:r w:rsidRPr="272350BB" w:rsidR="6BBED499">
        <w:rPr>
          <w:noProof w:val="0"/>
          <w:sz w:val="22"/>
          <w:szCs w:val="22"/>
          <w:lang w:val="en-GB"/>
        </w:rPr>
        <w:t xml:space="preserve">, P. J., &amp; </w:t>
      </w:r>
      <w:r w:rsidRPr="272350BB" w:rsidR="6BBED499">
        <w:rPr>
          <w:noProof w:val="0"/>
          <w:sz w:val="22"/>
          <w:szCs w:val="22"/>
          <w:lang w:val="en-GB"/>
        </w:rPr>
        <w:t>Finsterwald</w:t>
      </w:r>
      <w:r w:rsidRPr="272350BB" w:rsidR="6BBED499">
        <w:rPr>
          <w:noProof w:val="0"/>
          <w:sz w:val="22"/>
          <w:szCs w:val="22"/>
          <w:lang w:val="en-GB"/>
        </w:rPr>
        <w:t xml:space="preserve">, C. (2022). Astrocytes as Key Regulators of Brain Energy Metabolism: New Therapeutic Perspectives. Frontiers in Physiology, 12, 825816. </w:t>
      </w:r>
      <w:hyperlink r:id="R360b8eb4a26e475f">
        <w:r w:rsidRPr="272350BB" w:rsidR="6BBED499">
          <w:rPr>
            <w:noProof w:val="0"/>
            <w:sz w:val="22"/>
            <w:szCs w:val="22"/>
            <w:lang w:val="en-GB"/>
          </w:rPr>
          <w:t>https://doi.org/10.3389/fphys.2021.825816</w:t>
        </w:r>
      </w:hyperlink>
      <w:r w:rsidRPr="272350BB" w:rsidR="6BBED499">
        <w:rPr>
          <w:noProof w:val="0"/>
          <w:sz w:val="22"/>
          <w:szCs w:val="22"/>
          <w:lang w:val="en-GB"/>
        </w:rPr>
        <w:t xml:space="preserve"> </w:t>
      </w:r>
    </w:p>
    <w:p w:rsidR="6BBED499" w:rsidP="272350BB" w:rsidRDefault="6BBED499" w14:paraId="3414C1B8" w14:textId="029AF19E">
      <w:pPr>
        <w:pStyle w:val="Normal"/>
        <w:spacing w:line="360" w:lineRule="auto"/>
        <w:jc w:val="both"/>
        <w:rPr>
          <w:noProof w:val="0"/>
          <w:sz w:val="22"/>
          <w:szCs w:val="22"/>
          <w:lang w:val="en-GB"/>
        </w:rPr>
      </w:pPr>
      <w:r w:rsidRPr="272350BB" w:rsidR="6BBED499">
        <w:rPr>
          <w:noProof w:val="0"/>
          <w:sz w:val="22"/>
          <w:szCs w:val="22"/>
          <w:lang w:val="en-GB"/>
        </w:rPr>
        <w:t xml:space="preserve"> </w:t>
      </w:r>
    </w:p>
    <w:p w:rsidR="561EF65A" w:rsidP="272350BB" w:rsidRDefault="561EF65A" w14:paraId="10B47EFE" w14:textId="7BF13A9C">
      <w:pPr>
        <w:pStyle w:val="Normal"/>
        <w:spacing w:line="360" w:lineRule="auto"/>
        <w:jc w:val="both"/>
        <w:rPr>
          <w:noProof w:val="0"/>
          <w:sz w:val="22"/>
          <w:szCs w:val="22"/>
          <w:lang w:val="en-GB"/>
        </w:rPr>
      </w:pPr>
      <w:r w:rsidRPr="272350BB" w:rsidR="561EF65A">
        <w:rPr>
          <w:noProof w:val="0"/>
          <w:sz w:val="22"/>
          <w:szCs w:val="22"/>
          <w:lang w:val="en-GB"/>
        </w:rPr>
        <w:t xml:space="preserve">7. </w:t>
      </w:r>
      <w:r w:rsidRPr="272350BB" w:rsidR="6BBED499">
        <w:rPr>
          <w:noProof w:val="0"/>
          <w:sz w:val="22"/>
          <w:szCs w:val="22"/>
          <w:lang w:val="en-GB"/>
        </w:rPr>
        <w:t xml:space="preserve">Biro, G.P. (2022) ‘Oxygen and ATP: the energy economy of the cell’, in Liu, H., Kaye, A.D. and Jahr, J.S. (eds.) Blood Substitutes and Oxygen Biotherapeutics. Cham: Springer International Publishing, pp. 21–32. doi:10.1007/9783030959753_2. </w:t>
      </w:r>
    </w:p>
    <w:p w:rsidR="6BBED499" w:rsidP="272350BB" w:rsidRDefault="6BBED499" w14:paraId="6BDF7F65" w14:textId="2D059037">
      <w:pPr>
        <w:pStyle w:val="Normal"/>
        <w:spacing w:line="360" w:lineRule="auto"/>
        <w:jc w:val="both"/>
        <w:rPr>
          <w:noProof w:val="0"/>
          <w:sz w:val="22"/>
          <w:szCs w:val="22"/>
          <w:lang w:val="en-GB"/>
        </w:rPr>
      </w:pPr>
      <w:r w:rsidRPr="272350BB" w:rsidR="6BBED499">
        <w:rPr>
          <w:noProof w:val="0"/>
          <w:sz w:val="22"/>
          <w:szCs w:val="22"/>
          <w:lang w:val="en-GB"/>
        </w:rPr>
        <w:t xml:space="preserve"> </w:t>
      </w:r>
    </w:p>
    <w:p w:rsidR="57A6E244" w:rsidP="272350BB" w:rsidRDefault="57A6E244" w14:paraId="32E01133" w14:textId="7474FF70">
      <w:pPr>
        <w:pStyle w:val="Normal"/>
        <w:spacing w:line="360" w:lineRule="auto"/>
        <w:jc w:val="both"/>
        <w:rPr>
          <w:noProof w:val="0"/>
          <w:sz w:val="22"/>
          <w:szCs w:val="22"/>
          <w:lang w:val="en-GB"/>
        </w:rPr>
      </w:pPr>
      <w:r w:rsidRPr="272350BB" w:rsidR="57A6E244">
        <w:rPr>
          <w:noProof w:val="0"/>
          <w:sz w:val="22"/>
          <w:szCs w:val="22"/>
          <w:lang w:val="en-GB"/>
        </w:rPr>
        <w:t xml:space="preserve">8. </w:t>
      </w:r>
      <w:r w:rsidRPr="272350BB" w:rsidR="6BBED499">
        <w:rPr>
          <w:noProof w:val="0"/>
          <w:sz w:val="22"/>
          <w:szCs w:val="22"/>
          <w:lang w:val="en-GB"/>
        </w:rPr>
        <w:t xml:space="preserve">Brok, E.J., Hornborg‐Svensson, C., Dimitropoulou, N.M., Broeng‐Mikkelgaard, S., Olsen, M.T., Rahman, L.A., </w:t>
      </w:r>
      <w:r w:rsidRPr="272350BB" w:rsidR="6BBED499">
        <w:rPr>
          <w:noProof w:val="0"/>
          <w:sz w:val="22"/>
          <w:szCs w:val="22"/>
          <w:lang w:val="en-GB"/>
        </w:rPr>
        <w:t>Papathanail</w:t>
      </w:r>
      <w:r w:rsidRPr="272350BB" w:rsidR="6BBED499">
        <w:rPr>
          <w:noProof w:val="0"/>
          <w:sz w:val="22"/>
          <w:szCs w:val="22"/>
          <w:lang w:val="en-GB"/>
        </w:rPr>
        <w:t xml:space="preserve">, I., Wiede, A., Peters, J., Mertens, P.R., </w:t>
      </w:r>
      <w:r w:rsidRPr="272350BB" w:rsidR="6BBED499">
        <w:rPr>
          <w:noProof w:val="0"/>
          <w:sz w:val="22"/>
          <w:szCs w:val="22"/>
          <w:lang w:val="en-GB"/>
        </w:rPr>
        <w:t>Zikou</w:t>
      </w:r>
      <w:r w:rsidRPr="272350BB" w:rsidR="6BBED499">
        <w:rPr>
          <w:noProof w:val="0"/>
          <w:sz w:val="22"/>
          <w:szCs w:val="22"/>
          <w:lang w:val="en-GB"/>
        </w:rPr>
        <w:t xml:space="preserve">, E., </w:t>
      </w:r>
      <w:r w:rsidRPr="272350BB" w:rsidR="6BBED499">
        <w:rPr>
          <w:noProof w:val="0"/>
          <w:sz w:val="22"/>
          <w:szCs w:val="22"/>
          <w:lang w:val="en-GB"/>
        </w:rPr>
        <w:t>Karamanakos</w:t>
      </w:r>
      <w:r w:rsidRPr="272350BB" w:rsidR="6BBED499">
        <w:rPr>
          <w:noProof w:val="0"/>
          <w:sz w:val="22"/>
          <w:szCs w:val="22"/>
          <w:lang w:val="en-GB"/>
        </w:rPr>
        <w:t xml:space="preserve">, G., Athanasopoulos, S., </w:t>
      </w:r>
      <w:r w:rsidRPr="272350BB" w:rsidR="6BBED499">
        <w:rPr>
          <w:noProof w:val="0"/>
          <w:sz w:val="22"/>
          <w:szCs w:val="22"/>
          <w:lang w:val="en-GB"/>
        </w:rPr>
        <w:t>Mitrakou</w:t>
      </w:r>
      <w:r w:rsidRPr="272350BB" w:rsidR="6BBED499">
        <w:rPr>
          <w:noProof w:val="0"/>
          <w:sz w:val="22"/>
          <w:szCs w:val="22"/>
          <w:lang w:val="en-GB"/>
        </w:rPr>
        <w:t xml:space="preserve">, A., </w:t>
      </w:r>
      <w:r w:rsidRPr="272350BB" w:rsidR="6BBED499">
        <w:rPr>
          <w:noProof w:val="0"/>
          <w:sz w:val="22"/>
          <w:szCs w:val="22"/>
          <w:lang w:val="en-GB"/>
        </w:rPr>
        <w:t>Makrilakis</w:t>
      </w:r>
      <w:r w:rsidRPr="272350BB" w:rsidR="6BBED499">
        <w:rPr>
          <w:noProof w:val="0"/>
          <w:sz w:val="22"/>
          <w:szCs w:val="22"/>
          <w:lang w:val="en-GB"/>
        </w:rPr>
        <w:t xml:space="preserve">, K., Sander, K., </w:t>
      </w:r>
      <w:r w:rsidRPr="272350BB" w:rsidR="6BBED499">
        <w:rPr>
          <w:noProof w:val="0"/>
          <w:sz w:val="22"/>
          <w:szCs w:val="22"/>
          <w:lang w:val="en-GB"/>
        </w:rPr>
        <w:t>Mougiakakou</w:t>
      </w:r>
      <w:r w:rsidRPr="272350BB" w:rsidR="6BBED499">
        <w:rPr>
          <w:noProof w:val="0"/>
          <w:sz w:val="22"/>
          <w:szCs w:val="22"/>
          <w:lang w:val="en-GB"/>
        </w:rPr>
        <w:t xml:space="preserve">, S., Pedersen‐Bjergaard, M. and Galan, B.E. (2025) ‘Study protocol for exploring diabetes numeracy and health literacy across Europe (EDUCATE): a multicentre cross-sectional </w:t>
      </w:r>
      <w:r w:rsidRPr="272350BB" w:rsidR="045B6C2A">
        <w:rPr>
          <w:rFonts w:ascii="Aptos" w:hAnsi="Aptos" w:eastAsia="Aptos" w:cs="Aptos"/>
          <w:noProof w:val="0"/>
          <w:sz w:val="22"/>
          <w:szCs w:val="22"/>
          <w:lang w:val="en-GB"/>
        </w:rPr>
        <w:t>study,'</w:t>
      </w:r>
      <w:r w:rsidRPr="272350BB" w:rsidR="6BBED499">
        <w:rPr>
          <w:noProof w:val="0"/>
          <w:sz w:val="22"/>
          <w:szCs w:val="22"/>
          <w:lang w:val="en-GB"/>
        </w:rPr>
        <w:t xml:space="preserve"> Diabetic Medicine, 42(11), p. e70140. doi:10.1111/dme.70140. </w:t>
      </w:r>
    </w:p>
    <w:p w:rsidR="6BBED499" w:rsidP="272350BB" w:rsidRDefault="6BBED499" w14:paraId="44ADDE19" w14:textId="61D685F4">
      <w:pPr>
        <w:pStyle w:val="Normal"/>
        <w:spacing w:line="360" w:lineRule="auto"/>
        <w:jc w:val="both"/>
        <w:rPr>
          <w:noProof w:val="0"/>
          <w:sz w:val="22"/>
          <w:szCs w:val="22"/>
          <w:lang w:val="en-GB"/>
        </w:rPr>
      </w:pPr>
      <w:r w:rsidRPr="272350BB" w:rsidR="6BBED499">
        <w:rPr>
          <w:noProof w:val="0"/>
          <w:sz w:val="22"/>
          <w:szCs w:val="22"/>
          <w:lang w:val="en-GB"/>
        </w:rPr>
        <w:t xml:space="preserve"> </w:t>
      </w:r>
    </w:p>
    <w:p w:rsidR="7990F681" w:rsidP="272350BB" w:rsidRDefault="7990F681" w14:paraId="7B560E0B" w14:textId="61A4A7EF">
      <w:pPr>
        <w:pStyle w:val="Normal"/>
        <w:spacing w:line="360" w:lineRule="auto"/>
        <w:jc w:val="both"/>
        <w:rPr>
          <w:noProof w:val="0"/>
          <w:sz w:val="22"/>
          <w:szCs w:val="22"/>
          <w:lang w:val="en-GB"/>
        </w:rPr>
      </w:pPr>
      <w:r w:rsidRPr="272350BB" w:rsidR="7990F681">
        <w:rPr>
          <w:noProof w:val="0"/>
          <w:sz w:val="22"/>
          <w:szCs w:val="22"/>
          <w:lang w:val="en-GB"/>
        </w:rPr>
        <w:t xml:space="preserve">9. </w:t>
      </w:r>
      <w:r w:rsidRPr="272350BB" w:rsidR="6BBED499">
        <w:rPr>
          <w:noProof w:val="0"/>
          <w:sz w:val="22"/>
          <w:szCs w:val="22"/>
          <w:lang w:val="en-GB"/>
        </w:rPr>
        <w:t xml:space="preserve">Campbell, J.E. and Newgard, C.B. (2021) ‘Mechanisms controlling pancreatic islet cell function in insulin secretion’, Nature Reviews Molecular Cell Biology, 22(2), pp. 142–158. doi:10.1038/s41580-020-00317-7. </w:t>
      </w:r>
    </w:p>
    <w:p w:rsidR="6BBED499" w:rsidP="272350BB" w:rsidRDefault="6BBED499" w14:paraId="40697670" w14:textId="464A66CC">
      <w:pPr>
        <w:pStyle w:val="Normal"/>
        <w:spacing w:line="360" w:lineRule="auto"/>
        <w:jc w:val="both"/>
        <w:rPr>
          <w:noProof w:val="0"/>
          <w:sz w:val="22"/>
          <w:szCs w:val="22"/>
          <w:lang w:val="en-GB"/>
        </w:rPr>
      </w:pPr>
      <w:r w:rsidRPr="272350BB" w:rsidR="6BBED499">
        <w:rPr>
          <w:noProof w:val="0"/>
          <w:sz w:val="22"/>
          <w:szCs w:val="22"/>
          <w:lang w:val="en-GB"/>
        </w:rPr>
        <w:t xml:space="preserve"> </w:t>
      </w:r>
    </w:p>
    <w:p w:rsidR="3F47A6F5" w:rsidP="272350BB" w:rsidRDefault="3F47A6F5" w14:paraId="3833C98D" w14:textId="142C30A0">
      <w:pPr>
        <w:pStyle w:val="Normal"/>
        <w:spacing w:line="360" w:lineRule="auto"/>
        <w:jc w:val="both"/>
        <w:rPr>
          <w:noProof w:val="0"/>
          <w:sz w:val="22"/>
          <w:szCs w:val="22"/>
          <w:lang w:val="en-GB"/>
        </w:rPr>
      </w:pPr>
      <w:r w:rsidRPr="272350BB" w:rsidR="3F47A6F5">
        <w:rPr>
          <w:noProof w:val="0"/>
          <w:sz w:val="22"/>
          <w:szCs w:val="22"/>
          <w:lang w:val="en-GB"/>
        </w:rPr>
        <w:t xml:space="preserve">10. </w:t>
      </w:r>
      <w:r w:rsidRPr="272350BB" w:rsidR="6BBED499">
        <w:rPr>
          <w:noProof w:val="0"/>
          <w:sz w:val="22"/>
          <w:szCs w:val="22"/>
          <w:lang w:val="en-GB"/>
        </w:rPr>
        <w:t>Carnero, E.A., Bock, C.P., Distefano, G., Corbin, K.D., Stephens, N.A., Pratley, R.E., Smith, S.R., Goodpaster, B.H. and Sparks, L.M. (2021) ‘Twenty-four hour assessments of substrate oxidation reveal differences in metabolic flexibility in type 2 diabetes that are improved with aerobic training’,</w:t>
      </w:r>
      <w:r w:rsidRPr="272350BB" w:rsidR="6BBED499">
        <w:rPr>
          <w:noProof w:val="0"/>
          <w:sz w:val="22"/>
          <w:szCs w:val="22"/>
          <w:lang w:val="en-GB"/>
        </w:rPr>
        <w:t xml:space="preserve"> </w:t>
      </w:r>
      <w:r w:rsidRPr="272350BB" w:rsidR="6BBED499">
        <w:rPr>
          <w:noProof w:val="0"/>
          <w:sz w:val="22"/>
          <w:szCs w:val="22"/>
          <w:lang w:val="en-GB"/>
        </w:rPr>
        <w:t>Diabetologi</w:t>
      </w:r>
      <w:r w:rsidRPr="272350BB" w:rsidR="6BBED499">
        <w:rPr>
          <w:noProof w:val="0"/>
          <w:sz w:val="22"/>
          <w:szCs w:val="22"/>
          <w:lang w:val="en-GB"/>
        </w:rPr>
        <w:t>a</w:t>
      </w:r>
      <w:r w:rsidRPr="272350BB" w:rsidR="6BBED499">
        <w:rPr>
          <w:noProof w:val="0"/>
          <w:sz w:val="22"/>
          <w:szCs w:val="22"/>
          <w:lang w:val="en-GB"/>
        </w:rPr>
        <w:t xml:space="preserve">, 64(10), pp. 2322–2333. doi:10.1007/s00125-021-05535-y. </w:t>
      </w:r>
    </w:p>
    <w:p w:rsidR="6BBED499" w:rsidP="272350BB" w:rsidRDefault="6BBED499" w14:paraId="323FF57C" w14:textId="2B22FEC7">
      <w:pPr>
        <w:pStyle w:val="Normal"/>
        <w:spacing w:line="360" w:lineRule="auto"/>
        <w:jc w:val="both"/>
        <w:rPr>
          <w:noProof w:val="0"/>
          <w:sz w:val="22"/>
          <w:szCs w:val="22"/>
          <w:lang w:val="en-GB"/>
        </w:rPr>
      </w:pPr>
      <w:r w:rsidRPr="272350BB" w:rsidR="6BBED499">
        <w:rPr>
          <w:noProof w:val="0"/>
          <w:sz w:val="22"/>
          <w:szCs w:val="22"/>
          <w:lang w:val="en-GB"/>
        </w:rPr>
        <w:t xml:space="preserve"> </w:t>
      </w:r>
    </w:p>
    <w:p w:rsidR="6BBED499" w:rsidP="272350BB" w:rsidRDefault="6BBED499" w14:paraId="230DBF5C" w14:textId="064D7587">
      <w:pPr>
        <w:pStyle w:val="Normal"/>
        <w:spacing w:line="360" w:lineRule="auto"/>
        <w:jc w:val="both"/>
        <w:rPr>
          <w:noProof w:val="0"/>
          <w:sz w:val="22"/>
          <w:szCs w:val="22"/>
          <w:lang w:val="en-GB"/>
        </w:rPr>
      </w:pPr>
      <w:r w:rsidRPr="272350BB" w:rsidR="6BBED499">
        <w:rPr>
          <w:noProof w:val="0"/>
          <w:sz w:val="22"/>
          <w:szCs w:val="22"/>
          <w:lang w:val="en-GB"/>
        </w:rPr>
        <w:t xml:space="preserve"> </w:t>
      </w:r>
      <w:r w:rsidRPr="272350BB" w:rsidR="4748CAA4">
        <w:rPr>
          <w:noProof w:val="0"/>
          <w:sz w:val="22"/>
          <w:szCs w:val="22"/>
          <w:lang w:val="en-GB"/>
        </w:rPr>
        <w:t xml:space="preserve">11. </w:t>
      </w:r>
      <w:r w:rsidRPr="272350BB" w:rsidR="6BBED499">
        <w:rPr>
          <w:noProof w:val="0"/>
          <w:sz w:val="22"/>
          <w:szCs w:val="22"/>
          <w:lang w:val="en-GB"/>
        </w:rPr>
        <w:t xml:space="preserve">Deng, W., Zhao, L., Chen, C., Ren, Z., Jing, Y., Qiu, </w:t>
      </w:r>
      <w:r w:rsidRPr="272350BB" w:rsidR="6BBED499">
        <w:rPr>
          <w:noProof w:val="0"/>
          <w:sz w:val="22"/>
          <w:szCs w:val="22"/>
          <w:lang w:val="en-GB"/>
        </w:rPr>
        <w:t>J.</w:t>
      </w:r>
      <w:r w:rsidRPr="272350BB" w:rsidR="6BBED499">
        <w:rPr>
          <w:noProof w:val="0"/>
          <w:sz w:val="22"/>
          <w:szCs w:val="22"/>
          <w:lang w:val="en-GB"/>
        </w:rPr>
        <w:t xml:space="preserve"> and Liu, D. (2024) ‘National burden and risk factors of diabetes mellitus in China from 1990 to 2021: results from the Global Burden of Disease Study 2021’, Journal of Diabetes, 16(10). doi:10.1111/1753-0407.70012. </w:t>
      </w:r>
    </w:p>
    <w:p w:rsidR="6BBED499" w:rsidP="272350BB" w:rsidRDefault="6BBED499" w14:paraId="6FDBD62A" w14:textId="01AF525D">
      <w:pPr>
        <w:pStyle w:val="Normal"/>
        <w:spacing w:line="360" w:lineRule="auto"/>
        <w:jc w:val="both"/>
        <w:rPr>
          <w:noProof w:val="0"/>
          <w:sz w:val="22"/>
          <w:szCs w:val="22"/>
          <w:lang w:val="en-GB"/>
        </w:rPr>
      </w:pPr>
      <w:r w:rsidRPr="272350BB" w:rsidR="6BBED499">
        <w:rPr>
          <w:noProof w:val="0"/>
          <w:sz w:val="22"/>
          <w:szCs w:val="22"/>
          <w:lang w:val="en-GB"/>
        </w:rPr>
        <w:t xml:space="preserve"> </w:t>
      </w:r>
    </w:p>
    <w:p w:rsidR="39998049" w:rsidP="272350BB" w:rsidRDefault="39998049" w14:paraId="3949BCA5" w14:textId="30DE66DA">
      <w:pPr>
        <w:pStyle w:val="Normal"/>
        <w:spacing w:line="360" w:lineRule="auto"/>
        <w:jc w:val="both"/>
        <w:rPr>
          <w:noProof w:val="0"/>
          <w:sz w:val="22"/>
          <w:szCs w:val="22"/>
          <w:lang w:val="en-GB"/>
        </w:rPr>
      </w:pPr>
      <w:r w:rsidRPr="272350BB" w:rsidR="39998049">
        <w:rPr>
          <w:noProof w:val="0"/>
          <w:sz w:val="22"/>
          <w:szCs w:val="22"/>
          <w:lang w:val="en-GB"/>
        </w:rPr>
        <w:t xml:space="preserve">12. </w:t>
      </w:r>
      <w:r w:rsidRPr="272350BB" w:rsidR="6BBED499">
        <w:rPr>
          <w:noProof w:val="0"/>
          <w:sz w:val="22"/>
          <w:szCs w:val="22"/>
          <w:lang w:val="en-GB"/>
        </w:rPr>
        <w:t xml:space="preserve">ElSayed, N.A., Aleppo, G., </w:t>
      </w:r>
      <w:r w:rsidRPr="272350BB" w:rsidR="6BBED499">
        <w:rPr>
          <w:noProof w:val="0"/>
          <w:sz w:val="22"/>
          <w:szCs w:val="22"/>
          <w:lang w:val="en-GB"/>
        </w:rPr>
        <w:t>Aroda</w:t>
      </w:r>
      <w:r w:rsidRPr="272350BB" w:rsidR="6BBED499">
        <w:rPr>
          <w:noProof w:val="0"/>
          <w:sz w:val="22"/>
          <w:szCs w:val="22"/>
          <w:lang w:val="en-GB"/>
        </w:rPr>
        <w:t xml:space="preserve">, V.R., </w:t>
      </w:r>
      <w:r w:rsidRPr="272350BB" w:rsidR="6BBED499">
        <w:rPr>
          <w:noProof w:val="0"/>
          <w:sz w:val="22"/>
          <w:szCs w:val="22"/>
          <w:lang w:val="en-GB"/>
        </w:rPr>
        <w:t>Bannuru</w:t>
      </w:r>
      <w:r w:rsidRPr="272350BB" w:rsidR="6BBED499">
        <w:rPr>
          <w:noProof w:val="0"/>
          <w:sz w:val="22"/>
          <w:szCs w:val="22"/>
          <w:lang w:val="en-GB"/>
        </w:rPr>
        <w:t xml:space="preserve">, R.R., Brown, F.M., Bruemmer, D., Collins, B.S., Hilliard, M.E., Isaacs, D., Johnson, E.L., Kahan, S., </w:t>
      </w:r>
      <w:r w:rsidRPr="272350BB" w:rsidR="6BBED499">
        <w:rPr>
          <w:noProof w:val="0"/>
          <w:sz w:val="22"/>
          <w:szCs w:val="22"/>
          <w:lang w:val="en-GB"/>
        </w:rPr>
        <w:t>Khunti</w:t>
      </w:r>
      <w:r w:rsidRPr="272350BB" w:rsidR="6BBED499">
        <w:rPr>
          <w:noProof w:val="0"/>
          <w:sz w:val="22"/>
          <w:szCs w:val="22"/>
          <w:lang w:val="en-GB"/>
        </w:rPr>
        <w:t xml:space="preserve">, K., Leon, J., Lyons, S.K., Perry, M.L., Prahalad, P., Pratley, R.E., Seley, J.J., Stanton, R.C. and Gabbay, R.A. (2022) ‘3. Prevention or delay of type 2 diabetes and associated comorbidities: Standards of care in diabetes—2023’, Diabetes Care, 46(Supplement_1), pp. S41–S48. doi:10.2337/dc23-s003. </w:t>
      </w:r>
    </w:p>
    <w:p w:rsidR="6BBED499" w:rsidP="272350BB" w:rsidRDefault="6BBED499" w14:paraId="16F82E19" w14:textId="42E8A34A">
      <w:pPr>
        <w:pStyle w:val="Normal"/>
        <w:spacing w:line="360" w:lineRule="auto"/>
        <w:jc w:val="both"/>
        <w:rPr>
          <w:noProof w:val="0"/>
          <w:sz w:val="22"/>
          <w:szCs w:val="22"/>
          <w:lang w:val="en-GB"/>
        </w:rPr>
      </w:pPr>
      <w:r w:rsidRPr="272350BB" w:rsidR="6BBED499">
        <w:rPr>
          <w:noProof w:val="0"/>
          <w:sz w:val="22"/>
          <w:szCs w:val="22"/>
          <w:lang w:val="en-GB"/>
        </w:rPr>
        <w:t xml:space="preserve"> </w:t>
      </w:r>
    </w:p>
    <w:p w:rsidR="7B9F4676" w:rsidP="272350BB" w:rsidRDefault="7B9F4676" w14:paraId="30A5CE5A" w14:textId="10EB3A81">
      <w:pPr>
        <w:pStyle w:val="Normal"/>
        <w:spacing w:line="360" w:lineRule="auto"/>
        <w:jc w:val="both"/>
        <w:rPr>
          <w:noProof w:val="0"/>
          <w:sz w:val="22"/>
          <w:szCs w:val="22"/>
          <w:lang w:val="en-GB"/>
        </w:rPr>
      </w:pPr>
      <w:r w:rsidRPr="272350BB" w:rsidR="7B9F4676">
        <w:rPr>
          <w:noProof w:val="0"/>
          <w:sz w:val="22"/>
          <w:szCs w:val="22"/>
          <w:lang w:val="en-GB"/>
        </w:rPr>
        <w:t xml:space="preserve">13. </w:t>
      </w:r>
      <w:r w:rsidRPr="272350BB" w:rsidR="6BBED499">
        <w:rPr>
          <w:noProof w:val="0"/>
          <w:sz w:val="22"/>
          <w:szCs w:val="22"/>
          <w:lang w:val="en-GB"/>
        </w:rPr>
        <w:t xml:space="preserve">ElSayed, N.A., Aleppo, G., </w:t>
      </w:r>
      <w:r w:rsidRPr="272350BB" w:rsidR="6BBED499">
        <w:rPr>
          <w:noProof w:val="0"/>
          <w:sz w:val="22"/>
          <w:szCs w:val="22"/>
          <w:lang w:val="en-GB"/>
        </w:rPr>
        <w:t>Aroda</w:t>
      </w:r>
      <w:r w:rsidRPr="272350BB" w:rsidR="6BBED499">
        <w:rPr>
          <w:noProof w:val="0"/>
          <w:sz w:val="22"/>
          <w:szCs w:val="22"/>
          <w:lang w:val="en-GB"/>
        </w:rPr>
        <w:t xml:space="preserve">, V.R., </w:t>
      </w:r>
      <w:r w:rsidRPr="272350BB" w:rsidR="6BBED499">
        <w:rPr>
          <w:noProof w:val="0"/>
          <w:sz w:val="22"/>
          <w:szCs w:val="22"/>
          <w:lang w:val="en-GB"/>
        </w:rPr>
        <w:t>Bannuru</w:t>
      </w:r>
      <w:r w:rsidRPr="272350BB" w:rsidR="6BBED499">
        <w:rPr>
          <w:noProof w:val="0"/>
          <w:sz w:val="22"/>
          <w:szCs w:val="22"/>
          <w:lang w:val="en-GB"/>
        </w:rPr>
        <w:t xml:space="preserve">, R.R., Brown, F.M., Bruemmer, D., Collins, B.S., Gaglia, J.L., Hilliard, </w:t>
      </w:r>
      <w:r w:rsidRPr="272350BB" w:rsidR="6BBED499">
        <w:rPr>
          <w:noProof w:val="0"/>
          <w:sz w:val="22"/>
          <w:szCs w:val="22"/>
          <w:lang w:val="en-GB"/>
        </w:rPr>
        <w:t>M.E.</w:t>
      </w:r>
      <w:r w:rsidRPr="272350BB" w:rsidR="6BBED499">
        <w:rPr>
          <w:noProof w:val="0"/>
          <w:sz w:val="22"/>
          <w:szCs w:val="22"/>
          <w:lang w:val="en-GB"/>
        </w:rPr>
        <w:t xml:space="preserve"> and Isaacs, D. (2023) ‘2. Classification and diagnosis of diabetes: Standards of care in diabetes—2023’, Diabetes Care, 46(Supplement_1), pp. S19–S40. </w:t>
      </w:r>
    </w:p>
    <w:p w:rsidR="6BBED499" w:rsidP="272350BB" w:rsidRDefault="6BBED499" w14:paraId="3952087D" w14:textId="6AB2A2D8">
      <w:pPr>
        <w:pStyle w:val="Normal"/>
        <w:spacing w:line="360" w:lineRule="auto"/>
        <w:jc w:val="both"/>
        <w:rPr>
          <w:noProof w:val="0"/>
          <w:sz w:val="22"/>
          <w:szCs w:val="22"/>
          <w:lang w:val="en-GB"/>
        </w:rPr>
      </w:pPr>
      <w:r w:rsidRPr="272350BB" w:rsidR="6BBED499">
        <w:rPr>
          <w:noProof w:val="0"/>
          <w:sz w:val="22"/>
          <w:szCs w:val="22"/>
          <w:lang w:val="en-GB"/>
        </w:rPr>
        <w:t xml:space="preserve"> </w:t>
      </w:r>
    </w:p>
    <w:p w:rsidR="56686D23" w:rsidP="272350BB" w:rsidRDefault="56686D23" w14:paraId="2371E512" w14:textId="4D628DA6">
      <w:pPr>
        <w:pStyle w:val="Normal"/>
        <w:spacing w:line="360" w:lineRule="auto"/>
        <w:jc w:val="both"/>
        <w:rPr>
          <w:noProof w:val="0"/>
          <w:sz w:val="22"/>
          <w:szCs w:val="22"/>
          <w:lang w:val="en-GB"/>
        </w:rPr>
      </w:pPr>
      <w:r w:rsidRPr="272350BB" w:rsidR="56686D23">
        <w:rPr>
          <w:noProof w:val="0"/>
          <w:sz w:val="22"/>
          <w:szCs w:val="22"/>
          <w:lang w:val="en-GB"/>
        </w:rPr>
        <w:t xml:space="preserve">14. </w:t>
      </w:r>
      <w:r w:rsidRPr="272350BB" w:rsidR="6BBED499">
        <w:rPr>
          <w:noProof w:val="0"/>
          <w:sz w:val="22"/>
          <w:szCs w:val="22"/>
          <w:lang w:val="en-GB"/>
        </w:rPr>
        <w:t xml:space="preserve">Galicia-Garcia, U., Benito-Vicente, A., </w:t>
      </w:r>
      <w:r w:rsidRPr="272350BB" w:rsidR="6BBED499">
        <w:rPr>
          <w:noProof w:val="0"/>
          <w:sz w:val="22"/>
          <w:szCs w:val="22"/>
          <w:lang w:val="en-GB"/>
        </w:rPr>
        <w:t>Jebari</w:t>
      </w:r>
      <w:r w:rsidRPr="272350BB" w:rsidR="6BBED499">
        <w:rPr>
          <w:noProof w:val="0"/>
          <w:sz w:val="22"/>
          <w:szCs w:val="22"/>
          <w:lang w:val="en-GB"/>
        </w:rPr>
        <w:t>, S., Larrea-</w:t>
      </w:r>
      <w:r w:rsidRPr="272350BB" w:rsidR="6BBED499">
        <w:rPr>
          <w:noProof w:val="0"/>
          <w:sz w:val="22"/>
          <w:szCs w:val="22"/>
          <w:lang w:val="en-GB"/>
        </w:rPr>
        <w:t>Sebal</w:t>
      </w:r>
      <w:r w:rsidRPr="272350BB" w:rsidR="6BBED499">
        <w:rPr>
          <w:noProof w:val="0"/>
          <w:sz w:val="22"/>
          <w:szCs w:val="22"/>
          <w:lang w:val="en-GB"/>
        </w:rPr>
        <w:t xml:space="preserve">, A., Siddiqi, H., Uribe, K. B., Ostolaza, H., &amp; Martín, C. (2020). Pathophysiology of Type 2 Diabetes Mellitus. International Journal of Molecular Sciences, 21(17), 6275. </w:t>
      </w:r>
      <w:hyperlink r:id="R38db96a3a87d4809">
        <w:r w:rsidRPr="272350BB" w:rsidR="6BBED499">
          <w:rPr>
            <w:noProof w:val="0"/>
            <w:sz w:val="22"/>
            <w:szCs w:val="22"/>
            <w:lang w:val="en-GB"/>
          </w:rPr>
          <w:t>https://doi.org/10.3390/ijms21176275</w:t>
        </w:r>
      </w:hyperlink>
      <w:r w:rsidRPr="272350BB" w:rsidR="6BBED499">
        <w:rPr>
          <w:noProof w:val="0"/>
          <w:sz w:val="22"/>
          <w:szCs w:val="22"/>
          <w:lang w:val="en-GB"/>
        </w:rPr>
        <w:t xml:space="preserve"> </w:t>
      </w:r>
    </w:p>
    <w:p w:rsidR="6BBED499" w:rsidP="272350BB" w:rsidRDefault="6BBED499" w14:paraId="73F2A6EC" w14:textId="0C15A998">
      <w:pPr>
        <w:pStyle w:val="Normal"/>
        <w:spacing w:line="360" w:lineRule="auto"/>
        <w:jc w:val="both"/>
        <w:rPr>
          <w:noProof w:val="0"/>
          <w:sz w:val="22"/>
          <w:szCs w:val="22"/>
          <w:lang w:val="en-GB"/>
        </w:rPr>
      </w:pPr>
      <w:r w:rsidRPr="272350BB" w:rsidR="6BBED499">
        <w:rPr>
          <w:noProof w:val="0"/>
          <w:sz w:val="22"/>
          <w:szCs w:val="22"/>
          <w:lang w:val="en-GB"/>
        </w:rPr>
        <w:t xml:space="preserve"> </w:t>
      </w:r>
    </w:p>
    <w:p w:rsidR="3636EEE6" w:rsidP="272350BB" w:rsidRDefault="3636EEE6" w14:paraId="2D6E2C0F" w14:textId="7936E3CC">
      <w:pPr>
        <w:pStyle w:val="Normal"/>
        <w:spacing w:line="360" w:lineRule="auto"/>
        <w:jc w:val="both"/>
        <w:rPr>
          <w:noProof w:val="0"/>
          <w:sz w:val="22"/>
          <w:szCs w:val="22"/>
          <w:lang w:val="en-GB"/>
        </w:rPr>
      </w:pPr>
      <w:r w:rsidRPr="272350BB" w:rsidR="3636EEE6">
        <w:rPr>
          <w:noProof w:val="0"/>
          <w:sz w:val="22"/>
          <w:szCs w:val="22"/>
          <w:lang w:val="en-GB"/>
        </w:rPr>
        <w:t xml:space="preserve">15. </w:t>
      </w:r>
      <w:r w:rsidRPr="272350BB" w:rsidR="6BBED499">
        <w:rPr>
          <w:noProof w:val="0"/>
          <w:sz w:val="22"/>
          <w:szCs w:val="22"/>
          <w:lang w:val="en-GB"/>
        </w:rPr>
        <w:t xml:space="preserve">Guasch‐Ferré, M. and Willett, W.C. (2021) ‘The Mediterranean diet and health: a comprehensive overview’, Journal of Internal Medicine, 290(3), pp. 549–566. doi:10.1111/joim.13333. </w:t>
      </w:r>
    </w:p>
    <w:p w:rsidR="6BBED499" w:rsidP="272350BB" w:rsidRDefault="6BBED499" w14:paraId="5BEA52DB" w14:textId="055D080E">
      <w:pPr>
        <w:pStyle w:val="Normal"/>
        <w:spacing w:line="360" w:lineRule="auto"/>
        <w:jc w:val="both"/>
        <w:rPr>
          <w:noProof w:val="0"/>
          <w:sz w:val="22"/>
          <w:szCs w:val="22"/>
          <w:lang w:val="en-GB"/>
        </w:rPr>
      </w:pPr>
      <w:r w:rsidRPr="272350BB" w:rsidR="6BBED499">
        <w:rPr>
          <w:noProof w:val="0"/>
          <w:sz w:val="22"/>
          <w:szCs w:val="22"/>
          <w:lang w:val="en-GB"/>
        </w:rPr>
        <w:t xml:space="preserve"> </w:t>
      </w:r>
    </w:p>
    <w:p w:rsidR="680B0371" w:rsidP="272350BB" w:rsidRDefault="680B0371" w14:paraId="41C953C4" w14:textId="3356A664">
      <w:pPr>
        <w:pStyle w:val="Normal"/>
        <w:spacing w:line="360" w:lineRule="auto"/>
        <w:jc w:val="both"/>
        <w:rPr>
          <w:noProof w:val="0"/>
          <w:sz w:val="22"/>
          <w:szCs w:val="22"/>
          <w:lang w:val="en-GB"/>
        </w:rPr>
      </w:pPr>
      <w:r w:rsidRPr="272350BB" w:rsidR="680B0371">
        <w:rPr>
          <w:noProof w:val="0"/>
          <w:sz w:val="22"/>
          <w:szCs w:val="22"/>
          <w:lang w:val="en-GB"/>
        </w:rPr>
        <w:t xml:space="preserve">16. </w:t>
      </w:r>
      <w:r w:rsidRPr="272350BB" w:rsidR="6BBED499">
        <w:rPr>
          <w:noProof w:val="0"/>
          <w:sz w:val="22"/>
          <w:szCs w:val="22"/>
          <w:lang w:val="en-GB"/>
        </w:rPr>
        <w:t>Hantzidiamantis</w:t>
      </w:r>
      <w:r w:rsidRPr="272350BB" w:rsidR="6BBED499">
        <w:rPr>
          <w:noProof w:val="0"/>
          <w:sz w:val="22"/>
          <w:szCs w:val="22"/>
          <w:lang w:val="en-GB"/>
        </w:rPr>
        <w:t xml:space="preserve">, P.J., Lappin, S.L. and Awosika, A.O. (2024) Physiology, Glucose. Available at: </w:t>
      </w:r>
      <w:hyperlink r:id="Rb329a1ff46304c31">
        <w:r w:rsidRPr="272350BB" w:rsidR="6BBED499">
          <w:rPr>
            <w:noProof w:val="0"/>
            <w:sz w:val="22"/>
            <w:szCs w:val="22"/>
            <w:lang w:val="en-GB"/>
          </w:rPr>
          <w:t>https://www.ncbi.nlm.nih.gov/books/NBK545201/</w:t>
        </w:r>
      </w:hyperlink>
      <w:r w:rsidRPr="272350BB" w:rsidR="6BBED499">
        <w:rPr>
          <w:noProof w:val="0"/>
          <w:sz w:val="22"/>
          <w:szCs w:val="22"/>
          <w:lang w:val="en-GB"/>
        </w:rPr>
        <w:t xml:space="preserve"> (Accessed: 21 February 2026). </w:t>
      </w:r>
    </w:p>
    <w:p w:rsidR="6BBED499" w:rsidP="272350BB" w:rsidRDefault="6BBED499" w14:paraId="2ED9A194" w14:textId="08803F63">
      <w:pPr>
        <w:pStyle w:val="Normal"/>
        <w:spacing w:line="360" w:lineRule="auto"/>
        <w:jc w:val="both"/>
        <w:rPr>
          <w:noProof w:val="0"/>
          <w:sz w:val="22"/>
          <w:szCs w:val="22"/>
          <w:lang w:val="en-GB"/>
        </w:rPr>
      </w:pPr>
      <w:r w:rsidRPr="272350BB" w:rsidR="6BBED499">
        <w:rPr>
          <w:noProof w:val="0"/>
          <w:sz w:val="22"/>
          <w:szCs w:val="22"/>
          <w:lang w:val="en-GB"/>
        </w:rPr>
        <w:t xml:space="preserve"> </w:t>
      </w:r>
    </w:p>
    <w:p w:rsidR="784491BB" w:rsidP="272350BB" w:rsidRDefault="784491BB" w14:paraId="4944ABE2" w14:textId="3ADEFA13">
      <w:pPr>
        <w:pStyle w:val="Normal"/>
        <w:spacing w:line="360" w:lineRule="auto"/>
        <w:jc w:val="both"/>
        <w:rPr>
          <w:noProof w:val="0"/>
          <w:sz w:val="22"/>
          <w:szCs w:val="22"/>
          <w:lang w:val="en-GB"/>
        </w:rPr>
      </w:pPr>
      <w:r w:rsidRPr="272350BB" w:rsidR="784491BB">
        <w:rPr>
          <w:noProof w:val="0"/>
          <w:sz w:val="22"/>
          <w:szCs w:val="22"/>
          <w:lang w:val="en-GB"/>
        </w:rPr>
        <w:t xml:space="preserve">17. </w:t>
      </w:r>
      <w:r w:rsidRPr="272350BB" w:rsidR="6BBED499">
        <w:rPr>
          <w:noProof w:val="0"/>
          <w:sz w:val="22"/>
          <w:szCs w:val="22"/>
          <w:lang w:val="en-GB"/>
        </w:rPr>
        <w:t xml:space="preserve">Jafari, J., Karlgren, K., </w:t>
      </w:r>
      <w:r w:rsidRPr="272350BB" w:rsidR="6BBED499">
        <w:rPr>
          <w:noProof w:val="0"/>
          <w:sz w:val="22"/>
          <w:szCs w:val="22"/>
          <w:lang w:val="en-GB"/>
        </w:rPr>
        <w:t>Moonaghi</w:t>
      </w:r>
      <w:r w:rsidRPr="272350BB" w:rsidR="6BBED499">
        <w:rPr>
          <w:noProof w:val="0"/>
          <w:sz w:val="22"/>
          <w:szCs w:val="22"/>
          <w:lang w:val="en-GB"/>
        </w:rPr>
        <w:t xml:space="preserve">, H.K., </w:t>
      </w:r>
      <w:r w:rsidRPr="272350BB" w:rsidR="6BBED499">
        <w:rPr>
          <w:noProof w:val="0"/>
          <w:sz w:val="22"/>
          <w:szCs w:val="22"/>
          <w:lang w:val="en-GB"/>
        </w:rPr>
        <w:t>Layegh</w:t>
      </w:r>
      <w:r w:rsidRPr="272350BB" w:rsidR="6BBED499">
        <w:rPr>
          <w:noProof w:val="0"/>
          <w:sz w:val="22"/>
          <w:szCs w:val="22"/>
          <w:lang w:val="en-GB"/>
        </w:rPr>
        <w:t xml:space="preserve">, P., Bonacina, S. and Masiello, I. (2021) ‘Designing internet-enabled patient education for self-management of T2D diabetes’, PLOS ONE, 16(4), p. e0250781. </w:t>
      </w:r>
    </w:p>
    <w:p w:rsidR="6BBED499" w:rsidP="272350BB" w:rsidRDefault="6BBED499" w14:paraId="5E7CABEE" w14:textId="6D480AEC">
      <w:pPr>
        <w:pStyle w:val="Normal"/>
        <w:spacing w:line="360" w:lineRule="auto"/>
        <w:jc w:val="both"/>
        <w:rPr>
          <w:noProof w:val="0"/>
          <w:sz w:val="22"/>
          <w:szCs w:val="22"/>
          <w:lang w:val="en-GB"/>
        </w:rPr>
      </w:pPr>
      <w:r w:rsidRPr="272350BB" w:rsidR="6BBED499">
        <w:rPr>
          <w:noProof w:val="0"/>
          <w:sz w:val="22"/>
          <w:szCs w:val="22"/>
          <w:lang w:val="en-GB"/>
        </w:rPr>
        <w:t xml:space="preserve"> </w:t>
      </w:r>
    </w:p>
    <w:p w:rsidR="428958D6" w:rsidP="272350BB" w:rsidRDefault="428958D6" w14:paraId="1C9F9E7E" w14:textId="23D50DAE">
      <w:pPr>
        <w:pStyle w:val="Normal"/>
        <w:spacing w:line="360" w:lineRule="auto"/>
        <w:jc w:val="both"/>
        <w:rPr>
          <w:noProof w:val="0"/>
          <w:sz w:val="22"/>
          <w:szCs w:val="22"/>
          <w:lang w:val="en-GB"/>
        </w:rPr>
      </w:pPr>
      <w:r w:rsidRPr="272350BB" w:rsidR="428958D6">
        <w:rPr>
          <w:noProof w:val="0"/>
          <w:sz w:val="22"/>
          <w:szCs w:val="22"/>
          <w:lang w:val="en-GB"/>
        </w:rPr>
        <w:t xml:space="preserve">18. </w:t>
      </w:r>
      <w:r w:rsidRPr="272350BB" w:rsidR="6BBED499">
        <w:rPr>
          <w:noProof w:val="0"/>
          <w:sz w:val="22"/>
          <w:szCs w:val="22"/>
          <w:lang w:val="en-GB"/>
        </w:rPr>
        <w:t xml:space="preserve">Kirichenko, T.V., Markina, Y.V., </w:t>
      </w:r>
      <w:r w:rsidRPr="272350BB" w:rsidR="6BBED499">
        <w:rPr>
          <w:noProof w:val="0"/>
          <w:sz w:val="22"/>
          <w:szCs w:val="22"/>
          <w:lang w:val="en-GB"/>
        </w:rPr>
        <w:t>Bogatyreva</w:t>
      </w:r>
      <w:r w:rsidRPr="272350BB" w:rsidR="6BBED499">
        <w:rPr>
          <w:noProof w:val="0"/>
          <w:sz w:val="22"/>
          <w:szCs w:val="22"/>
          <w:lang w:val="en-GB"/>
        </w:rPr>
        <w:t xml:space="preserve">, A., </w:t>
      </w:r>
      <w:r w:rsidRPr="272350BB" w:rsidR="6BBED499">
        <w:rPr>
          <w:noProof w:val="0"/>
          <w:sz w:val="22"/>
          <w:szCs w:val="22"/>
          <w:lang w:val="en-GB"/>
        </w:rPr>
        <w:t>Tolstik</w:t>
      </w:r>
      <w:r w:rsidRPr="272350BB" w:rsidR="6BBED499">
        <w:rPr>
          <w:noProof w:val="0"/>
          <w:sz w:val="22"/>
          <w:szCs w:val="22"/>
          <w:lang w:val="en-GB"/>
        </w:rPr>
        <w:t xml:space="preserve">, T.V., </w:t>
      </w:r>
      <w:r w:rsidRPr="272350BB" w:rsidR="6BBED499">
        <w:rPr>
          <w:noProof w:val="0"/>
          <w:sz w:val="22"/>
          <w:szCs w:val="22"/>
          <w:lang w:val="en-GB"/>
        </w:rPr>
        <w:t>Varaeva</w:t>
      </w:r>
      <w:r w:rsidRPr="272350BB" w:rsidR="6BBED499">
        <w:rPr>
          <w:noProof w:val="0"/>
          <w:sz w:val="22"/>
          <w:szCs w:val="22"/>
          <w:lang w:val="en-GB"/>
        </w:rPr>
        <w:t xml:space="preserve">, Y.R. and </w:t>
      </w:r>
      <w:r w:rsidRPr="272350BB" w:rsidR="6BBED499">
        <w:rPr>
          <w:noProof w:val="0"/>
          <w:sz w:val="22"/>
          <w:szCs w:val="22"/>
          <w:lang w:val="en-GB"/>
        </w:rPr>
        <w:t>Starodubova</w:t>
      </w:r>
      <w:r w:rsidRPr="272350BB" w:rsidR="6BBED499">
        <w:rPr>
          <w:noProof w:val="0"/>
          <w:sz w:val="22"/>
          <w:szCs w:val="22"/>
          <w:lang w:val="en-GB"/>
        </w:rPr>
        <w:t xml:space="preserve">, A.V. (2022) ‘The role of adipokines in inflammatory mechanisms of obesity’, International Journal of Molecular Sciences, 23(23), p. 14982. </w:t>
      </w:r>
    </w:p>
    <w:p w:rsidR="6BBED499" w:rsidP="272350BB" w:rsidRDefault="6BBED499" w14:paraId="02E160BC" w14:textId="5738817C">
      <w:pPr>
        <w:pStyle w:val="Normal"/>
        <w:spacing w:line="360" w:lineRule="auto"/>
        <w:jc w:val="both"/>
        <w:rPr>
          <w:noProof w:val="0"/>
          <w:sz w:val="22"/>
          <w:szCs w:val="22"/>
          <w:lang w:val="en-GB"/>
        </w:rPr>
      </w:pPr>
      <w:r w:rsidRPr="272350BB" w:rsidR="6BBED499">
        <w:rPr>
          <w:noProof w:val="0"/>
          <w:sz w:val="22"/>
          <w:szCs w:val="22"/>
          <w:lang w:val="en-GB"/>
        </w:rPr>
        <w:t xml:space="preserve"> </w:t>
      </w:r>
    </w:p>
    <w:p w:rsidR="1380071D" w:rsidP="272350BB" w:rsidRDefault="1380071D" w14:paraId="402C38AC" w14:textId="63E0085D">
      <w:pPr>
        <w:pStyle w:val="Normal"/>
        <w:spacing w:line="360" w:lineRule="auto"/>
        <w:jc w:val="both"/>
        <w:rPr>
          <w:noProof w:val="0"/>
          <w:sz w:val="22"/>
          <w:szCs w:val="22"/>
          <w:lang w:val="en-GB"/>
        </w:rPr>
      </w:pPr>
      <w:r w:rsidRPr="272350BB" w:rsidR="1380071D">
        <w:rPr>
          <w:noProof w:val="0"/>
          <w:sz w:val="22"/>
          <w:szCs w:val="22"/>
          <w:lang w:val="en-GB"/>
        </w:rPr>
        <w:t xml:space="preserve">19. </w:t>
      </w:r>
      <w:r w:rsidRPr="272350BB" w:rsidR="6BBED499">
        <w:rPr>
          <w:noProof w:val="0"/>
          <w:sz w:val="22"/>
          <w:szCs w:val="22"/>
          <w:lang w:val="en-GB"/>
        </w:rPr>
        <w:t xml:space="preserve">McCall, A.L., Lieb, D.C., </w:t>
      </w:r>
      <w:r w:rsidRPr="272350BB" w:rsidR="6BBED499">
        <w:rPr>
          <w:noProof w:val="0"/>
          <w:sz w:val="22"/>
          <w:szCs w:val="22"/>
          <w:lang w:val="en-GB"/>
        </w:rPr>
        <w:t>Gianchandani</w:t>
      </w:r>
      <w:r w:rsidRPr="272350BB" w:rsidR="6BBED499">
        <w:rPr>
          <w:noProof w:val="0"/>
          <w:sz w:val="22"/>
          <w:szCs w:val="22"/>
          <w:lang w:val="en-GB"/>
        </w:rPr>
        <w:t xml:space="preserve">, R., MacMaster, H., Maynard, G.A., Murad, M.H., Seaquist, E., Wolfsdorf, J.I., Wright, R.F. and Wiercioch, W. (2022) ‘Management of individuals with diabetes at high risk for </w:t>
      </w:r>
      <w:r w:rsidRPr="272350BB" w:rsidR="6BBED499">
        <w:rPr>
          <w:noProof w:val="0"/>
          <w:sz w:val="22"/>
          <w:szCs w:val="22"/>
          <w:lang w:val="en-GB"/>
        </w:rPr>
        <w:t>hypoglycemia</w:t>
      </w:r>
      <w:r w:rsidRPr="272350BB" w:rsidR="6BBED499">
        <w:rPr>
          <w:noProof w:val="0"/>
          <w:sz w:val="22"/>
          <w:szCs w:val="22"/>
          <w:lang w:val="en-GB"/>
        </w:rPr>
        <w:t xml:space="preserve">’, The Journal of Clinical Endocrinology &amp; Metabolism, 108(3), pp. 529–562. </w:t>
      </w:r>
    </w:p>
    <w:p w:rsidR="6BBED499" w:rsidP="272350BB" w:rsidRDefault="6BBED499" w14:paraId="77541D28" w14:textId="673652A1">
      <w:pPr>
        <w:pStyle w:val="Normal"/>
        <w:spacing w:line="360" w:lineRule="auto"/>
        <w:jc w:val="both"/>
        <w:rPr>
          <w:noProof w:val="0"/>
          <w:sz w:val="22"/>
          <w:szCs w:val="22"/>
          <w:lang w:val="en-GB"/>
        </w:rPr>
      </w:pPr>
      <w:r w:rsidRPr="272350BB" w:rsidR="6BBED499">
        <w:rPr>
          <w:noProof w:val="0"/>
          <w:sz w:val="22"/>
          <w:szCs w:val="22"/>
          <w:lang w:val="en-GB"/>
        </w:rPr>
        <w:t xml:space="preserve"> </w:t>
      </w:r>
    </w:p>
    <w:p w:rsidR="76AC2E96" w:rsidP="272350BB" w:rsidRDefault="76AC2E96" w14:paraId="6F61F213" w14:textId="78470151">
      <w:pPr>
        <w:pStyle w:val="Normal"/>
        <w:spacing w:line="360" w:lineRule="auto"/>
        <w:jc w:val="both"/>
        <w:rPr>
          <w:noProof w:val="0"/>
          <w:sz w:val="22"/>
          <w:szCs w:val="22"/>
          <w:lang w:val="en-GB"/>
        </w:rPr>
      </w:pPr>
      <w:r w:rsidRPr="272350BB" w:rsidR="76AC2E96">
        <w:rPr>
          <w:noProof w:val="0"/>
          <w:sz w:val="22"/>
          <w:szCs w:val="22"/>
          <w:lang w:val="en-GB"/>
        </w:rPr>
        <w:t xml:space="preserve">20. </w:t>
      </w:r>
      <w:r w:rsidRPr="272350BB" w:rsidR="6BBED499">
        <w:rPr>
          <w:noProof w:val="0"/>
          <w:sz w:val="22"/>
          <w:szCs w:val="22"/>
          <w:lang w:val="en-GB"/>
        </w:rPr>
        <w:t xml:space="preserve">Merz, K.E. and Thurmond, D.C. (2020) ‘Role of skeletal muscle in insulin resistance and glucose uptake’, Comprehensive Physiology, 10(3), pp. 785–809. </w:t>
      </w:r>
    </w:p>
    <w:p w:rsidR="6BBED499" w:rsidP="272350BB" w:rsidRDefault="6BBED499" w14:paraId="44182367" w14:textId="5D26A58B">
      <w:pPr>
        <w:pStyle w:val="Normal"/>
        <w:spacing w:line="360" w:lineRule="auto"/>
        <w:jc w:val="both"/>
        <w:rPr>
          <w:noProof w:val="0"/>
          <w:sz w:val="22"/>
          <w:szCs w:val="22"/>
          <w:lang w:val="en-GB"/>
        </w:rPr>
      </w:pPr>
      <w:r w:rsidRPr="272350BB" w:rsidR="6BBED499">
        <w:rPr>
          <w:noProof w:val="0"/>
          <w:sz w:val="22"/>
          <w:szCs w:val="22"/>
          <w:lang w:val="en-GB"/>
        </w:rPr>
        <w:t xml:space="preserve"> </w:t>
      </w:r>
    </w:p>
    <w:p w:rsidR="7C73E32F" w:rsidP="272350BB" w:rsidRDefault="7C73E32F" w14:paraId="30FC1202" w14:textId="6C29A378">
      <w:pPr>
        <w:pStyle w:val="Normal"/>
        <w:spacing w:line="360" w:lineRule="auto"/>
        <w:jc w:val="both"/>
        <w:rPr>
          <w:noProof w:val="0"/>
          <w:sz w:val="22"/>
          <w:szCs w:val="22"/>
          <w:lang w:val="en-GB"/>
        </w:rPr>
      </w:pPr>
      <w:r w:rsidRPr="272350BB" w:rsidR="7C73E32F">
        <w:rPr>
          <w:noProof w:val="0"/>
          <w:sz w:val="22"/>
          <w:szCs w:val="22"/>
          <w:lang w:val="en-GB"/>
        </w:rPr>
        <w:t xml:space="preserve">21. </w:t>
      </w:r>
      <w:r w:rsidRPr="272350BB" w:rsidR="6BBED499">
        <w:rPr>
          <w:noProof w:val="0"/>
          <w:sz w:val="22"/>
          <w:szCs w:val="22"/>
          <w:lang w:val="en-GB"/>
        </w:rPr>
        <w:t xml:space="preserve">Min, S.H., Song, D.K., Lee, C.H., Roh, E. and Kim, M.-S. (2024) ‘Hypothalamic AMP-activated protein kinase as a whole-body energy sensor and regulator’, Endocrinology and Metabolism, 39(1), pp. 1–11. </w:t>
      </w:r>
    </w:p>
    <w:p w:rsidR="6BBED499" w:rsidP="272350BB" w:rsidRDefault="6BBED499" w14:paraId="71B077ED" w14:textId="2642C672">
      <w:pPr>
        <w:pStyle w:val="Normal"/>
        <w:spacing w:line="360" w:lineRule="auto"/>
        <w:jc w:val="both"/>
        <w:rPr>
          <w:noProof w:val="0"/>
          <w:sz w:val="22"/>
          <w:szCs w:val="22"/>
          <w:lang w:val="en-GB"/>
        </w:rPr>
      </w:pPr>
      <w:r w:rsidRPr="272350BB" w:rsidR="6BBED499">
        <w:rPr>
          <w:noProof w:val="0"/>
          <w:sz w:val="22"/>
          <w:szCs w:val="22"/>
          <w:lang w:val="en-GB"/>
        </w:rPr>
        <w:t xml:space="preserve"> </w:t>
      </w:r>
    </w:p>
    <w:p w:rsidR="778E4050" w:rsidP="272350BB" w:rsidRDefault="778E4050" w14:paraId="25D17A99" w14:textId="13A3F9BE">
      <w:pPr>
        <w:pStyle w:val="Normal"/>
        <w:spacing w:line="360" w:lineRule="auto"/>
        <w:jc w:val="both"/>
        <w:rPr>
          <w:noProof w:val="0"/>
          <w:sz w:val="22"/>
          <w:szCs w:val="22"/>
          <w:lang w:val="en-GB"/>
        </w:rPr>
      </w:pPr>
      <w:r w:rsidRPr="272350BB" w:rsidR="778E4050">
        <w:rPr>
          <w:noProof w:val="0"/>
          <w:sz w:val="22"/>
          <w:szCs w:val="22"/>
          <w:lang w:val="en-GB"/>
        </w:rPr>
        <w:t xml:space="preserve">22. </w:t>
      </w:r>
      <w:r w:rsidRPr="272350BB" w:rsidR="6BBED499">
        <w:rPr>
          <w:noProof w:val="0"/>
          <w:sz w:val="22"/>
          <w:szCs w:val="22"/>
          <w:lang w:val="en-GB"/>
        </w:rPr>
        <w:t xml:space="preserve">Ong, K.L., Stafford, L.K., McLaughlin, S.A., Boyko, E.J., Emil, V.S., Smith, A.E., Dalton, B.E., Duprey, J., Cruz, J.A. and Hagins, H. (2023) ‘Global, regional, and national burden of diabetes from 1990 to 2021’, The Lancet, 402(10397), pp. 203–234. </w:t>
      </w:r>
    </w:p>
    <w:p w:rsidR="272350BB" w:rsidP="272350BB" w:rsidRDefault="272350BB" w14:paraId="4188C3CB" w14:textId="07864E57">
      <w:pPr>
        <w:pStyle w:val="Normal"/>
        <w:spacing w:line="360" w:lineRule="auto"/>
        <w:jc w:val="both"/>
        <w:rPr>
          <w:noProof w:val="0"/>
          <w:sz w:val="22"/>
          <w:szCs w:val="22"/>
          <w:lang w:val="en-GB"/>
        </w:rPr>
      </w:pPr>
    </w:p>
    <w:p w:rsidR="5CB428BA" w:rsidP="272350BB" w:rsidRDefault="5CB428BA" w14:paraId="1AA86BD3" w14:textId="0C793D2B">
      <w:pPr>
        <w:pStyle w:val="Normal"/>
        <w:spacing w:line="360" w:lineRule="auto"/>
        <w:jc w:val="both"/>
        <w:rPr>
          <w:noProof w:val="0"/>
          <w:sz w:val="22"/>
          <w:szCs w:val="22"/>
          <w:lang w:val="en-GB"/>
        </w:rPr>
      </w:pPr>
      <w:r w:rsidRPr="272350BB" w:rsidR="5CB428BA">
        <w:rPr>
          <w:noProof w:val="0"/>
          <w:sz w:val="22"/>
          <w:szCs w:val="22"/>
          <w:lang w:val="en-GB"/>
        </w:rPr>
        <w:t xml:space="preserve">23. </w:t>
      </w:r>
      <w:r w:rsidRPr="272350BB" w:rsidR="6BBED499">
        <w:rPr>
          <w:noProof w:val="0"/>
          <w:sz w:val="22"/>
          <w:szCs w:val="22"/>
          <w:lang w:val="en-GB"/>
        </w:rPr>
        <w:t xml:space="preserve">Ozkan, C., Said, Y., </w:t>
      </w:r>
      <w:r w:rsidRPr="272350BB" w:rsidR="6BBED499">
        <w:rPr>
          <w:noProof w:val="0"/>
          <w:sz w:val="22"/>
          <w:szCs w:val="22"/>
          <w:lang w:val="en-GB"/>
        </w:rPr>
        <w:t>Caccelli</w:t>
      </w:r>
      <w:r w:rsidRPr="272350BB" w:rsidR="6BBED499">
        <w:rPr>
          <w:noProof w:val="0"/>
          <w:sz w:val="22"/>
          <w:szCs w:val="22"/>
          <w:lang w:val="en-GB"/>
        </w:rPr>
        <w:t xml:space="preserve">, M., Demircan, B., Manea, Y., Debs, J., </w:t>
      </w:r>
      <w:r w:rsidRPr="272350BB" w:rsidR="6BBED499">
        <w:rPr>
          <w:noProof w:val="0"/>
          <w:sz w:val="22"/>
          <w:szCs w:val="22"/>
          <w:lang w:val="en-GB"/>
        </w:rPr>
        <w:t>Palsky</w:t>
      </w:r>
      <w:r w:rsidRPr="272350BB" w:rsidR="6BBED499">
        <w:rPr>
          <w:noProof w:val="0"/>
          <w:sz w:val="22"/>
          <w:szCs w:val="22"/>
          <w:lang w:val="en-GB"/>
        </w:rPr>
        <w:t xml:space="preserve">, C., Hashemi, A. and </w:t>
      </w:r>
      <w:r w:rsidRPr="272350BB" w:rsidR="6BBED499">
        <w:rPr>
          <w:noProof w:val="0"/>
          <w:sz w:val="22"/>
          <w:szCs w:val="22"/>
          <w:lang w:val="en-GB"/>
        </w:rPr>
        <w:t>Almarzooqi</w:t>
      </w:r>
      <w:r w:rsidRPr="272350BB" w:rsidR="6BBED499">
        <w:rPr>
          <w:noProof w:val="0"/>
          <w:sz w:val="22"/>
          <w:szCs w:val="22"/>
          <w:lang w:val="en-GB"/>
        </w:rPr>
        <w:t xml:space="preserve">, I. (2023) ‘A case report: Continuous glucose monitoring in conjunction with the </w:t>
      </w:r>
      <w:r w:rsidRPr="272350BB" w:rsidR="6BBED499">
        <w:rPr>
          <w:noProof w:val="0"/>
          <w:sz w:val="22"/>
          <w:szCs w:val="22"/>
          <w:lang w:val="en-GB"/>
        </w:rPr>
        <w:t>GluCare</w:t>
      </w:r>
      <w:r w:rsidRPr="272350BB" w:rsidR="6BBED499">
        <w:rPr>
          <w:noProof w:val="0"/>
          <w:sz w:val="22"/>
          <w:szCs w:val="22"/>
          <w:lang w:val="en-GB"/>
        </w:rPr>
        <w:t xml:space="preserve"> model’, Endocrine Abstracts. </w:t>
      </w:r>
    </w:p>
    <w:p w:rsidR="1BAD324E" w:rsidP="272350BB" w:rsidRDefault="1BAD324E" w14:paraId="2A94A8F5" w14:textId="3D50E030">
      <w:pPr>
        <w:pStyle w:val="Normal"/>
        <w:spacing w:line="360" w:lineRule="auto"/>
        <w:jc w:val="both"/>
        <w:rPr>
          <w:noProof w:val="0"/>
          <w:sz w:val="22"/>
          <w:szCs w:val="22"/>
          <w:lang w:val="en-GB"/>
        </w:rPr>
      </w:pPr>
      <w:r w:rsidRPr="272350BB" w:rsidR="1BAD324E">
        <w:rPr>
          <w:noProof w:val="0"/>
          <w:sz w:val="22"/>
          <w:szCs w:val="22"/>
          <w:lang w:val="en-GB"/>
        </w:rPr>
        <w:t xml:space="preserve">24. </w:t>
      </w:r>
      <w:r w:rsidRPr="272350BB" w:rsidR="6BBED499">
        <w:rPr>
          <w:noProof w:val="0"/>
          <w:sz w:val="22"/>
          <w:szCs w:val="22"/>
          <w:lang w:val="en-GB"/>
        </w:rPr>
        <w:t xml:space="preserve">Peate, I. (2021). FUNDAMENTALS OF APPLIED </w:t>
      </w:r>
      <w:r w:rsidRPr="272350BB" w:rsidR="09A51C5B">
        <w:rPr>
          <w:noProof w:val="0"/>
          <w:sz w:val="22"/>
          <w:szCs w:val="22"/>
          <w:lang w:val="en-GB"/>
        </w:rPr>
        <w:t>PATHOPHYSIOLOGY:</w:t>
      </w:r>
      <w:r w:rsidRPr="272350BB" w:rsidR="6BBED499">
        <w:rPr>
          <w:noProof w:val="0"/>
          <w:sz w:val="22"/>
          <w:szCs w:val="22"/>
          <w:lang w:val="en-GB"/>
        </w:rPr>
        <w:t xml:space="preserve"> an Essential Guide for Nursing and Healthcare Students. 4th ed. S.L.: Wiley-Blackwell. </w:t>
      </w:r>
    </w:p>
    <w:p w:rsidR="6BBED499" w:rsidP="272350BB" w:rsidRDefault="6BBED499" w14:paraId="04724DFD" w14:textId="163FD940">
      <w:pPr>
        <w:pStyle w:val="Normal"/>
        <w:spacing w:line="360" w:lineRule="auto"/>
        <w:jc w:val="both"/>
        <w:rPr>
          <w:noProof w:val="0"/>
          <w:sz w:val="22"/>
          <w:szCs w:val="22"/>
          <w:lang w:val="en-GB"/>
        </w:rPr>
      </w:pPr>
      <w:r w:rsidRPr="272350BB" w:rsidR="6BBED499">
        <w:rPr>
          <w:noProof w:val="0"/>
          <w:sz w:val="22"/>
          <w:szCs w:val="22"/>
          <w:lang w:val="en-GB"/>
        </w:rPr>
        <w:t xml:space="preserve"> </w:t>
      </w:r>
    </w:p>
    <w:p w:rsidR="6550BDB5" w:rsidP="272350BB" w:rsidRDefault="6550BDB5" w14:paraId="0864502E" w14:textId="5BC0AFCA">
      <w:pPr>
        <w:pStyle w:val="Normal"/>
        <w:spacing w:line="360" w:lineRule="auto"/>
        <w:jc w:val="both"/>
        <w:rPr>
          <w:noProof w:val="0"/>
          <w:sz w:val="22"/>
          <w:szCs w:val="22"/>
          <w:lang w:val="en-GB"/>
        </w:rPr>
      </w:pPr>
      <w:r w:rsidRPr="272350BB" w:rsidR="6550BDB5">
        <w:rPr>
          <w:noProof w:val="0"/>
          <w:sz w:val="22"/>
          <w:szCs w:val="22"/>
          <w:lang w:val="en-GB"/>
        </w:rPr>
        <w:t>25.</w:t>
      </w:r>
      <w:r w:rsidRPr="272350BB" w:rsidR="6BBED499">
        <w:rPr>
          <w:noProof w:val="0"/>
          <w:sz w:val="22"/>
          <w:szCs w:val="22"/>
          <w:lang w:val="en-GB"/>
        </w:rPr>
        <w:t xml:space="preserve"> </w:t>
      </w:r>
      <w:r w:rsidRPr="272350BB" w:rsidR="6BBED499">
        <w:rPr>
          <w:noProof w:val="0"/>
          <w:sz w:val="22"/>
          <w:szCs w:val="22"/>
          <w:lang w:val="en-GB"/>
        </w:rPr>
        <w:t xml:space="preserve">Vossen, C., Schmidt, P., Wunderlich, C.M., Mittenbühler, M.J., Tapken, C., Wienand, P., Mirabella, P.N., Cabot, L., Schumacher, A.-L., Folz-Donahue, K., </w:t>
      </w:r>
      <w:r w:rsidRPr="272350BB" w:rsidR="6BBED499">
        <w:rPr>
          <w:noProof w:val="0"/>
          <w:sz w:val="22"/>
          <w:szCs w:val="22"/>
          <w:lang w:val="en-GB"/>
        </w:rPr>
        <w:t>Kukat</w:t>
      </w:r>
      <w:r w:rsidRPr="272350BB" w:rsidR="6BBED499">
        <w:rPr>
          <w:noProof w:val="0"/>
          <w:sz w:val="22"/>
          <w:szCs w:val="22"/>
          <w:lang w:val="en-GB"/>
        </w:rPr>
        <w:t xml:space="preserve">, C., Voigt, I., Brüning, J.C., </w:t>
      </w:r>
      <w:r w:rsidRPr="272350BB" w:rsidR="6BBED499">
        <w:rPr>
          <w:noProof w:val="0"/>
          <w:sz w:val="22"/>
          <w:szCs w:val="22"/>
          <w:lang w:val="en-GB"/>
        </w:rPr>
        <w:t>Fenselau</w:t>
      </w:r>
      <w:r w:rsidRPr="272350BB" w:rsidR="6BBED499">
        <w:rPr>
          <w:noProof w:val="0"/>
          <w:sz w:val="22"/>
          <w:szCs w:val="22"/>
          <w:lang w:val="en-GB"/>
        </w:rPr>
        <w:t xml:space="preserve">, H. and Wunderlich, F.T. (2024) ‘An approach to </w:t>
      </w:r>
      <w:r w:rsidRPr="272350BB" w:rsidR="6BBED499">
        <w:rPr>
          <w:noProof w:val="0"/>
          <w:sz w:val="22"/>
          <w:szCs w:val="22"/>
          <w:lang w:val="en-GB"/>
        </w:rPr>
        <w:t>intersectionally</w:t>
      </w:r>
      <w:r w:rsidRPr="272350BB" w:rsidR="6BBED499">
        <w:rPr>
          <w:noProof w:val="0"/>
          <w:sz w:val="22"/>
          <w:szCs w:val="22"/>
          <w:lang w:val="en-GB"/>
        </w:rPr>
        <w:t xml:space="preserve"> target mature enteroendocrine cells in the small intestine of mice’, Cells, 13(1), p. 102. </w:t>
      </w:r>
    </w:p>
    <w:p w:rsidR="6BBED499" w:rsidP="272350BB" w:rsidRDefault="6BBED499" w14:paraId="0AC724C4" w14:textId="69B51222">
      <w:pPr>
        <w:pStyle w:val="Normal"/>
        <w:spacing w:line="360" w:lineRule="auto"/>
        <w:jc w:val="both"/>
        <w:rPr>
          <w:noProof w:val="0"/>
          <w:sz w:val="22"/>
          <w:szCs w:val="22"/>
          <w:lang w:val="en-GB"/>
        </w:rPr>
      </w:pPr>
      <w:r w:rsidRPr="272350BB" w:rsidR="6BBED499">
        <w:rPr>
          <w:noProof w:val="0"/>
          <w:sz w:val="22"/>
          <w:szCs w:val="22"/>
          <w:lang w:val="en-GB"/>
        </w:rPr>
        <w:t xml:space="preserve"> </w:t>
      </w:r>
    </w:p>
    <w:p w:rsidR="36BAACE2" w:rsidP="272350BB" w:rsidRDefault="36BAACE2" w14:paraId="6614FFD6" w14:textId="69B96651">
      <w:pPr>
        <w:pStyle w:val="Normal"/>
        <w:spacing w:line="360" w:lineRule="auto"/>
        <w:jc w:val="both"/>
        <w:rPr>
          <w:noProof w:val="0"/>
          <w:sz w:val="22"/>
          <w:szCs w:val="22"/>
          <w:lang w:val="en-GB"/>
        </w:rPr>
      </w:pPr>
      <w:r w:rsidRPr="272350BB" w:rsidR="36BAACE2">
        <w:rPr>
          <w:noProof w:val="0"/>
          <w:sz w:val="22"/>
          <w:szCs w:val="22"/>
          <w:lang w:val="en-GB"/>
        </w:rPr>
        <w:t xml:space="preserve">26. </w:t>
      </w:r>
      <w:r w:rsidRPr="272350BB" w:rsidR="6BBED499">
        <w:rPr>
          <w:noProof w:val="0"/>
          <w:sz w:val="22"/>
          <w:szCs w:val="22"/>
          <w:lang w:val="en-GB"/>
        </w:rPr>
        <w:t>Yameny</w:t>
      </w:r>
      <w:r w:rsidRPr="272350BB" w:rsidR="6BBED499">
        <w:rPr>
          <w:noProof w:val="0"/>
          <w:sz w:val="22"/>
          <w:szCs w:val="22"/>
          <w:lang w:val="en-GB"/>
        </w:rPr>
        <w:t xml:space="preserve">, A.A. (2024) ‘Diabetes mellitus overview 2024’, Journal of Bioscience and Applied Research, 10(3), pp. 641–645. </w:t>
      </w:r>
    </w:p>
    <w:p w:rsidR="6BBED499" w:rsidP="272350BB" w:rsidRDefault="6BBED499" w14:paraId="5A6E59B0" w14:textId="70AACFB8">
      <w:pPr>
        <w:pStyle w:val="Normal"/>
        <w:spacing w:line="360" w:lineRule="auto"/>
        <w:jc w:val="both"/>
        <w:rPr>
          <w:noProof w:val="0"/>
          <w:sz w:val="22"/>
          <w:szCs w:val="22"/>
          <w:lang w:val="en-GB"/>
        </w:rPr>
      </w:pPr>
      <w:r w:rsidRPr="272350BB" w:rsidR="6BBED499">
        <w:rPr>
          <w:noProof w:val="0"/>
          <w:sz w:val="22"/>
          <w:szCs w:val="22"/>
          <w:lang w:val="en-GB"/>
        </w:rPr>
        <w:t xml:space="preserve"> </w:t>
      </w:r>
    </w:p>
    <w:p w:rsidR="58C98A29" w:rsidP="272350BB" w:rsidRDefault="58C98A29" w14:paraId="46D9B29E" w14:textId="191A080C">
      <w:pPr>
        <w:pStyle w:val="Normal"/>
        <w:spacing w:line="360" w:lineRule="auto"/>
        <w:jc w:val="both"/>
        <w:rPr>
          <w:noProof w:val="0"/>
          <w:sz w:val="22"/>
          <w:szCs w:val="22"/>
          <w:lang w:val="en-GB"/>
        </w:rPr>
      </w:pPr>
      <w:r w:rsidRPr="272350BB" w:rsidR="58C98A29">
        <w:rPr>
          <w:noProof w:val="0"/>
          <w:sz w:val="22"/>
          <w:szCs w:val="22"/>
          <w:lang w:val="en-GB"/>
        </w:rPr>
        <w:t xml:space="preserve">27. </w:t>
      </w:r>
      <w:r w:rsidRPr="272350BB" w:rsidR="6BBED499">
        <w:rPr>
          <w:noProof w:val="0"/>
          <w:sz w:val="22"/>
          <w:szCs w:val="22"/>
          <w:lang w:val="en-GB"/>
        </w:rPr>
        <w:t xml:space="preserve">Yang, E., Jiang, R., Xu, Y., Liang, J., Yang, Y., Yu, L., Wang, </w:t>
      </w:r>
      <w:r w:rsidRPr="272350BB" w:rsidR="6BBED499">
        <w:rPr>
          <w:noProof w:val="0"/>
          <w:sz w:val="22"/>
          <w:szCs w:val="22"/>
          <w:lang w:val="en-GB"/>
        </w:rPr>
        <w:t>P.</w:t>
      </w:r>
      <w:r w:rsidRPr="272350BB" w:rsidR="6BBED499">
        <w:rPr>
          <w:noProof w:val="0"/>
          <w:sz w:val="22"/>
          <w:szCs w:val="22"/>
          <w:lang w:val="en-GB"/>
        </w:rPr>
        <w:t xml:space="preserve"> and Wang, X. (2025) ‘Real-time measurement of a single living cell energy metabolism’, Sensors and Actuators B: Chemical, 431, p. 137420. </w:t>
      </w:r>
    </w:p>
    <w:p w:rsidR="6BBED499" w:rsidP="272350BB" w:rsidRDefault="6BBED499" w14:paraId="3A52CA50" w14:textId="6CBAB38E">
      <w:pPr>
        <w:pStyle w:val="Normal"/>
        <w:spacing w:line="360" w:lineRule="auto"/>
        <w:jc w:val="both"/>
        <w:rPr>
          <w:noProof w:val="0"/>
          <w:sz w:val="22"/>
          <w:szCs w:val="22"/>
          <w:lang w:val="en-GB"/>
        </w:rPr>
      </w:pPr>
      <w:r w:rsidRPr="272350BB" w:rsidR="6BBED499">
        <w:rPr>
          <w:noProof w:val="0"/>
          <w:sz w:val="22"/>
          <w:szCs w:val="22"/>
          <w:lang w:val="en-GB"/>
        </w:rPr>
        <w:t xml:space="preserve"> </w:t>
      </w:r>
    </w:p>
    <w:p w:rsidR="26EEE5C8" w:rsidP="272350BB" w:rsidRDefault="26EEE5C8" w14:paraId="00238443" w14:textId="5581437B">
      <w:pPr>
        <w:pStyle w:val="Normal"/>
        <w:spacing w:line="360" w:lineRule="auto"/>
        <w:jc w:val="both"/>
        <w:rPr>
          <w:noProof w:val="0"/>
          <w:sz w:val="22"/>
          <w:szCs w:val="22"/>
          <w:lang w:val="en-GB"/>
        </w:rPr>
      </w:pPr>
      <w:r w:rsidRPr="272350BB" w:rsidR="26EEE5C8">
        <w:rPr>
          <w:noProof w:val="0"/>
          <w:sz w:val="22"/>
          <w:szCs w:val="22"/>
          <w:lang w:val="en-GB"/>
        </w:rPr>
        <w:t xml:space="preserve">28. </w:t>
      </w:r>
      <w:r w:rsidRPr="272350BB" w:rsidR="6BBED499">
        <w:rPr>
          <w:noProof w:val="0"/>
          <w:sz w:val="22"/>
          <w:szCs w:val="22"/>
          <w:lang w:val="en-GB"/>
        </w:rPr>
        <w:t xml:space="preserve">Zhang, Y., Lazzarini, P.A., McPhail, S.M., van Netten, J.J., Armstrong, D.G. and Pacella, R.E. (2020) ‘Global disability burdens of diabetes-related lower-extremity complications’, Diabetes Care, 43(5), pp. 964–974. </w:t>
      </w:r>
    </w:p>
    <w:p w:rsidR="26DEBF81" w:rsidP="272350BB" w:rsidRDefault="26DEBF81" w14:paraId="6F381F95" w14:textId="3482FB1C">
      <w:pPr>
        <w:pStyle w:val="Normal"/>
        <w:spacing w:line="360" w:lineRule="auto"/>
        <w:jc w:val="both"/>
        <w:rPr>
          <w:noProof w:val="0"/>
          <w:sz w:val="22"/>
          <w:szCs w:val="22"/>
          <w:lang w:val="en-GB"/>
        </w:rPr>
      </w:pPr>
      <w:r w:rsidRPr="272350BB" w:rsidR="26DEBF81">
        <w:rPr>
          <w:noProof w:val="0"/>
          <w:sz w:val="22"/>
          <w:szCs w:val="22"/>
          <w:lang w:val="en-GB"/>
        </w:rPr>
        <w:t xml:space="preserve">29. </w:t>
      </w:r>
      <w:r w:rsidRPr="272350BB" w:rsidR="6BBED499">
        <w:rPr>
          <w:noProof w:val="0"/>
          <w:sz w:val="22"/>
          <w:szCs w:val="22"/>
          <w:lang w:val="en-GB"/>
        </w:rPr>
        <w:t xml:space="preserve"> </w:t>
      </w:r>
      <w:r w:rsidRPr="272350BB" w:rsidR="6BBED499">
        <w:rPr>
          <w:noProof w:val="0"/>
          <w:sz w:val="22"/>
          <w:szCs w:val="22"/>
          <w:lang w:val="en-GB"/>
        </w:rPr>
        <w:t>Zhang, Z., Wang, S., Sun,</w:t>
      </w:r>
      <w:r w:rsidRPr="272350BB" w:rsidR="6BBED499">
        <w:rPr>
          <w:noProof w:val="0"/>
          <w:sz w:val="22"/>
          <w:szCs w:val="22"/>
          <w:lang w:val="en-GB"/>
        </w:rPr>
        <w:t xml:space="preserve"> </w:t>
      </w:r>
      <w:r w:rsidRPr="272350BB" w:rsidR="6BBED499">
        <w:rPr>
          <w:noProof w:val="0"/>
          <w:sz w:val="22"/>
          <w:szCs w:val="22"/>
          <w:lang w:val="en-GB"/>
        </w:rPr>
        <w:t>G</w:t>
      </w:r>
      <w:r w:rsidRPr="272350BB" w:rsidR="6BBED499">
        <w:rPr>
          <w:noProof w:val="0"/>
          <w:sz w:val="22"/>
          <w:szCs w:val="22"/>
          <w:lang w:val="en-GB"/>
        </w:rPr>
        <w:t>.</w:t>
      </w:r>
      <w:r w:rsidRPr="272350BB" w:rsidR="6BBED499">
        <w:rPr>
          <w:noProof w:val="0"/>
          <w:sz w:val="22"/>
          <w:szCs w:val="22"/>
          <w:lang w:val="en-GB"/>
        </w:rPr>
        <w:t xml:space="preserve"> and Pan, D. (2025) ‘Intermittent fasting and probiotics for gut microbiota modulation in type 2 diabetes mellitus’, Nutrients, 18(1), p. 119. </w:t>
      </w:r>
      <w:r w:rsidRPr="272350BB" w:rsidR="6BBED499">
        <w:rPr>
          <w:noProof w:val="0"/>
          <w:sz w:val="22"/>
          <w:szCs w:val="22"/>
          <w:lang w:val="en-GB"/>
        </w:rPr>
        <w:t xml:space="preserve">Zhou, B., Rayner, A.W., Gregg, E.W., Sheffer, K.E., Carrillo-Larco, R.M., Bennett, J.E., Shaw, J.E., Paciorek, C.J., Singleton, R.K. and Pires, A.B. (2024) ‘Worldwide trends in diabetes prevalence and treatment from 1990 to 2022’, The Lancet, 404(10467), pp. 2077–2093. </w:t>
      </w:r>
    </w:p>
    <w:p w:rsidR="6BBED499" w:rsidP="272350BB" w:rsidRDefault="6BBED499" w14:paraId="53BB04A0" w14:textId="1D6E7355">
      <w:pPr>
        <w:pStyle w:val="Normal"/>
        <w:spacing w:line="360" w:lineRule="auto"/>
        <w:jc w:val="both"/>
        <w:rPr>
          <w:noProof w:val="0"/>
          <w:sz w:val="22"/>
          <w:szCs w:val="22"/>
          <w:lang w:val="en-GB"/>
        </w:rPr>
      </w:pPr>
      <w:r w:rsidRPr="272350BB" w:rsidR="6BBED499">
        <w:rPr>
          <w:noProof w:val="0"/>
          <w:sz w:val="22"/>
          <w:szCs w:val="22"/>
          <w:lang w:val="en-GB"/>
        </w:rPr>
        <w:t xml:space="preserve"> </w:t>
      </w:r>
    </w:p>
    <w:p w:rsidR="6BBED499" w:rsidP="272350BB" w:rsidRDefault="6BBED499" w14:paraId="5D235F16" w14:textId="5CA1539F">
      <w:pPr>
        <w:pStyle w:val="Normal"/>
        <w:spacing w:line="360" w:lineRule="auto"/>
        <w:jc w:val="both"/>
        <w:rPr>
          <w:noProof w:val="0"/>
          <w:sz w:val="22"/>
          <w:szCs w:val="22"/>
          <w:lang w:val="en-GB"/>
        </w:rPr>
      </w:pPr>
      <w:r w:rsidRPr="272350BB" w:rsidR="6BBED499">
        <w:rPr>
          <w:noProof w:val="0"/>
          <w:sz w:val="22"/>
          <w:szCs w:val="22"/>
          <w:lang w:val="en-GB"/>
        </w:rPr>
        <w:t xml:space="preserve"> </w:t>
      </w:r>
    </w:p>
    <w:p w:rsidR="6BBED499" w:rsidP="272350BB" w:rsidRDefault="6BBED499" w14:paraId="72EC84F2" w14:textId="6D9D47EB">
      <w:pPr>
        <w:pStyle w:val="Normal"/>
        <w:spacing w:line="360" w:lineRule="auto"/>
        <w:jc w:val="both"/>
        <w:rPr>
          <w:noProof w:val="0"/>
          <w:sz w:val="22"/>
          <w:szCs w:val="22"/>
          <w:lang w:val="en-GB"/>
        </w:rPr>
      </w:pPr>
      <w:r w:rsidRPr="272350BB" w:rsidR="6BBED499">
        <w:rPr>
          <w:noProof w:val="0"/>
          <w:sz w:val="22"/>
          <w:szCs w:val="22"/>
          <w:lang w:val="en-GB"/>
        </w:rPr>
        <w:t xml:space="preserve"> </w:t>
      </w:r>
    </w:p>
    <w:p w:rsidR="6BBED499" w:rsidP="272350BB" w:rsidRDefault="6BBED499" w14:paraId="308F1E99" w14:textId="0E830D72">
      <w:pPr>
        <w:pStyle w:val="Normal"/>
        <w:spacing w:line="360" w:lineRule="auto"/>
        <w:jc w:val="both"/>
        <w:rPr>
          <w:noProof w:val="0"/>
          <w:sz w:val="22"/>
          <w:szCs w:val="22"/>
          <w:lang w:val="en-GB"/>
        </w:rPr>
      </w:pPr>
      <w:r w:rsidRPr="272350BB" w:rsidR="6BBED499">
        <w:rPr>
          <w:noProof w:val="0"/>
          <w:sz w:val="22"/>
          <w:szCs w:val="22"/>
          <w:lang w:val="en-GB"/>
        </w:rPr>
        <w:t xml:space="preserve"> </w:t>
      </w:r>
    </w:p>
    <w:p w:rsidR="6BBED499" w:rsidP="272350BB" w:rsidRDefault="6BBED499" w14:paraId="0713DC2C" w14:textId="5693D76A">
      <w:pPr>
        <w:pStyle w:val="Normal"/>
        <w:spacing w:line="360" w:lineRule="auto"/>
        <w:jc w:val="both"/>
        <w:rPr>
          <w:noProof w:val="0"/>
          <w:sz w:val="22"/>
          <w:szCs w:val="22"/>
          <w:lang w:val="en-GB"/>
        </w:rPr>
      </w:pPr>
      <w:r w:rsidRPr="272350BB" w:rsidR="6BBED499">
        <w:rPr>
          <w:noProof w:val="0"/>
          <w:sz w:val="22"/>
          <w:szCs w:val="22"/>
          <w:lang w:val="en-GB"/>
        </w:rPr>
        <w:t xml:space="preserve"> </w:t>
      </w:r>
    </w:p>
    <w:p w:rsidR="6BBED499" w:rsidP="272350BB" w:rsidRDefault="6BBED499" w14:paraId="03540056" w14:textId="39FD5212">
      <w:pPr>
        <w:pStyle w:val="Normal"/>
        <w:spacing w:line="360" w:lineRule="auto"/>
        <w:jc w:val="both"/>
        <w:rPr>
          <w:noProof w:val="0"/>
          <w:sz w:val="22"/>
          <w:szCs w:val="22"/>
          <w:lang w:val="en-GB"/>
        </w:rPr>
      </w:pPr>
      <w:r w:rsidRPr="272350BB" w:rsidR="6BBED499">
        <w:rPr>
          <w:noProof w:val="0"/>
          <w:sz w:val="22"/>
          <w:szCs w:val="22"/>
          <w:lang w:val="en-GB"/>
        </w:rPr>
        <w:t xml:space="preserve"> </w:t>
      </w:r>
    </w:p>
    <w:p w:rsidR="6BBED499" w:rsidP="272350BB" w:rsidRDefault="6BBED499" w14:paraId="6FD81017" w14:textId="7652D7D1">
      <w:pPr>
        <w:pStyle w:val="Normal"/>
        <w:spacing w:line="360" w:lineRule="auto"/>
        <w:jc w:val="both"/>
        <w:rPr>
          <w:noProof w:val="0"/>
          <w:sz w:val="22"/>
          <w:szCs w:val="22"/>
          <w:lang w:val="en-GB"/>
        </w:rPr>
      </w:pPr>
      <w:r w:rsidRPr="272350BB" w:rsidR="6BBED499">
        <w:rPr>
          <w:noProof w:val="0"/>
          <w:sz w:val="22"/>
          <w:szCs w:val="22"/>
          <w:lang w:val="en-GB"/>
        </w:rPr>
        <w:t xml:space="preserve"> </w:t>
      </w:r>
    </w:p>
    <w:p w:rsidR="6BBED499" w:rsidP="272350BB" w:rsidRDefault="6BBED499" w14:paraId="4FA650CF" w14:textId="5650C137">
      <w:pPr>
        <w:pStyle w:val="Normal"/>
        <w:spacing w:line="360" w:lineRule="auto"/>
        <w:jc w:val="both"/>
        <w:rPr>
          <w:noProof w:val="0"/>
          <w:sz w:val="22"/>
          <w:szCs w:val="22"/>
          <w:lang w:val="en-GB"/>
        </w:rPr>
      </w:pPr>
      <w:r w:rsidRPr="272350BB" w:rsidR="6BBED499">
        <w:rPr>
          <w:noProof w:val="0"/>
          <w:sz w:val="22"/>
          <w:szCs w:val="22"/>
          <w:lang w:val="en-GB"/>
        </w:rPr>
        <w:t xml:space="preserve"> </w:t>
      </w:r>
    </w:p>
    <w:p w:rsidR="272350BB" w:rsidP="272350BB" w:rsidRDefault="272350BB" w14:paraId="35AEDC0C" w14:textId="0FF7FAAE">
      <w:pPr>
        <w:pStyle w:val="Normal"/>
        <w:spacing w:line="360" w:lineRule="auto"/>
        <w:jc w:val="both"/>
        <w:rPr>
          <w:noProof w:val="0"/>
          <w:sz w:val="22"/>
          <w:szCs w:val="22"/>
          <w:lang w:val="en-GB"/>
        </w:rPr>
      </w:pPr>
    </w:p>
    <w:p w:rsidR="272350BB" w:rsidP="272350BB" w:rsidRDefault="272350BB" w14:paraId="169ED8A3" w14:textId="3B9A2D6B">
      <w:pPr>
        <w:pStyle w:val="Normal"/>
        <w:spacing w:line="360" w:lineRule="auto"/>
        <w:jc w:val="both"/>
        <w:rPr>
          <w:noProof w:val="0"/>
          <w:lang w:val="en-GB"/>
        </w:rPr>
      </w:pPr>
    </w:p>
    <w:p xmlns:wp14="http://schemas.microsoft.com/office/word/2010/wordml" w:rsidP="272350BB" wp14:paraId="45E3E2D5" wp14:textId="2526BEAC">
      <w:pPr>
        <w:pStyle w:val="Normal"/>
        <w:spacing w:line="360" w:lineRule="auto"/>
        <w:jc w:val="both"/>
      </w:pPr>
    </w:p>
    <w:p w:rsidR="03797E3B" w:rsidP="272350BB" w:rsidRDefault="03797E3B" w14:paraId="33C0E78D" w14:textId="0A639A68">
      <w:pPr>
        <w:pStyle w:val="Normal"/>
        <w:spacing w:line="360" w:lineRule="auto"/>
        <w:jc w:val="both"/>
      </w:pPr>
    </w:p>
    <w:p w:rsidR="03797E3B" w:rsidP="272350BB" w:rsidRDefault="03797E3B" w14:paraId="2A1CA034" w14:textId="37ACD012">
      <w:pPr>
        <w:pStyle w:val="Normal"/>
        <w:spacing w:line="360" w:lineRule="auto"/>
        <w:jc w:val="both"/>
      </w:pPr>
    </w:p>
    <w:p w:rsidR="272350BB" w:rsidP="272350BB" w:rsidRDefault="272350BB" w14:paraId="6C32D7F2" w14:textId="19A55593">
      <w:pPr>
        <w:pStyle w:val="Normal"/>
        <w:spacing w:line="360" w:lineRule="auto"/>
      </w:pPr>
    </w:p>
    <w:sectPr>
      <w:pgSz w:w="11906" w:h="16838" w:orient="portrait"/>
      <w:pgMar w:top="1440" w:right="1440" w:bottom="1440" w:left="1440" w:header="720" w:footer="720" w:gutter="0"/>
      <w:cols w:space="720"/>
      <w:docGrid w:linePitch="360"/>
      <w:headerReference w:type="default" r:id="R4d670d7256be44c6"/>
      <w:footerReference w:type="default" r:id="R2ebd630fd476499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31E488" w:rsidTr="4031E488" w14:paraId="5FCA4656">
      <w:trPr>
        <w:trHeight w:val="300"/>
      </w:trPr>
      <w:tc>
        <w:tcPr>
          <w:tcW w:w="3005" w:type="dxa"/>
          <w:tcMar/>
        </w:tcPr>
        <w:p w:rsidR="4031E488" w:rsidP="4031E488" w:rsidRDefault="4031E488" w14:paraId="537F2D97" w14:textId="445CC721">
          <w:pPr>
            <w:pStyle w:val="Header"/>
            <w:bidi w:val="0"/>
            <w:ind w:left="-115"/>
            <w:jc w:val="left"/>
          </w:pPr>
        </w:p>
      </w:tc>
      <w:tc>
        <w:tcPr>
          <w:tcW w:w="3005" w:type="dxa"/>
          <w:tcMar/>
        </w:tcPr>
        <w:p w:rsidR="4031E488" w:rsidP="4031E488" w:rsidRDefault="4031E488" w14:paraId="7D80DC33" w14:textId="3F02334C">
          <w:pPr>
            <w:pStyle w:val="Header"/>
            <w:bidi w:val="0"/>
            <w:jc w:val="center"/>
          </w:pPr>
        </w:p>
      </w:tc>
      <w:tc>
        <w:tcPr>
          <w:tcW w:w="3005" w:type="dxa"/>
          <w:tcMar/>
        </w:tcPr>
        <w:p w:rsidR="4031E488" w:rsidP="4031E488" w:rsidRDefault="4031E488" w14:paraId="67038432" w14:textId="11E05990">
          <w:pPr>
            <w:pStyle w:val="Header"/>
            <w:bidi w:val="0"/>
            <w:ind w:right="-115"/>
            <w:jc w:val="right"/>
          </w:pPr>
        </w:p>
      </w:tc>
    </w:tr>
  </w:tbl>
  <w:p w:rsidR="4031E488" w:rsidP="4031E488" w:rsidRDefault="4031E488" w14:paraId="751E7834" w14:textId="73BA144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31E488" w:rsidTr="4031E488" w14:paraId="545514F4">
      <w:trPr>
        <w:trHeight w:val="300"/>
      </w:trPr>
      <w:tc>
        <w:tcPr>
          <w:tcW w:w="3005" w:type="dxa"/>
          <w:tcMar/>
        </w:tcPr>
        <w:p w:rsidR="4031E488" w:rsidP="4031E488" w:rsidRDefault="4031E488" w14:paraId="7E75B7AB" w14:textId="3CB2DAC4">
          <w:pPr>
            <w:pStyle w:val="Header"/>
            <w:bidi w:val="0"/>
            <w:ind w:left="-115"/>
            <w:jc w:val="left"/>
          </w:pPr>
        </w:p>
      </w:tc>
      <w:tc>
        <w:tcPr>
          <w:tcW w:w="3005" w:type="dxa"/>
          <w:tcMar/>
        </w:tcPr>
        <w:p w:rsidR="4031E488" w:rsidP="4031E488" w:rsidRDefault="4031E488" w14:paraId="69C4B667" w14:textId="261D7A2B">
          <w:pPr>
            <w:pStyle w:val="Header"/>
            <w:bidi w:val="0"/>
            <w:jc w:val="center"/>
          </w:pPr>
        </w:p>
      </w:tc>
      <w:tc>
        <w:tcPr>
          <w:tcW w:w="3005" w:type="dxa"/>
          <w:tcMar/>
        </w:tcPr>
        <w:p w:rsidR="4031E488" w:rsidP="4031E488" w:rsidRDefault="4031E488" w14:paraId="2F27B09B" w14:textId="22D2E11E">
          <w:pPr>
            <w:pStyle w:val="Header"/>
            <w:bidi w:val="0"/>
            <w:ind w:right="-115"/>
            <w:jc w:val="right"/>
          </w:pPr>
        </w:p>
      </w:tc>
    </w:tr>
  </w:tbl>
  <w:p w:rsidR="4031E488" w:rsidP="4031E488" w:rsidRDefault="4031E488" w14:paraId="7864AF58" w14:textId="7C47EC8A">
    <w:pPr>
      <w:pStyle w:val="Header"/>
      <w:bidi w:val="0"/>
    </w:pPr>
  </w:p>
</w:hdr>
</file>

<file path=word/intelligence2.xml><?xml version="1.0" encoding="utf-8"?>
<int2:intelligence xmlns:int2="http://schemas.microsoft.com/office/intelligence/2020/intelligence">
  <int2:observations>
    <int2:textHash int2:hashCode="55x5aRM1CJbkFC" int2:id="OAlWKrx9">
      <int2:state int2:type="spell" int2:value="Rejected"/>
    </int2:textHash>
    <int2:textHash int2:hashCode="mZp3ibvHHOinNH" int2:id="hl9NASuh">
      <int2:state int2:type="spell" int2:value="Rejected"/>
    </int2:textHash>
    <int2:textHash int2:hashCode="BCRcWhdSi6s23/" int2:id="8AJaamas">
      <int2:state int2:type="spell" int2:value="Rejected"/>
    </int2:textHash>
    <int2:textHash int2:hashCode="TnQuOb4GtAeu01" int2:id="uDJhbeE1">
      <int2:state int2:type="spell" int2:value="Rejected"/>
    </int2:textHash>
    <int2:textHash int2:hashCode="M+Q8+98LJZMQu6" int2:id="5MtugIln">
      <int2:state int2:type="spell" int2:value="Rejected"/>
    </int2:textHash>
    <int2:textHash int2:hashCode="nUfxQfiEN5etka" int2:id="ItZBGRYD">
      <int2:state int2:type="spell" int2:value="Rejected"/>
    </int2:textHash>
    <int2:textHash int2:hashCode="WlZWD3+Ef5cuEI" int2:id="TkKYXb85">
      <int2:state int2:type="spell" int2:value="Rejected"/>
    </int2:textHash>
    <int2:textHash int2:hashCode="9+/khT5Lp//50Q" int2:id="R3u1Apz8">
      <int2:state int2:type="spell" int2:value="Rejected"/>
    </int2:textHash>
    <int2:textHash int2:hashCode="kplm3FyZnUNKgS" int2:id="1vpNOvHm">
      <int2:state int2:type="spell" int2:value="Rejected"/>
    </int2:textHash>
    <int2:textHash int2:hashCode="iYeMeXeYs4F3ey" int2:id="GMiQ6ihz">
      <int2:state int2:type="spell" int2:value="Rejected"/>
    </int2:textHash>
    <int2:textHash int2:hashCode="YNOR8okAoyAilE" int2:id="ctAFn6zF">
      <int2:state int2:type="spell" int2:value="Rejected"/>
    </int2:textHash>
    <int2:textHash int2:hashCode="csqZTgOLYzIQw0" int2:id="b8ex7SAj">
      <int2:state int2:type="spell" int2:value="Rejected"/>
    </int2:textHash>
    <int2:textHash int2:hashCode="wpsqL4NW5V81Sp" int2:id="BbSJjHFv">
      <int2:state int2:type="spell" int2:value="Rejected"/>
    </int2:textHash>
    <int2:textHash int2:hashCode="dNhFiyjGAMBp12" int2:id="iHQZouAi">
      <int2:state int2:type="spell" int2:value="Rejected"/>
    </int2:textHash>
    <int2:textHash int2:hashCode="bJXRbNH/6FcN63" int2:id="o2HFMj63">
      <int2:state int2:type="spell" int2:value="Rejected"/>
    </int2:textHash>
    <int2:textHash int2:hashCode="HIrEnbGcZQHgTr" int2:id="uiiJ2snj">
      <int2:state int2:type="spell" int2:value="Rejected"/>
    </int2:textHash>
    <int2:textHash int2:hashCode="hJQn2qI4Wcb+2p" int2:id="dtJsrWPc">
      <int2:state int2:type="spell" int2:value="Rejected"/>
    </int2:textHash>
    <int2:textHash int2:hashCode="pgJXtXgQY9gSKe" int2:id="UnB9V8Cv">
      <int2:state int2:type="spell" int2:value="Rejected"/>
    </int2:textHash>
    <int2:textHash int2:hashCode="zxJ6nv4EIYV9Yx" int2:id="eMYqnnbp">
      <int2:state int2:type="spell" int2:value="Rejected"/>
    </int2:textHash>
    <int2:textHash int2:hashCode="2STmu+W4dDeN/z" int2:id="0cawZgUZ">
      <int2:state int2:type="spell" int2:value="Rejected"/>
    </int2:textHash>
    <int2:textHash int2:hashCode="rAZXO/DhA2CWoc" int2:id="ttTbYgCd">
      <int2:state int2:type="spell" int2:value="Rejected"/>
    </int2:textHash>
    <int2:textHash int2:hashCode="bKvEmiVOeXC1SP" int2:id="fVAJUFaX">
      <int2:state int2:type="spell" int2:value="Rejected"/>
    </int2:textHash>
    <int2:textHash int2:hashCode="oNwJlNfXqVO/7I" int2:id="yanxdpuH">
      <int2:state int2:type="spell" int2:value="Rejected"/>
    </int2:textHash>
    <int2:textHash int2:hashCode="wWH+vk+oIgnNXO" int2:id="uKOsoiaj">
      <int2:state int2:type="spell" int2:value="Rejected"/>
    </int2:textHash>
    <int2:textHash int2:hashCode="bk7tzHIgf+2hoI" int2:id="SN3uzc8b">
      <int2:state int2:type="spell" int2:value="Rejected"/>
    </int2:textHash>
    <int2:textHash int2:hashCode="YjMP+fA71tavus" int2:id="E0iiPXBx">
      <int2:state int2:type="spell" int2:value="Rejected"/>
    </int2:textHash>
    <int2:textHash int2:hashCode="5x8nFWv6P9tUI6" int2:id="DObi71sD">
      <int2:state int2:type="spell" int2:value="Rejected"/>
    </int2:textHash>
    <int2:textHash int2:hashCode="6Q7NCNZlk+vtqe" int2:id="SiCAYjZ8">
      <int2:state int2:type="spell" int2:value="Rejected"/>
    </int2:textHash>
    <int2:textHash int2:hashCode="uL6VKoKHvKW4Yb" int2:id="rWprdIvh">
      <int2:state int2:type="spell" int2:value="Rejected"/>
    </int2:textHash>
    <int2:textHash int2:hashCode="La9ywrHn1iIfTr" int2:id="m72fsoxH">
      <int2:state int2:type="spell" int2:value="Rejected"/>
    </int2:textHash>
    <int2:textHash int2:hashCode="glvSx8KpklU4Jb" int2:id="6DS5bZKl">
      <int2:state int2:type="spell" int2:value="Rejected"/>
    </int2:textHash>
    <int2:textHash int2:hashCode="/qahIB3vi9a7wi" int2:id="UadgnToo">
      <int2:state int2:type="spell" int2:value="Rejected"/>
    </int2:textHash>
    <int2:textHash int2:hashCode="IE0qJQBeX6uvKM" int2:id="yI0fRZyl">
      <int2:state int2:type="spell" int2:value="Rejected"/>
    </int2:textHash>
    <int2:textHash int2:hashCode="K6Qs3X+RgIaQzr" int2:id="ZWP0ZEXx">
      <int2:state int2:type="spell" int2:value="Rejected"/>
    </int2:textHash>
    <int2:textHash int2:hashCode="HEePHnyyRxH2z+" int2:id="nxNCSMIX">
      <int2:state int2:type="spell" int2:value="Rejected"/>
    </int2:textHash>
    <int2:textHash int2:hashCode="WGSMwD8htwEZr0" int2:id="6kFLrtX1">
      <int2:state int2:type="spell" int2:value="Rejected"/>
    </int2:textHash>
    <int2:textHash int2:hashCode="j1PjqegOOzhtaZ" int2:id="V9xkgLbW">
      <int2:state int2:type="spell" int2:value="Rejected"/>
    </int2:textHash>
    <int2:textHash int2:hashCode="Es6ST/ioHhI1/D" int2:id="Iyw7WzM5">
      <int2:state int2:type="spell" int2:value="Rejected"/>
    </int2:textHash>
    <int2:textHash int2:hashCode="Q2n9oX/j3T4hOF" int2:id="b79517c4">
      <int2:state int2:type="spell" int2:value="Rejected"/>
    </int2:textHash>
    <int2:textHash int2:hashCode="M6Yc6QMec7uiuZ" int2:id="6tQYSqcP">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58f65b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f8038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bc99f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5007b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90706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37baa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c718e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8502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cbb83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c550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6274a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9069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a2d89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a19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0aeb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7eb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d779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e451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C14340"/>
    <w:rsid w:val="000519CC"/>
    <w:rsid w:val="00057BE6"/>
    <w:rsid w:val="003CE322"/>
    <w:rsid w:val="00F2E06C"/>
    <w:rsid w:val="010D7174"/>
    <w:rsid w:val="014A5406"/>
    <w:rsid w:val="0166A331"/>
    <w:rsid w:val="018BA862"/>
    <w:rsid w:val="020A9005"/>
    <w:rsid w:val="033945D0"/>
    <w:rsid w:val="03723CA4"/>
    <w:rsid w:val="03797E3B"/>
    <w:rsid w:val="03A1996B"/>
    <w:rsid w:val="03D6DABF"/>
    <w:rsid w:val="03D9C045"/>
    <w:rsid w:val="041B2BF7"/>
    <w:rsid w:val="042F254F"/>
    <w:rsid w:val="045B6C2A"/>
    <w:rsid w:val="0486C45D"/>
    <w:rsid w:val="04ABE92C"/>
    <w:rsid w:val="04ADF0B4"/>
    <w:rsid w:val="04DF5E91"/>
    <w:rsid w:val="051A1284"/>
    <w:rsid w:val="06E8BFD0"/>
    <w:rsid w:val="07418185"/>
    <w:rsid w:val="074A02EA"/>
    <w:rsid w:val="074A44D2"/>
    <w:rsid w:val="078FA532"/>
    <w:rsid w:val="07A48B65"/>
    <w:rsid w:val="07FA4B09"/>
    <w:rsid w:val="08DD5B95"/>
    <w:rsid w:val="090B5C54"/>
    <w:rsid w:val="094225D8"/>
    <w:rsid w:val="09621179"/>
    <w:rsid w:val="098C7636"/>
    <w:rsid w:val="09A3C21E"/>
    <w:rsid w:val="09A51C5B"/>
    <w:rsid w:val="09A5DF3D"/>
    <w:rsid w:val="0A030D32"/>
    <w:rsid w:val="0A34547C"/>
    <w:rsid w:val="0A7BB648"/>
    <w:rsid w:val="0ABAD599"/>
    <w:rsid w:val="0AC0AC74"/>
    <w:rsid w:val="0B583D4F"/>
    <w:rsid w:val="0BA98840"/>
    <w:rsid w:val="0C31AD9C"/>
    <w:rsid w:val="0C839D59"/>
    <w:rsid w:val="0C8458B4"/>
    <w:rsid w:val="0C8CF5AA"/>
    <w:rsid w:val="0C96C27E"/>
    <w:rsid w:val="0CAE8C1D"/>
    <w:rsid w:val="0CB4DD2C"/>
    <w:rsid w:val="0CE7E6CC"/>
    <w:rsid w:val="0D2A8065"/>
    <w:rsid w:val="0D37F2DD"/>
    <w:rsid w:val="0D5E243C"/>
    <w:rsid w:val="0D91135C"/>
    <w:rsid w:val="0DEC818A"/>
    <w:rsid w:val="0DF21FE9"/>
    <w:rsid w:val="0DFA4AD8"/>
    <w:rsid w:val="0E7F4C00"/>
    <w:rsid w:val="0EED58F8"/>
    <w:rsid w:val="0F13531B"/>
    <w:rsid w:val="0F2ED677"/>
    <w:rsid w:val="0F961D85"/>
    <w:rsid w:val="0FD468E0"/>
    <w:rsid w:val="0FE34318"/>
    <w:rsid w:val="1030A3EB"/>
    <w:rsid w:val="10575A66"/>
    <w:rsid w:val="105FA5AB"/>
    <w:rsid w:val="10A529B5"/>
    <w:rsid w:val="10F1F78D"/>
    <w:rsid w:val="10FBFAC0"/>
    <w:rsid w:val="117C952F"/>
    <w:rsid w:val="118D6C25"/>
    <w:rsid w:val="11F7A9E2"/>
    <w:rsid w:val="1228AC34"/>
    <w:rsid w:val="129900D8"/>
    <w:rsid w:val="1308671C"/>
    <w:rsid w:val="130F4548"/>
    <w:rsid w:val="13169FE9"/>
    <w:rsid w:val="1380071D"/>
    <w:rsid w:val="13F5380A"/>
    <w:rsid w:val="147BD6A4"/>
    <w:rsid w:val="149F515A"/>
    <w:rsid w:val="14A1D943"/>
    <w:rsid w:val="151EE5F0"/>
    <w:rsid w:val="1527542A"/>
    <w:rsid w:val="15285A43"/>
    <w:rsid w:val="152AA1B1"/>
    <w:rsid w:val="1544A27C"/>
    <w:rsid w:val="15554ECD"/>
    <w:rsid w:val="15AF8A61"/>
    <w:rsid w:val="164E9D68"/>
    <w:rsid w:val="165BA35D"/>
    <w:rsid w:val="167E0830"/>
    <w:rsid w:val="16A551EE"/>
    <w:rsid w:val="17620A49"/>
    <w:rsid w:val="17B042D7"/>
    <w:rsid w:val="17FC9723"/>
    <w:rsid w:val="18043166"/>
    <w:rsid w:val="18B1DDFB"/>
    <w:rsid w:val="18B5760A"/>
    <w:rsid w:val="190C273B"/>
    <w:rsid w:val="19488A8B"/>
    <w:rsid w:val="194C0B56"/>
    <w:rsid w:val="1974A9E2"/>
    <w:rsid w:val="1988662B"/>
    <w:rsid w:val="199DA025"/>
    <w:rsid w:val="19AB00D3"/>
    <w:rsid w:val="19D28ED6"/>
    <w:rsid w:val="19F771F5"/>
    <w:rsid w:val="1A6667DE"/>
    <w:rsid w:val="1A8CF203"/>
    <w:rsid w:val="1A91A123"/>
    <w:rsid w:val="1AA4819B"/>
    <w:rsid w:val="1B3A63DC"/>
    <w:rsid w:val="1B811A4C"/>
    <w:rsid w:val="1BA45B2A"/>
    <w:rsid w:val="1BAD324E"/>
    <w:rsid w:val="1CA17377"/>
    <w:rsid w:val="1CCE9C0C"/>
    <w:rsid w:val="1CD445EF"/>
    <w:rsid w:val="1D4EFCBC"/>
    <w:rsid w:val="1D5FC889"/>
    <w:rsid w:val="1D88B698"/>
    <w:rsid w:val="1DD19DB7"/>
    <w:rsid w:val="1DE65289"/>
    <w:rsid w:val="1E1485EA"/>
    <w:rsid w:val="1E3EE8E0"/>
    <w:rsid w:val="1E4DEC8E"/>
    <w:rsid w:val="1E4FC9AB"/>
    <w:rsid w:val="1E7B625A"/>
    <w:rsid w:val="1EEEA95B"/>
    <w:rsid w:val="1EF310E3"/>
    <w:rsid w:val="1F592F6B"/>
    <w:rsid w:val="1F793467"/>
    <w:rsid w:val="1F7E07E3"/>
    <w:rsid w:val="1F7E507D"/>
    <w:rsid w:val="1F7F344E"/>
    <w:rsid w:val="1FCD1E93"/>
    <w:rsid w:val="1FCDFF20"/>
    <w:rsid w:val="20215146"/>
    <w:rsid w:val="2045311A"/>
    <w:rsid w:val="207CFD1F"/>
    <w:rsid w:val="2130B3C0"/>
    <w:rsid w:val="215032FF"/>
    <w:rsid w:val="22296366"/>
    <w:rsid w:val="223F530B"/>
    <w:rsid w:val="2257D496"/>
    <w:rsid w:val="225B5A60"/>
    <w:rsid w:val="22766256"/>
    <w:rsid w:val="23ECCF09"/>
    <w:rsid w:val="24272DB0"/>
    <w:rsid w:val="2452C75D"/>
    <w:rsid w:val="246E770E"/>
    <w:rsid w:val="24AA5090"/>
    <w:rsid w:val="24D6B29F"/>
    <w:rsid w:val="2567FCEC"/>
    <w:rsid w:val="25AD9467"/>
    <w:rsid w:val="25B794FA"/>
    <w:rsid w:val="26506B0B"/>
    <w:rsid w:val="265CD870"/>
    <w:rsid w:val="268A99E7"/>
    <w:rsid w:val="26DEBF81"/>
    <w:rsid w:val="26EEE5C8"/>
    <w:rsid w:val="272350BB"/>
    <w:rsid w:val="276B78B3"/>
    <w:rsid w:val="27888BD5"/>
    <w:rsid w:val="278BD803"/>
    <w:rsid w:val="278E7CEB"/>
    <w:rsid w:val="27BDE809"/>
    <w:rsid w:val="27D7BCCF"/>
    <w:rsid w:val="28184668"/>
    <w:rsid w:val="2831BA54"/>
    <w:rsid w:val="28605377"/>
    <w:rsid w:val="286E37EF"/>
    <w:rsid w:val="28EE5AFB"/>
    <w:rsid w:val="28F6636F"/>
    <w:rsid w:val="291ABF73"/>
    <w:rsid w:val="294173F1"/>
    <w:rsid w:val="2949794B"/>
    <w:rsid w:val="297335DC"/>
    <w:rsid w:val="2A21B1D3"/>
    <w:rsid w:val="2A84A218"/>
    <w:rsid w:val="2A8E5B9A"/>
    <w:rsid w:val="2AA82D4A"/>
    <w:rsid w:val="2B02D839"/>
    <w:rsid w:val="2B1CBFE0"/>
    <w:rsid w:val="2B514F17"/>
    <w:rsid w:val="2B59F355"/>
    <w:rsid w:val="2BB61729"/>
    <w:rsid w:val="2C1EE710"/>
    <w:rsid w:val="2C444C23"/>
    <w:rsid w:val="2C775042"/>
    <w:rsid w:val="2CBD2845"/>
    <w:rsid w:val="2CC81F76"/>
    <w:rsid w:val="2CEEC86A"/>
    <w:rsid w:val="2D12B356"/>
    <w:rsid w:val="2D1AC642"/>
    <w:rsid w:val="2D550E1F"/>
    <w:rsid w:val="2D8207C4"/>
    <w:rsid w:val="2D841591"/>
    <w:rsid w:val="2DA5A0E9"/>
    <w:rsid w:val="2E702776"/>
    <w:rsid w:val="2EB6B6F2"/>
    <w:rsid w:val="2EE5957B"/>
    <w:rsid w:val="2F179DCE"/>
    <w:rsid w:val="2F352FFB"/>
    <w:rsid w:val="2F38EC12"/>
    <w:rsid w:val="2F781EDE"/>
    <w:rsid w:val="2F78A488"/>
    <w:rsid w:val="2F8BC989"/>
    <w:rsid w:val="2FA92402"/>
    <w:rsid w:val="2FBF46FA"/>
    <w:rsid w:val="2FDC0AC8"/>
    <w:rsid w:val="3000344F"/>
    <w:rsid w:val="300CBB9A"/>
    <w:rsid w:val="3028C8FC"/>
    <w:rsid w:val="302D47CD"/>
    <w:rsid w:val="30345D4A"/>
    <w:rsid w:val="30D37550"/>
    <w:rsid w:val="30DFEA0B"/>
    <w:rsid w:val="31640D20"/>
    <w:rsid w:val="317B2D37"/>
    <w:rsid w:val="31EEA329"/>
    <w:rsid w:val="325B12E8"/>
    <w:rsid w:val="32A1C28E"/>
    <w:rsid w:val="335C1E63"/>
    <w:rsid w:val="337237D1"/>
    <w:rsid w:val="33927163"/>
    <w:rsid w:val="339316E0"/>
    <w:rsid w:val="33A69FFD"/>
    <w:rsid w:val="33BDEEC9"/>
    <w:rsid w:val="33C3B710"/>
    <w:rsid w:val="33EFB507"/>
    <w:rsid w:val="341C3CEC"/>
    <w:rsid w:val="34487EE0"/>
    <w:rsid w:val="3497DA0C"/>
    <w:rsid w:val="34A5CC85"/>
    <w:rsid w:val="34A9DA77"/>
    <w:rsid w:val="34DD564C"/>
    <w:rsid w:val="34E6D860"/>
    <w:rsid w:val="34F65C44"/>
    <w:rsid w:val="355B9A72"/>
    <w:rsid w:val="3570C109"/>
    <w:rsid w:val="3590FDC9"/>
    <w:rsid w:val="35F2B813"/>
    <w:rsid w:val="3636EEE6"/>
    <w:rsid w:val="366199FA"/>
    <w:rsid w:val="36BAACE2"/>
    <w:rsid w:val="36C934FF"/>
    <w:rsid w:val="36FA26B2"/>
    <w:rsid w:val="37A579B6"/>
    <w:rsid w:val="37B0FC51"/>
    <w:rsid w:val="37CCF24D"/>
    <w:rsid w:val="37EFF12B"/>
    <w:rsid w:val="383B4952"/>
    <w:rsid w:val="384C1EBA"/>
    <w:rsid w:val="38691689"/>
    <w:rsid w:val="39970DF0"/>
    <w:rsid w:val="39998049"/>
    <w:rsid w:val="39C084FB"/>
    <w:rsid w:val="39D457BF"/>
    <w:rsid w:val="39DD6FA9"/>
    <w:rsid w:val="39E3CE2B"/>
    <w:rsid w:val="39E9229E"/>
    <w:rsid w:val="39F39360"/>
    <w:rsid w:val="3A0B6369"/>
    <w:rsid w:val="3AA4E564"/>
    <w:rsid w:val="3AB1BD5C"/>
    <w:rsid w:val="3ADD9C2F"/>
    <w:rsid w:val="3B5550B9"/>
    <w:rsid w:val="3B7ACFDA"/>
    <w:rsid w:val="3B98462B"/>
    <w:rsid w:val="3BB78E3D"/>
    <w:rsid w:val="3BBFF3A1"/>
    <w:rsid w:val="3BE47C73"/>
    <w:rsid w:val="3BE60471"/>
    <w:rsid w:val="3C352200"/>
    <w:rsid w:val="3D0F8DDF"/>
    <w:rsid w:val="3D545B70"/>
    <w:rsid w:val="3D57843E"/>
    <w:rsid w:val="3D7D8E46"/>
    <w:rsid w:val="3DBE694F"/>
    <w:rsid w:val="3DDCED1C"/>
    <w:rsid w:val="3E38B3EB"/>
    <w:rsid w:val="3E8074B5"/>
    <w:rsid w:val="3EDD0D2B"/>
    <w:rsid w:val="3F47A6F5"/>
    <w:rsid w:val="3FA767E0"/>
    <w:rsid w:val="3FBC947D"/>
    <w:rsid w:val="40176B84"/>
    <w:rsid w:val="4031E488"/>
    <w:rsid w:val="4037628F"/>
    <w:rsid w:val="4058D376"/>
    <w:rsid w:val="407ABF95"/>
    <w:rsid w:val="40EE48C9"/>
    <w:rsid w:val="4159BBC6"/>
    <w:rsid w:val="417F6347"/>
    <w:rsid w:val="41B7AAB4"/>
    <w:rsid w:val="41DF76C0"/>
    <w:rsid w:val="42452AE2"/>
    <w:rsid w:val="42757FFD"/>
    <w:rsid w:val="428958D6"/>
    <w:rsid w:val="43090646"/>
    <w:rsid w:val="431E3622"/>
    <w:rsid w:val="43FB890B"/>
    <w:rsid w:val="4457BD69"/>
    <w:rsid w:val="44A43E65"/>
    <w:rsid w:val="44CAAF8B"/>
    <w:rsid w:val="452AF257"/>
    <w:rsid w:val="4668E212"/>
    <w:rsid w:val="467525F9"/>
    <w:rsid w:val="46ADA4AC"/>
    <w:rsid w:val="46B12CE1"/>
    <w:rsid w:val="47163E2C"/>
    <w:rsid w:val="472AD4AC"/>
    <w:rsid w:val="4748CAA4"/>
    <w:rsid w:val="475D53F0"/>
    <w:rsid w:val="4781B430"/>
    <w:rsid w:val="47A6C48F"/>
    <w:rsid w:val="484BE297"/>
    <w:rsid w:val="4922B740"/>
    <w:rsid w:val="49C1BACA"/>
    <w:rsid w:val="49E04DD5"/>
    <w:rsid w:val="4A0A44EB"/>
    <w:rsid w:val="4A27A4D9"/>
    <w:rsid w:val="4A3A55C4"/>
    <w:rsid w:val="4A5B3027"/>
    <w:rsid w:val="4B70BCE9"/>
    <w:rsid w:val="4B9FE5E5"/>
    <w:rsid w:val="4BD71C69"/>
    <w:rsid w:val="4C116F80"/>
    <w:rsid w:val="4C121D79"/>
    <w:rsid w:val="4C5F9F99"/>
    <w:rsid w:val="4C749F67"/>
    <w:rsid w:val="4C7E275A"/>
    <w:rsid w:val="4CD501B0"/>
    <w:rsid w:val="4CE7036C"/>
    <w:rsid w:val="4CEE5F00"/>
    <w:rsid w:val="4CFC0E21"/>
    <w:rsid w:val="4D09855B"/>
    <w:rsid w:val="4D48BA0D"/>
    <w:rsid w:val="4D534447"/>
    <w:rsid w:val="4D6A972C"/>
    <w:rsid w:val="4D84A327"/>
    <w:rsid w:val="4DA65B2C"/>
    <w:rsid w:val="4DF6C7A4"/>
    <w:rsid w:val="4E1862BA"/>
    <w:rsid w:val="4E35F349"/>
    <w:rsid w:val="4E47809C"/>
    <w:rsid w:val="4E99303B"/>
    <w:rsid w:val="4EDF0342"/>
    <w:rsid w:val="4F17E837"/>
    <w:rsid w:val="4F20C8E9"/>
    <w:rsid w:val="4F2A3909"/>
    <w:rsid w:val="4F63E7B2"/>
    <w:rsid w:val="4F78AD88"/>
    <w:rsid w:val="4FA0C5EB"/>
    <w:rsid w:val="4FE12CBB"/>
    <w:rsid w:val="4FFEE84F"/>
    <w:rsid w:val="505E39FA"/>
    <w:rsid w:val="509AB769"/>
    <w:rsid w:val="512FAF08"/>
    <w:rsid w:val="51340CAF"/>
    <w:rsid w:val="513BE14D"/>
    <w:rsid w:val="5165D750"/>
    <w:rsid w:val="51AC7778"/>
    <w:rsid w:val="52342A30"/>
    <w:rsid w:val="5279C967"/>
    <w:rsid w:val="528C6DC4"/>
    <w:rsid w:val="53F5DC81"/>
    <w:rsid w:val="54219A64"/>
    <w:rsid w:val="5436D97E"/>
    <w:rsid w:val="54406B74"/>
    <w:rsid w:val="54EEE427"/>
    <w:rsid w:val="55207ADD"/>
    <w:rsid w:val="5523000F"/>
    <w:rsid w:val="555DF7C4"/>
    <w:rsid w:val="55608982"/>
    <w:rsid w:val="55B14E7A"/>
    <w:rsid w:val="55B41164"/>
    <w:rsid w:val="55BDE82B"/>
    <w:rsid w:val="560678A1"/>
    <w:rsid w:val="561EF65A"/>
    <w:rsid w:val="56686D23"/>
    <w:rsid w:val="56A3B0F7"/>
    <w:rsid w:val="56CB49EE"/>
    <w:rsid w:val="56CDE15A"/>
    <w:rsid w:val="57023DA2"/>
    <w:rsid w:val="57034B9D"/>
    <w:rsid w:val="579D50CE"/>
    <w:rsid w:val="57A6E244"/>
    <w:rsid w:val="57F1D39D"/>
    <w:rsid w:val="5853ECDB"/>
    <w:rsid w:val="586D2B26"/>
    <w:rsid w:val="5881E9EC"/>
    <w:rsid w:val="58C98A29"/>
    <w:rsid w:val="59226A5C"/>
    <w:rsid w:val="59756FB3"/>
    <w:rsid w:val="599B177F"/>
    <w:rsid w:val="5A0854E0"/>
    <w:rsid w:val="5A0DDD01"/>
    <w:rsid w:val="5A12F66F"/>
    <w:rsid w:val="5A629109"/>
    <w:rsid w:val="5A8DC0CE"/>
    <w:rsid w:val="5AB4DE52"/>
    <w:rsid w:val="5AD5886B"/>
    <w:rsid w:val="5B0A3DC1"/>
    <w:rsid w:val="5B135560"/>
    <w:rsid w:val="5B34813F"/>
    <w:rsid w:val="5C07A5D2"/>
    <w:rsid w:val="5C8F7DB8"/>
    <w:rsid w:val="5CB428BA"/>
    <w:rsid w:val="5CE2CA49"/>
    <w:rsid w:val="5DBD1CC7"/>
    <w:rsid w:val="5DE050ED"/>
    <w:rsid w:val="5DF2066E"/>
    <w:rsid w:val="5E62C189"/>
    <w:rsid w:val="5EA5A333"/>
    <w:rsid w:val="5ECF192A"/>
    <w:rsid w:val="5F7EC1CF"/>
    <w:rsid w:val="5FF6868E"/>
    <w:rsid w:val="61424944"/>
    <w:rsid w:val="616D1EDA"/>
    <w:rsid w:val="61F01CC6"/>
    <w:rsid w:val="620491FA"/>
    <w:rsid w:val="62615D85"/>
    <w:rsid w:val="6272CA48"/>
    <w:rsid w:val="6303A991"/>
    <w:rsid w:val="63117A48"/>
    <w:rsid w:val="63222CF5"/>
    <w:rsid w:val="63611D43"/>
    <w:rsid w:val="63806107"/>
    <w:rsid w:val="63BF3D27"/>
    <w:rsid w:val="63C92E9B"/>
    <w:rsid w:val="63D55F9B"/>
    <w:rsid w:val="63EA9904"/>
    <w:rsid w:val="63EF8FE3"/>
    <w:rsid w:val="640E9E6B"/>
    <w:rsid w:val="6433E804"/>
    <w:rsid w:val="64B708D2"/>
    <w:rsid w:val="65013C7B"/>
    <w:rsid w:val="6550BDB5"/>
    <w:rsid w:val="65B56B09"/>
    <w:rsid w:val="65D5D369"/>
    <w:rsid w:val="6605B778"/>
    <w:rsid w:val="668171ED"/>
    <w:rsid w:val="668A5450"/>
    <w:rsid w:val="66AF4F80"/>
    <w:rsid w:val="66C9F532"/>
    <w:rsid w:val="670C322C"/>
    <w:rsid w:val="675754FD"/>
    <w:rsid w:val="67728966"/>
    <w:rsid w:val="67BF3A7D"/>
    <w:rsid w:val="67E0E1F2"/>
    <w:rsid w:val="67E538CD"/>
    <w:rsid w:val="680B0371"/>
    <w:rsid w:val="680E22A7"/>
    <w:rsid w:val="683E0290"/>
    <w:rsid w:val="6851ACA9"/>
    <w:rsid w:val="686ECDA6"/>
    <w:rsid w:val="6954499A"/>
    <w:rsid w:val="69AAA92E"/>
    <w:rsid w:val="69E95186"/>
    <w:rsid w:val="69E951A2"/>
    <w:rsid w:val="6A252EC2"/>
    <w:rsid w:val="6A51A484"/>
    <w:rsid w:val="6AC5C317"/>
    <w:rsid w:val="6AF901F9"/>
    <w:rsid w:val="6B2F5A31"/>
    <w:rsid w:val="6B7BBAEB"/>
    <w:rsid w:val="6B878380"/>
    <w:rsid w:val="6BBED499"/>
    <w:rsid w:val="6BC7CE98"/>
    <w:rsid w:val="6C32BF20"/>
    <w:rsid w:val="6C339AF4"/>
    <w:rsid w:val="6C409B70"/>
    <w:rsid w:val="6CCE487A"/>
    <w:rsid w:val="6CCFF5A9"/>
    <w:rsid w:val="6CD661BE"/>
    <w:rsid w:val="6D0526D7"/>
    <w:rsid w:val="6D5821B9"/>
    <w:rsid w:val="6D89C0FB"/>
    <w:rsid w:val="6D948A6F"/>
    <w:rsid w:val="6DB31D88"/>
    <w:rsid w:val="6DBAB5EC"/>
    <w:rsid w:val="6DC14340"/>
    <w:rsid w:val="6E3010E7"/>
    <w:rsid w:val="6E3E0B3D"/>
    <w:rsid w:val="6E462A2C"/>
    <w:rsid w:val="6E9209BD"/>
    <w:rsid w:val="6EC0A771"/>
    <w:rsid w:val="6ECE0A00"/>
    <w:rsid w:val="6F1E8E86"/>
    <w:rsid w:val="6F4D7524"/>
    <w:rsid w:val="6F6352FD"/>
    <w:rsid w:val="6F7973BB"/>
    <w:rsid w:val="6F9DC179"/>
    <w:rsid w:val="6FBB59AB"/>
    <w:rsid w:val="6FE5A85E"/>
    <w:rsid w:val="70B90924"/>
    <w:rsid w:val="70CFE983"/>
    <w:rsid w:val="70F80FDD"/>
    <w:rsid w:val="710BC856"/>
    <w:rsid w:val="713BFBA0"/>
    <w:rsid w:val="71690DE6"/>
    <w:rsid w:val="7206DE8D"/>
    <w:rsid w:val="725A441B"/>
    <w:rsid w:val="725DC252"/>
    <w:rsid w:val="72F925C3"/>
    <w:rsid w:val="7322455B"/>
    <w:rsid w:val="7376CD1D"/>
    <w:rsid w:val="73E60907"/>
    <w:rsid w:val="73EED0B9"/>
    <w:rsid w:val="74BDD94D"/>
    <w:rsid w:val="74C1F0D6"/>
    <w:rsid w:val="74D9E61A"/>
    <w:rsid w:val="75A1A23D"/>
    <w:rsid w:val="76A63C2B"/>
    <w:rsid w:val="76AC2E96"/>
    <w:rsid w:val="770EB6F7"/>
    <w:rsid w:val="778E4050"/>
    <w:rsid w:val="778F7A49"/>
    <w:rsid w:val="77F993FB"/>
    <w:rsid w:val="780EC722"/>
    <w:rsid w:val="7812E606"/>
    <w:rsid w:val="781BA674"/>
    <w:rsid w:val="784491BB"/>
    <w:rsid w:val="786E4674"/>
    <w:rsid w:val="78723DE5"/>
    <w:rsid w:val="78D76A18"/>
    <w:rsid w:val="78EF055F"/>
    <w:rsid w:val="790E7FB2"/>
    <w:rsid w:val="790F0B5F"/>
    <w:rsid w:val="7990F681"/>
    <w:rsid w:val="79BFC3A6"/>
    <w:rsid w:val="7A3797C9"/>
    <w:rsid w:val="7B377616"/>
    <w:rsid w:val="7B9F4676"/>
    <w:rsid w:val="7BA6250F"/>
    <w:rsid w:val="7BCBC52E"/>
    <w:rsid w:val="7BFD926E"/>
    <w:rsid w:val="7C4A5EE9"/>
    <w:rsid w:val="7C73E32F"/>
    <w:rsid w:val="7CC1BB68"/>
    <w:rsid w:val="7CE644E0"/>
    <w:rsid w:val="7CF24A21"/>
    <w:rsid w:val="7D43E68E"/>
    <w:rsid w:val="7D66BE1C"/>
    <w:rsid w:val="7D986809"/>
    <w:rsid w:val="7DE71576"/>
    <w:rsid w:val="7DEC442C"/>
    <w:rsid w:val="7E0100EA"/>
    <w:rsid w:val="7E23EFA4"/>
    <w:rsid w:val="7E620D50"/>
    <w:rsid w:val="7E82FCD0"/>
    <w:rsid w:val="7E88EB42"/>
    <w:rsid w:val="7ED1B5A2"/>
    <w:rsid w:val="7EF75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14340"/>
  <w15:chartTrackingRefBased/>
  <w15:docId w15:val="{107EACB9-0971-4CF3-8AFC-B67534DEEC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30F454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30F454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30F454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30F4548"/>
    <w:pPr>
      <w:spacing/>
      <w:ind w:left="720"/>
      <w:contextualSpacing/>
    </w:pPr>
  </w:style>
  <w:style w:type="paragraph" w:styleId="Header">
    <w:uiPriority w:val="99"/>
    <w:name w:val="header"/>
    <w:basedOn w:val="Normal"/>
    <w:unhideWhenUsed/>
    <w:rsid w:val="4031E488"/>
    <w:pPr>
      <w:tabs>
        <w:tab w:val="center" w:leader="none" w:pos="4680"/>
        <w:tab w:val="right" w:leader="none" w:pos="9360"/>
      </w:tabs>
      <w:spacing w:after="0" w:line="240" w:lineRule="auto"/>
    </w:pPr>
  </w:style>
  <w:style w:type="paragraph" w:styleId="Footer">
    <w:uiPriority w:val="99"/>
    <w:name w:val="footer"/>
    <w:basedOn w:val="Normal"/>
    <w:unhideWhenUsed/>
    <w:rsid w:val="4031E48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72350BB"/>
    <w:rPr>
      <w:color w:val="467886"/>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3e365b678fa4eda" /><Relationship Type="http://schemas.microsoft.com/office/2020/10/relationships/intelligence" Target="/word/intelligence2.xml" Id="R290186881e4e4523" /><Relationship Type="http://schemas.openxmlformats.org/officeDocument/2006/relationships/header" Target="/word/header.xml" Id="R4d670d7256be44c6" /><Relationship Type="http://schemas.openxmlformats.org/officeDocument/2006/relationships/footer" Target="/word/footer.xml" Id="R2ebd630fd4764991" /><Relationship Type="http://schemas.openxmlformats.org/officeDocument/2006/relationships/image" Target="/media/image2.png" Id="rId1106692136" /><Relationship Type="http://schemas.openxmlformats.org/officeDocument/2006/relationships/hyperlink" Target="https://doi.org/10.3389/fphys.2021.825816" TargetMode="External" Id="R360b8eb4a26e475f" /><Relationship Type="http://schemas.openxmlformats.org/officeDocument/2006/relationships/hyperlink" Target="https://doi.org/10.3390/ijms21176275" TargetMode="External" Id="R38db96a3a87d4809" /><Relationship Type="http://schemas.openxmlformats.org/officeDocument/2006/relationships/hyperlink" Target="https://www.ncbi.nlm.nih.gov/books/NBK545201/" TargetMode="External" Id="Rb329a1ff46304c3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Narh (2419949)</dc:creator>
  <keywords/>
  <dc:description/>
  <lastModifiedBy>Kate Narh (2419949)</lastModifiedBy>
  <revision>19</revision>
  <dcterms:created xsi:type="dcterms:W3CDTF">2026-02-21T13:56:16.2647205Z</dcterms:created>
  <dcterms:modified xsi:type="dcterms:W3CDTF">2026-02-22T21:34:14.3522403Z</dcterms:modified>
</coreProperties>
</file>