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after="240" w:line="360" w:lineRule="auto"/>
        <w:ind w:left="0" w:right="0" w:firstLine="0"/>
        <w:jc w:val="both"/>
        <w:rPr>
          <w:rFonts w:ascii="Arial" w:hAnsi="Arial"/>
          <w:b w:val="1"/>
          <w:bCs w:val="1"/>
          <w:sz w:val="23"/>
          <w:szCs w:val="23"/>
          <w:rtl w:val="0"/>
        </w:rPr>
      </w:pPr>
    </w:p>
    <w:p>
      <w:pPr>
        <w:pStyle w:val="Default"/>
        <w:bidi w:val="0"/>
        <w:spacing w:before="0" w:after="240" w:line="360" w:lineRule="auto"/>
        <w:ind w:left="0" w:right="0" w:firstLine="0"/>
        <w:jc w:val="both"/>
        <w:rPr>
          <w:rFonts w:ascii="Arial" w:hAnsi="Arial"/>
          <w:b w:val="1"/>
          <w:bCs w:val="1"/>
          <w:sz w:val="23"/>
          <w:szCs w:val="23"/>
          <w:rtl w:val="0"/>
        </w:rPr>
      </w:pPr>
    </w:p>
    <w:tbl>
      <w:tblPr>
        <w:tblW w:w="992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w:tblPrEx>
          <w:shd w:val="clear" w:color="auto" w:fill="ced7e7"/>
        </w:tblPrEx>
        <w:trPr>
          <w:trHeight w:val="45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Default"/>
              <w:keepNext w:val="1"/>
              <w:bidi w:val="0"/>
              <w:spacing w:before="120" w:after="120" w:line="240" w:lineRule="auto"/>
              <w:ind w:left="0" w:right="0" w:firstLine="0"/>
              <w:jc w:val="center"/>
              <w:outlineLvl w:val="2"/>
              <w:rPr>
                <w:rtl w:val="0"/>
              </w:rPr>
            </w:pPr>
            <w:r>
              <w:rPr>
                <w:rFonts w:ascii="Arial" w:hAnsi="Arial"/>
                <w:b w:val="1"/>
                <w:bCs w:val="1"/>
                <w:sz w:val="40"/>
                <w:szCs w:val="40"/>
                <w:u w:color="000000"/>
                <w:shd w:val="nil" w:color="auto" w:fill="auto"/>
                <w:rtl w:val="0"/>
                <w:lang w:val="en-US"/>
              </w:rPr>
              <w:t xml:space="preserve">LEVEL 6 ASSESSMENT SPECIFICATION </w:t>
            </w:r>
          </w:p>
        </w:tc>
      </w:tr>
    </w:tbl>
    <w:p>
      <w:pPr>
        <w:pStyle w:val="Default"/>
        <w:bidi w:val="0"/>
        <w:spacing w:before="0" w:after="240" w:line="360" w:lineRule="auto"/>
        <w:ind w:left="0" w:right="0" w:firstLine="0"/>
        <w:jc w:val="both"/>
        <w:rPr>
          <w:rFonts w:ascii="Arial" w:cs="Arial" w:hAnsi="Arial" w:eastAsia="Arial"/>
          <w:b w:val="1"/>
          <w:bCs w:val="1"/>
          <w:sz w:val="23"/>
          <w:szCs w:val="23"/>
          <w:rtl w:val="0"/>
        </w:rPr>
      </w:pPr>
    </w:p>
    <w:tbl>
      <w:tblPr>
        <w:tblW w:w="992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hint="default"/>
                <w:b w:val="1"/>
                <w:bCs w:val="1"/>
                <w:u w:color="000000"/>
                <w:shd w:val="nil" w:color="auto" w:fill="auto"/>
                <w:rtl w:val="0"/>
              </w:rPr>
              <w:t>     </w:t>
            </w:r>
            <w:r>
              <w:rPr>
                <w:rFonts w:ascii="Arial" w:hAnsi="Arial"/>
                <w:b w:val="1"/>
                <w:bCs w:val="1"/>
                <w:u w:color="000000"/>
                <w:shd w:val="nil" w:color="auto" w:fill="auto"/>
                <w:rtl w:val="0"/>
                <w:lang w:val="en-US"/>
              </w:rPr>
              <w:t>Jack Starkey</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Student ID number: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120" w:after="120" w:line="240" w:lineRule="auto"/>
              <w:ind w:left="0" w:right="0" w:firstLine="0"/>
              <w:jc w:val="both"/>
              <w:rPr>
                <w:rtl w:val="0"/>
              </w:rPr>
            </w:pPr>
            <w:r>
              <w:rPr>
                <w:rFonts w:ascii="Arial" w:hAnsi="Arial"/>
                <w:b w:val="1"/>
                <w:bCs w:val="1"/>
                <w:sz w:val="22"/>
                <w:szCs w:val="22"/>
                <w:u w:color="000000"/>
                <w:rtl w:val="0"/>
              </w:rPr>
              <w:t>2000916</w:t>
            </w:r>
          </w:p>
        </w:tc>
      </w:tr>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BSc Health, Nutrition and Lifestyle / BA Physical Education / BSc Sport and Exercise Science /  BA Outdoor Adventure Education</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Independent Project</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0"/>
                <w:bCs w:val="0"/>
                <w:outline w:val="0"/>
                <w:color w:val="373a3c"/>
                <w:u w:color="373a3c"/>
                <w:shd w:val="clear" w:color="auto" w:fill="fbf7f5"/>
                <w:rtl w:val="0"/>
                <w:lang w:val="en-US"/>
                <w14:textFill>
                  <w14:solidFill>
                    <w14:srgbClr w14:val="373A3C"/>
                  </w14:solidFill>
                </w14:textFill>
              </w:rPr>
              <w:t>BMSS6007</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bidi w:val="0"/>
              <w:ind w:left="0" w:right="0" w:firstLine="0"/>
              <w:jc w:val="both"/>
              <w:rPr>
                <w:rtl w:val="0"/>
              </w:rPr>
            </w:pPr>
            <w:r>
              <w:rPr>
                <w:rFonts w:ascii="Arial" w:hAnsi="Arial"/>
                <w:sz w:val="22"/>
                <w:szCs w:val="22"/>
                <w:u w:color="000000"/>
                <w:shd w:val="nil" w:color="auto" w:fill="auto"/>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10%</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Alison Connaughton</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Dylan Blain</w:t>
            </w:r>
          </w:p>
        </w:tc>
      </w:tr>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u w:color="000000"/>
                <w:shd w:val="nil" w:color="auto" w:fill="auto"/>
                <w:rtl w:val="0"/>
                <w:lang w:val="en-US"/>
              </w:rPr>
              <w:t>Abstract</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500 Words</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5</w:t>
            </w:r>
            <w:r>
              <w:rPr>
                <w:rFonts w:ascii="Arial" w:hAnsi="Arial"/>
                <w:b w:val="1"/>
                <w:bCs w:val="1"/>
                <w:u w:color="000000"/>
                <w:shd w:val="nil" w:color="auto" w:fill="auto"/>
                <w:vertAlign w:val="superscript"/>
                <w:rtl w:val="0"/>
                <w:lang w:val="en-US"/>
              </w:rPr>
              <w:t>th</w:t>
            </w:r>
            <w:r>
              <w:rPr>
                <w:rFonts w:ascii="Arial" w:hAnsi="Arial"/>
                <w:b w:val="1"/>
                <w:bCs w:val="1"/>
                <w:u w:color="000000"/>
                <w:shd w:val="nil" w:color="auto" w:fill="auto"/>
                <w:rtl w:val="0"/>
                <w:lang w:val="en-US"/>
              </w:rPr>
              <w:t xml:space="preserve"> of May, 2023</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2</w:t>
            </w:r>
            <w:r>
              <w:rPr>
                <w:rFonts w:ascii="Arial" w:hAnsi="Arial"/>
                <w:b w:val="1"/>
                <w:bCs w:val="1"/>
                <w:u w:color="000000"/>
                <w:shd w:val="nil" w:color="auto" w:fill="auto"/>
                <w:vertAlign w:val="superscript"/>
                <w:rtl w:val="0"/>
                <w:lang w:val="en-US"/>
              </w:rPr>
              <w:t>nd</w:t>
            </w:r>
            <w:r>
              <w:rPr>
                <w:rFonts w:ascii="Arial" w:hAnsi="Arial"/>
                <w:b w:val="1"/>
                <w:bCs w:val="1"/>
                <w:u w:color="000000"/>
                <w:shd w:val="nil" w:color="auto" w:fill="auto"/>
                <w:rtl w:val="0"/>
                <w:lang w:val="en-US"/>
              </w:rPr>
              <w:t xml:space="preserve"> of June, 2023</w:t>
            </w:r>
          </w:p>
        </w:tc>
      </w:tr>
      <w:tr>
        <w:tblPrEx>
          <w:shd w:val="clear" w:color="auto" w:fill="ced7e7"/>
        </w:tblPrEx>
        <w:trPr>
          <w:trHeight w:val="24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shd w:val="nil" w:color="auto" w:fill="auto"/>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Fonts w:ascii="Arial" w:cs="Arial" w:hAnsi="Arial" w:eastAsia="Arial"/>
                <w:u w:color="000000"/>
                <w:shd w:val="nil" w:color="auto" w:fill="auto"/>
                <w:rtl w:val="0"/>
              </w:rPr>
            </w:pPr>
            <w:r>
              <w:rPr>
                <w:rFonts w:ascii="Arial" w:hAnsi="Arial"/>
                <w:u w:color="000000"/>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u w:color="000000"/>
                <w:shd w:val="nil" w:color="auto" w:fill="auto"/>
                <w:rtl w:val="0"/>
                <w:lang w:val="en-US"/>
              </w:rPr>
              <w:t xml:space="preserve">’ </w:t>
            </w:r>
            <w:r>
              <w:rPr>
                <w:rFonts w:ascii="Arial" w:hAnsi="Arial"/>
                <w:u w:color="000000"/>
                <w:shd w:val="nil" w:color="auto" w:fill="auto"/>
                <w:rtl w:val="0"/>
                <w:lang w:val="en-US"/>
              </w:rPr>
              <w:t>submissions.)</w:t>
            </w:r>
          </w:p>
          <w:p>
            <w:pPr>
              <w:pStyle w:val="Body"/>
              <w:spacing w:before="120" w:after="120"/>
              <w:jc w:val="both"/>
              <w:rPr>
                <w:rFonts w:ascii="Arial" w:cs="Arial" w:hAnsi="Arial" w:eastAsia="Arial"/>
                <w:b w:val="1"/>
                <w:bCs w:val="1"/>
                <w:u w:color="000000"/>
                <w:shd w:val="nil" w:color="auto" w:fill="auto"/>
              </w:rPr>
            </w:pPr>
            <w:r>
              <w:rPr>
                <w:rFonts w:ascii="Arial" w:hAnsi="Arial"/>
                <w:b w:val="1"/>
                <w:bCs w:val="1"/>
                <w:u w:color="000000"/>
                <w:shd w:val="nil" w:color="auto" w:fill="auto"/>
                <w:rtl w:val="0"/>
                <w:lang w:val="en-US"/>
              </w:rPr>
              <w:t xml:space="preserve">Alternative submission method (if applicable): </w:t>
            </w:r>
          </w:p>
          <w:p>
            <w:pPr>
              <w:pStyle w:val="Body"/>
              <w:spacing w:before="120" w:after="120"/>
              <w:jc w:val="both"/>
            </w:pPr>
            <w:r>
              <w:rPr>
                <w:rFonts w:ascii="Arial" w:hAnsi="Arial"/>
                <w:b w:val="1"/>
                <w:bCs w:val="1"/>
                <w:u w:color="000000"/>
                <w:shd w:val="nil" w:color="auto" w:fill="auto"/>
                <w:rtl w:val="0"/>
                <w:lang w:val="en-US"/>
              </w:rPr>
              <w:t xml:space="preserve">Late submission of the assessment will result in a late penalty mark.  </w:t>
            </w:r>
            <w:r>
              <w:rPr>
                <w:rFonts w:ascii="Arial" w:hAnsi="Arial"/>
                <w:b w:val="0"/>
                <w:bCs w:val="0"/>
                <w:u w:color="000000"/>
                <w:shd w:val="nil" w:color="auto" w:fill="auto"/>
                <w:rtl w:val="0"/>
                <w:lang w:val="en-US"/>
              </w:rPr>
              <w:t>Penalties for late submission: Up to one week late, maximum mark of 40%.  Over one week late, 0%.  Only the Extenuating Circumstances Panel may approve a change to submission dates.</w:t>
            </w:r>
          </w:p>
        </w:tc>
      </w:tr>
      <w:tr>
        <w:tblPrEx>
          <w:shd w:val="clear" w:color="auto" w:fill="ced7e7"/>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left"/>
              <w:rPr>
                <w:rtl w:val="0"/>
              </w:rPr>
            </w:pPr>
            <w:r>
              <w:rPr>
                <w:rFonts w:ascii="Arial" w:hAnsi="Arial"/>
                <w:b w:val="1"/>
                <w:bCs w:val="1"/>
                <w:u w:color="000000"/>
                <w:shd w:val="nil" w:color="auto" w:fill="auto"/>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u w:color="000000"/>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Default"/>
        <w:bidi w:val="0"/>
        <w:spacing w:before="0" w:after="240" w:line="360" w:lineRule="auto"/>
        <w:ind w:left="0" w:right="0" w:firstLine="0"/>
        <w:jc w:val="both"/>
        <w:rPr>
          <w:rFonts w:ascii="Arial" w:cs="Arial" w:hAnsi="Arial" w:eastAsia="Arial"/>
          <w:b w:val="1"/>
          <w:bCs w:val="1"/>
          <w:sz w:val="23"/>
          <w:szCs w:val="23"/>
          <w:rtl w:val="0"/>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45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caps w:val="1"/>
                <w:sz w:val="40"/>
                <w:szCs w:val="40"/>
                <w:u w:color="000000"/>
                <w:shd w:val="nil" w:color="auto" w:fill="auto"/>
                <w:rtl w:val="0"/>
                <w:lang w:val="en-US"/>
              </w:rPr>
              <w:t xml:space="preserve">     Student FEEDBACK FORM</w:t>
            </w:r>
          </w:p>
        </w:tc>
      </w:tr>
    </w:tbl>
    <w:p>
      <w:pPr>
        <w:pStyle w:val="Default"/>
        <w:bidi w:val="0"/>
        <w:spacing w:before="0" w:after="240" w:line="360" w:lineRule="auto"/>
        <w:ind w:left="0" w:right="0" w:firstLine="0"/>
        <w:jc w:val="both"/>
        <w:rPr>
          <w:rFonts w:ascii="Arial" w:cs="Arial" w:hAnsi="Arial" w:eastAsia="Arial"/>
          <w:b w:val="1"/>
          <w:bCs w:val="1"/>
          <w:sz w:val="23"/>
          <w:szCs w:val="23"/>
          <w:rtl w:val="0"/>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rtl w:val="0"/>
          <w:lang w:val="en-US"/>
          <w14:textOutline>
            <w14:noFill/>
          </w14:textOutline>
          <w14:textFill>
            <w14:solidFill>
              <w14:srgbClr w14:val="000000"/>
            </w14:solidFill>
          </w14:textFill>
        </w:rPr>
      </w:pPr>
      <w:r>
        <w:rPr>
          <w:rFonts w:ascii="Arial" w:cs="CG Times (WN)" w:hAnsi="Arial" w:eastAsia="CG Times (W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rtl w:val="0"/>
          <w:lang w:val="en-US"/>
          <w14:textOutline>
            <w14:noFill/>
          </w14:textOutline>
          <w14:textFill>
            <w14:solidFill>
              <w14:srgbClr w14:val="000000"/>
            </w14:solidFill>
          </w14:textFill>
        </w:rPr>
        <w:t xml:space="preserve">This section details the </w:t>
      </w:r>
      <w:r>
        <w:rPr>
          <w:rFonts w:ascii="Arial" w:cs="CG Times (WN)" w:hAnsi="Arial" w:eastAsia="CG Times (WN)"/>
          <w:b w:val="0"/>
          <w:bCs w:val="0"/>
          <w:i w:val="1"/>
          <w:iCs w:val="1"/>
          <w:caps w:val="0"/>
          <w:smallCaps w:val="0"/>
          <w:strike w:val="0"/>
          <w:dstrike w:val="0"/>
          <w:outline w:val="0"/>
          <w:color w:val="000000"/>
          <w:spacing w:val="0"/>
          <w:kern w:val="0"/>
          <w:position w:val="0"/>
          <w:sz w:val="20"/>
          <w:szCs w:val="20"/>
          <w:u w:val="none" w:color="000000"/>
          <w:shd w:val="nil" w:color="auto" w:fill="auto"/>
          <w:vertAlign w:val="baseline"/>
          <w:rtl w:val="0"/>
          <w:lang w:val="en-US"/>
          <w14:textOutline>
            <w14:noFill/>
          </w14:textOutline>
          <w14:textFill>
            <w14:solidFill>
              <w14:srgbClr w14:val="000000"/>
            </w14:solidFill>
          </w14:textFill>
        </w:rPr>
        <w:t>extent</w:t>
      </w:r>
      <w:r>
        <w:rPr>
          <w:rFonts w:ascii="Arial" w:cs="CG Times (WN)" w:hAnsi="Arial" w:eastAsia="CG Times (W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rtl w:val="0"/>
          <w:lang w:val="en-US"/>
          <w14:textOutline>
            <w14:noFill/>
          </w14:textOutline>
          <w14:textFill>
            <w14:solidFill>
              <w14:srgbClr w14:val="000000"/>
            </w14:solidFill>
          </w14:textFil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8"/>
        <w:gridCol w:w="869"/>
        <w:gridCol w:w="867"/>
      </w:tblGrid>
      <w:tr>
        <w:tblPrEx>
          <w:shd w:val="clear" w:color="auto" w:fill="ced7e7"/>
        </w:tblPrEx>
        <w:trPr>
          <w:trHeight w:val="852"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bidi w:val="0"/>
              <w:ind w:left="0" w:right="0" w:firstLine="0"/>
              <w:jc w:val="left"/>
              <w:rPr>
                <w:rtl w:val="0"/>
              </w:rPr>
            </w:pPr>
            <w:r>
              <w:rPr>
                <w:rFonts w:ascii="Arial" w:hAnsi="Arial"/>
                <w:b w:val="1"/>
                <w:bCs w:val="1"/>
                <w:u w:color="000000"/>
                <w:shd w:val="nil" w:color="auto" w:fill="auto"/>
                <w:rtl w:val="0"/>
                <w:lang w:val="en-US"/>
              </w:rPr>
              <w:t xml:space="preserve">Generic Assessment Criteria </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w:bidi w:val="0"/>
              <w:ind w:left="34" w:right="113" w:firstLine="0"/>
              <w:jc w:val="center"/>
              <w:rPr>
                <w:rtl w:val="0"/>
              </w:rPr>
            </w:pPr>
            <w:r>
              <w:rPr>
                <w:rFonts w:ascii="Arial" w:hAnsi="Arial"/>
                <w:b w:val="1"/>
                <w:bCs w:val="1"/>
                <w:sz w:val="18"/>
                <w:szCs w:val="18"/>
                <w:u w:color="000000"/>
                <w:shd w:val="nil" w:color="auto" w:fill="auto"/>
                <w:rtl w:val="0"/>
                <w:lang w:val="en-US"/>
              </w:rPr>
              <w:t>Marks available</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w:bidi w:val="0"/>
              <w:ind w:left="113" w:right="113" w:firstLine="0"/>
              <w:jc w:val="center"/>
              <w:rPr>
                <w:rFonts w:ascii="Arial" w:cs="Arial" w:hAnsi="Arial" w:eastAsia="Arial"/>
                <w:b w:val="1"/>
                <w:bCs w:val="1"/>
                <w:sz w:val="18"/>
                <w:szCs w:val="18"/>
                <w:u w:color="000000"/>
                <w:shd w:val="nil" w:color="auto" w:fill="auto"/>
                <w:rtl w:val="0"/>
              </w:rPr>
            </w:pPr>
            <w:r>
              <w:rPr>
                <w:rFonts w:ascii="Arial" w:hAnsi="Arial"/>
                <w:b w:val="1"/>
                <w:bCs w:val="1"/>
                <w:sz w:val="18"/>
                <w:szCs w:val="18"/>
                <w:u w:color="000000"/>
                <w:shd w:val="nil" w:color="auto" w:fill="auto"/>
                <w:rtl w:val="0"/>
                <w:lang w:val="en-US"/>
              </w:rPr>
              <w:t xml:space="preserve">Marks </w:t>
            </w:r>
          </w:p>
          <w:p>
            <w:pPr>
              <w:pStyle w:val="Body"/>
              <w:ind w:left="113" w:right="113" w:firstLine="0"/>
              <w:jc w:val="center"/>
            </w:pPr>
            <w:r>
              <w:rPr>
                <w:rFonts w:ascii="Arial" w:hAnsi="Arial"/>
                <w:b w:val="1"/>
                <w:bCs w:val="1"/>
                <w:sz w:val="18"/>
                <w:szCs w:val="18"/>
                <w:u w:color="000000"/>
                <w:shd w:val="nil" w:color="auto" w:fill="auto"/>
                <w:rtl w:val="0"/>
                <w:lang w:val="en-US"/>
              </w:rPr>
              <w:t>awarded</w:t>
            </w: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16"/>
                <w:szCs w:val="16"/>
                <w:u w:color="000000"/>
                <w:shd w:val="nil" w:color="auto" w:fill="auto"/>
                <w:rtl w:val="0"/>
              </w:rPr>
            </w:pPr>
            <w:r>
              <w:rPr>
                <w:rFonts w:ascii="Arial" w:hAnsi="Arial"/>
                <w:b w:val="1"/>
                <w:bCs w:val="1"/>
                <w:sz w:val="20"/>
                <w:szCs w:val="20"/>
                <w:u w:color="000000"/>
                <w:shd w:val="nil" w:color="auto" w:fill="auto"/>
                <w:rtl w:val="0"/>
                <w:lang w:val="en-US"/>
              </w:rPr>
              <w:t>1. Engagement with Literature Skills</w:t>
            </w:r>
          </w:p>
          <w:p>
            <w:pPr>
              <w:pStyle w:val="Body"/>
              <w:spacing w:after="120"/>
              <w:jc w:val="left"/>
            </w:pPr>
            <w:r>
              <w:rPr>
                <w:rFonts w:ascii="Arial" w:hAnsi="Arial"/>
                <w:sz w:val="14"/>
                <w:szCs w:val="14"/>
                <w:u w:color="000000"/>
                <w:shd w:val="nil" w:color="auto" w:fill="auto"/>
                <w:rtl w:val="0"/>
                <w:lang w:val="en-US"/>
              </w:rPr>
              <w:t>.</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tl w:val="0"/>
              </w:rPr>
            </w:pPr>
            <w:r>
              <w:rPr>
                <w:rFonts w:ascii="Arial" w:hAnsi="Arial"/>
                <w:sz w:val="32"/>
                <w:szCs w:val="32"/>
                <w:u w:color="000000"/>
                <w:shd w:val="nil" w:color="auto" w:fill="auto"/>
                <w:rtl w:val="0"/>
                <w:lang w:val="en-US"/>
              </w:rPr>
              <w:t>15</w:t>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0"/>
                <w:szCs w:val="20"/>
                <w:u w:color="000000"/>
                <w:shd w:val="nil" w:color="auto" w:fill="auto"/>
                <w:rtl w:val="0"/>
                <w:lang w:val="en-US"/>
              </w:rPr>
              <w:t>2. Knowledge and Understanding Skills</w:t>
            </w:r>
            <w:r>
              <w:rPr>
                <w:rFonts w:ascii="Arial" w:cs="Arial" w:hAnsi="Arial" w:eastAsia="Arial"/>
                <w:b w:val="1"/>
                <w:bCs w:val="1"/>
                <w:sz w:val="20"/>
                <w:szCs w:val="20"/>
                <w:u w:color="000000"/>
                <w:shd w:val="nil" w:color="auto" w:fill="auto"/>
                <w:rtl w:val="0"/>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center"/>
              <w:rPr>
                <w:rtl w:val="0"/>
              </w:rPr>
            </w:pPr>
            <w:r>
              <w:rPr>
                <w:rFonts w:ascii="Arial" w:hAnsi="Arial"/>
                <w:sz w:val="32"/>
                <w:szCs w:val="32"/>
                <w:u w:color="000000"/>
                <w:shd w:val="nil" w:color="auto" w:fill="auto"/>
                <w:rtl w:val="0"/>
                <w:lang w:val="en-US"/>
              </w:rPr>
              <w:t>30</w:t>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0"/>
                <w:szCs w:val="20"/>
                <w:u w:color="000000"/>
                <w:shd w:val="nil" w:color="auto" w:fill="auto"/>
                <w:rtl w:val="0"/>
                <w:lang w:val="en-US"/>
              </w:rPr>
              <w:t>3. Cognitive and Intellectual Skills</w:t>
            </w:r>
            <w:r>
              <w:rPr>
                <w:rFonts w:ascii="Arial" w:cs="Arial" w:hAnsi="Arial" w:eastAsia="Arial"/>
                <w:b w:val="1"/>
                <w:bCs w:val="1"/>
                <w:sz w:val="16"/>
                <w:szCs w:val="16"/>
                <w:u w:color="000000"/>
                <w:shd w:val="nil" w:color="auto" w:fill="auto"/>
                <w:rtl w:val="0"/>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tl w:val="0"/>
              </w:rPr>
            </w:pPr>
            <w:r>
              <w:rPr>
                <w:rFonts w:ascii="Arial" w:hAnsi="Arial"/>
                <w:sz w:val="32"/>
                <w:szCs w:val="32"/>
                <w:u w:color="000000"/>
                <w:shd w:val="nil" w:color="auto" w:fill="auto"/>
                <w:rtl w:val="0"/>
                <w:lang w:val="en-US"/>
              </w:rPr>
              <w:t>30</w:t>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0"/>
                <w:szCs w:val="20"/>
                <w:u w:color="000000"/>
                <w:shd w:val="nil" w:color="auto" w:fill="auto"/>
                <w:rtl w:val="0"/>
                <w:lang w:val="en-US"/>
              </w:rPr>
              <w:t>4. Practical Application Skills</w:t>
            </w:r>
            <w:r>
              <w:rPr>
                <w:rFonts w:ascii="Arial" w:cs="Arial" w:hAnsi="Arial" w:eastAsia="Arial"/>
                <w:b w:val="1"/>
                <w:bCs w:val="1"/>
                <w:sz w:val="16"/>
                <w:szCs w:val="16"/>
                <w:u w:color="000000"/>
                <w:shd w:val="nil" w:color="auto" w:fill="auto"/>
                <w:rtl w:val="0"/>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after="120"/>
              <w:ind w:left="0" w:right="0" w:firstLine="0"/>
              <w:jc w:val="left"/>
              <w:rPr>
                <w:rtl w:val="0"/>
              </w:rPr>
            </w:pPr>
            <w:r>
              <w:rPr>
                <w:rFonts w:ascii="Arial" w:hAnsi="Arial"/>
                <w:u w:color="000000"/>
                <w:shd w:val="nil" w:color="auto" w:fill="auto"/>
                <w:rtl w:val="0"/>
                <w:lang w:val="en-US"/>
              </w:rPr>
              <w:t xml:space="preserve">  </w:t>
            </w:r>
            <w:r>
              <w:rPr>
                <w:rFonts w:ascii="Arial" w:cs="Arial" w:hAnsi="Arial" w:eastAsia="Arial"/>
                <w:u w:color="000000"/>
                <w:shd w:val="nil" w:color="auto" w:fill="auto"/>
                <w:rtl w:val="0"/>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center"/>
              <w:rPr>
                <w:rtl w:val="0"/>
              </w:rPr>
            </w:pPr>
            <w:r>
              <w:rPr>
                <w:rFonts w:ascii="Arial" w:hAnsi="Arial"/>
                <w:sz w:val="32"/>
                <w:szCs w:val="32"/>
                <w:u w:color="000000"/>
                <w:shd w:val="nil" w:color="auto" w:fill="auto"/>
                <w:rtl w:val="0"/>
                <w:lang w:val="en-US"/>
              </w:rPr>
              <w:t>10</w:t>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0"/>
                <w:szCs w:val="20"/>
                <w:u w:color="000000"/>
                <w:shd w:val="nil" w:color="auto" w:fill="auto"/>
                <w:rtl w:val="0"/>
                <w:lang w:val="en-US"/>
              </w:rPr>
              <w:t>5. Transferable Skills for Life and Professional Practice</w:t>
            </w:r>
            <w:r>
              <w:rPr>
                <w:rFonts w:ascii="Arial" w:cs="Arial" w:hAnsi="Arial" w:eastAsia="Arial"/>
                <w:b w:val="1"/>
                <w:bCs w:val="1"/>
                <w:sz w:val="16"/>
                <w:szCs w:val="16"/>
                <w:u w:color="000000"/>
                <w:shd w:val="nil" w:color="auto" w:fill="auto"/>
                <w:rtl w:val="0"/>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after="120"/>
              <w:ind w:left="0" w:right="0" w:firstLine="0"/>
              <w:jc w:val="left"/>
              <w:rPr>
                <w:rtl w:val="0"/>
              </w:rPr>
            </w:pPr>
            <w:r>
              <w:rPr>
                <w:rFonts w:ascii="Arial" w:hAnsi="Arial"/>
                <w:u w:color="000000"/>
                <w:shd w:val="nil" w:color="auto" w:fill="auto"/>
                <w:rtl w:val="0"/>
                <w:lang w:val="en-US"/>
              </w:rPr>
              <w:t xml:space="preserve"> </w:t>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tl w:val="0"/>
              </w:rPr>
            </w:pPr>
            <w:r>
              <w:rPr>
                <w:rFonts w:ascii="Arial" w:hAnsi="Arial"/>
                <w:sz w:val="32"/>
                <w:szCs w:val="32"/>
                <w:u w:color="000000"/>
                <w:shd w:val="nil" w:color="auto" w:fill="auto"/>
                <w:rtl w:val="0"/>
                <w:lang w:val="en-US"/>
              </w:rPr>
              <w:t>15</w:t>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bidi w:val="0"/>
        <w:ind w:left="0" w:right="0" w:firstLine="0"/>
        <w:jc w:val="left"/>
        <w:rPr>
          <w:rFonts w:ascii="Times New Roman" w:cs="Times New Roman" w:hAnsi="Times New Roman" w:eastAsia="Times New Roman"/>
          <w:sz w:val="20"/>
          <w:szCs w:val="20"/>
          <w:u w:color="000000"/>
          <w:rtl w:val="0"/>
        </w:rPr>
      </w:pPr>
    </w:p>
    <w:p>
      <w:pPr>
        <w:pStyle w:val="Default"/>
        <w:bidi w:val="0"/>
        <w:spacing w:before="0" w:after="240" w:line="360" w:lineRule="auto"/>
        <w:ind w:left="0" w:right="0" w:firstLine="0"/>
        <w:jc w:val="both"/>
        <w:rPr>
          <w:rFonts w:ascii="Arial" w:cs="Arial" w:hAnsi="Arial" w:eastAsia="Arial"/>
          <w:b w:val="1"/>
          <w:bCs w:val="1"/>
          <w:sz w:val="23"/>
          <w:szCs w:val="23"/>
          <w:rtl w:val="0"/>
        </w:rPr>
      </w:pPr>
    </w:p>
    <w:p>
      <w:pPr>
        <w:pStyle w:val="Default"/>
        <w:bidi w:val="0"/>
        <w:spacing w:before="0" w:after="240" w:line="360" w:lineRule="auto"/>
        <w:ind w:left="0" w:right="0" w:firstLine="0"/>
        <w:jc w:val="both"/>
        <w:rPr>
          <w:rFonts w:ascii="Times Roman" w:cs="Times Roman" w:hAnsi="Times Roman" w:eastAsia="Times Roman"/>
          <w:b w:val="0"/>
          <w:bCs w:val="0"/>
          <w:sz w:val="23"/>
          <w:szCs w:val="23"/>
          <w:rtl w:val="0"/>
        </w:rPr>
      </w:pPr>
      <w:r>
        <w:rPr>
          <w:rFonts w:ascii="Arial" w:hAnsi="Arial"/>
          <w:b w:val="1"/>
          <w:bCs w:val="1"/>
          <w:sz w:val="23"/>
          <w:szCs w:val="23"/>
          <w:rtl w:val="0"/>
          <w:lang w:val="fr-FR"/>
        </w:rPr>
        <w:t xml:space="preserve">Abstract </w:t>
      </w:r>
    </w:p>
    <w:p>
      <w:pPr>
        <w:pStyle w:val="Default"/>
        <w:bidi w:val="0"/>
        <w:spacing w:before="0" w:after="240" w:line="360" w:lineRule="auto"/>
        <w:ind w:left="0" w:right="0" w:firstLine="0"/>
        <w:jc w:val="both"/>
        <w:rPr>
          <w:rtl w:val="0"/>
        </w:rPr>
      </w:pPr>
      <w:r>
        <w:rPr>
          <w:rFonts w:ascii="Arial" w:hAnsi="Arial"/>
          <w:b w:val="1"/>
          <w:bCs w:val="1"/>
          <w:sz w:val="23"/>
          <w:szCs w:val="23"/>
          <w:rtl w:val="0"/>
          <w:lang w:val="it-IT"/>
        </w:rPr>
        <w:t xml:space="preserve">Intro: </w:t>
      </w:r>
      <w:r>
        <w:rPr>
          <w:rFonts w:ascii="Arial" w:hAnsi="Arial"/>
          <w:sz w:val="23"/>
          <w:szCs w:val="23"/>
          <w:rtl w:val="0"/>
          <w:lang w:val="en-US"/>
        </w:rPr>
        <w:t xml:space="preserve">Fitness testing is a method of assessment used within PE lessons at secondary schools throughout the UK. The rationale for this research project was to explore the perspectives of teachers' implementation of fitness testing in a secondary school environment. Using the work of Rowland (1995) to determine if teachers are still using fitness testing as a means of assessment and teaching, or if the subject has progressed and implemented new innovative methods. </w:t>
      </w:r>
      <w:r>
        <w:rPr>
          <w:rFonts w:ascii="Arial" w:hAnsi="Arial"/>
          <w:b w:val="1"/>
          <w:bCs w:val="1"/>
          <w:sz w:val="23"/>
          <w:szCs w:val="23"/>
          <w:rtl w:val="0"/>
          <w:lang w:val="en-US"/>
        </w:rPr>
        <w:t xml:space="preserve">Method: </w:t>
      </w:r>
      <w:r>
        <w:rPr>
          <w:rFonts w:ascii="Arial" w:hAnsi="Arial"/>
          <w:sz w:val="23"/>
          <w:szCs w:val="23"/>
          <w:rtl w:val="0"/>
          <w:lang w:val="en-US"/>
        </w:rPr>
        <w:t xml:space="preserve">Participants for the study were solely secondary school PE teachers. This research study intended to collect data that was suitable for a mixed-method approach which involved the creation of a questionnaire. The questionnaire created had a mixture of open and closed questions, for the open- ended questions to collect teachers' opinions on fitness testing, published on Facebook. This process allowed for a deeper perception to be analysed from collected data. The questionnaire received a total of 16 responses, 8 males and 8 females. Through thematic analysis, all of the open- ended questions have emerged into themes of teachers' perceptions, implementation of fitness testing and perceptions of barriers and strengths. </w:t>
      </w:r>
      <w:r>
        <w:rPr>
          <w:rFonts w:ascii="Arial" w:hAnsi="Arial"/>
          <w:b w:val="1"/>
          <w:bCs w:val="1"/>
          <w:sz w:val="23"/>
          <w:szCs w:val="23"/>
          <w:rtl w:val="0"/>
          <w:lang w:val="en-US"/>
        </w:rPr>
        <w:t xml:space="preserve">Discussion: </w:t>
      </w:r>
      <w:r>
        <w:rPr>
          <w:rFonts w:ascii="Arial" w:hAnsi="Arial"/>
          <w:sz w:val="23"/>
          <w:szCs w:val="23"/>
          <w:rtl w:val="0"/>
          <w:lang w:val="en-US"/>
        </w:rPr>
        <w:t xml:space="preserve">It was found that teachers are still using fitness testing as a method of assessment and learning, this was a dominant aspect throughout the results. A main finding was that most respondents believed that fitness testing should be included within the curriculum, as it can provide benefits such as the understanding of fitness components. However, some respondents stated that they believe there is no necessary need for the implementation of fitness testing. </w:t>
      </w:r>
      <w:r>
        <w:rPr>
          <w:rFonts w:ascii="Arial" w:hAnsi="Arial"/>
          <w:b w:val="1"/>
          <w:bCs w:val="1"/>
          <w:sz w:val="23"/>
          <w:szCs w:val="23"/>
          <w:rtl w:val="0"/>
          <w:lang w:val="en-US"/>
        </w:rPr>
        <w:t xml:space="preserve">Conclusion: </w:t>
      </w:r>
      <w:r>
        <w:rPr>
          <w:rFonts w:ascii="Arial" w:hAnsi="Arial"/>
          <w:sz w:val="23"/>
          <w:szCs w:val="23"/>
          <w:rtl w:val="0"/>
          <w:lang w:val="en-US"/>
        </w:rPr>
        <w:t xml:space="preserve">Overall, from this research study, it could be found that fitness testing is still a dominant factor in PE throughout secondary school. In the case of future research, a different perspective such as the students would be undertaken, to gather evidence to determine if they believe there are benefits of fitness testing being taught. </w:t>
      </w:r>
      <w:r>
        <w:rPr>
          <w:rFonts w:ascii="Times Roman" w:cs="Times Roman" w:hAnsi="Times Roman" w:eastAsia="Times Roman"/>
          <w:sz w:val="23"/>
          <w:szCs w:val="23"/>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CG Times (WN)">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2"/>
      <w:szCs w:val="3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