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36CF94" w14:textId="63573E23" w:rsidR="00277ECE" w:rsidRDefault="00584A9D" w:rsidP="00277ECE">
      <w:pPr>
        <w:spacing w:line="259" w:lineRule="auto"/>
        <w:jc w:val="center"/>
        <w:rPr>
          <w:sz w:val="32"/>
          <w:szCs w:val="28"/>
        </w:rPr>
      </w:pPr>
      <w:r>
        <w:rPr>
          <w:noProof/>
          <w:lang w:eastAsia="en-GB"/>
        </w:rPr>
        <w:drawing>
          <wp:inline distT="0" distB="0" distL="0" distR="0" wp14:anchorId="24F7B93B" wp14:editId="4E89D138">
            <wp:extent cx="2381250"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81250" cy="876300"/>
                    </a:xfrm>
                    <a:prstGeom prst="rect">
                      <a:avLst/>
                    </a:prstGeom>
                  </pic:spPr>
                </pic:pic>
              </a:graphicData>
            </a:graphic>
          </wp:inline>
        </w:drawing>
      </w:r>
    </w:p>
    <w:p w14:paraId="2978FAF9" w14:textId="77777777" w:rsidR="00584A9D" w:rsidRDefault="00584A9D" w:rsidP="00584A9D">
      <w:pPr>
        <w:jc w:val="center"/>
        <w:rPr>
          <w:rFonts w:cs="Times New Roman"/>
          <w:b/>
          <w:bCs/>
          <w:color w:val="000000" w:themeColor="text1"/>
          <w:sz w:val="44"/>
          <w:szCs w:val="36"/>
        </w:rPr>
      </w:pPr>
    </w:p>
    <w:p w14:paraId="182C2172" w14:textId="290F3902" w:rsidR="00584A9D" w:rsidRDefault="00584A9D" w:rsidP="00584A9D">
      <w:pPr>
        <w:jc w:val="center"/>
        <w:rPr>
          <w:rFonts w:cs="Times New Roman"/>
          <w:b/>
          <w:bCs/>
          <w:color w:val="000000" w:themeColor="text1"/>
          <w:sz w:val="44"/>
          <w:szCs w:val="36"/>
        </w:rPr>
      </w:pPr>
      <w:r>
        <w:rPr>
          <w:rFonts w:cs="Times New Roman"/>
          <w:b/>
          <w:bCs/>
          <w:color w:val="000000" w:themeColor="text1"/>
          <w:sz w:val="44"/>
          <w:szCs w:val="36"/>
        </w:rPr>
        <w:t>BMPL 4009</w:t>
      </w:r>
    </w:p>
    <w:p w14:paraId="480AC4DD" w14:textId="49C9FE45" w:rsidR="00584A9D" w:rsidRPr="00277ECE" w:rsidRDefault="00584A9D" w:rsidP="00584A9D">
      <w:pPr>
        <w:jc w:val="center"/>
        <w:rPr>
          <w:sz w:val="32"/>
          <w:szCs w:val="28"/>
        </w:rPr>
      </w:pPr>
      <w:r>
        <w:rPr>
          <w:rFonts w:cs="Times New Roman"/>
          <w:b/>
          <w:bCs/>
          <w:color w:val="000000" w:themeColor="text1"/>
          <w:sz w:val="44"/>
          <w:szCs w:val="36"/>
        </w:rPr>
        <w:t>Criminal Law</w:t>
      </w:r>
    </w:p>
    <w:p w14:paraId="5269B316" w14:textId="43B5DDA0" w:rsidR="0097431C" w:rsidRPr="00277ECE" w:rsidRDefault="0097431C" w:rsidP="00277ECE">
      <w:pPr>
        <w:spacing w:line="259" w:lineRule="auto"/>
        <w:jc w:val="center"/>
        <w:rPr>
          <w:sz w:val="32"/>
          <w:szCs w:val="28"/>
        </w:rPr>
      </w:pPr>
      <w:r>
        <w:rPr>
          <w:sz w:val="32"/>
          <w:szCs w:val="28"/>
        </w:rPr>
        <w:t xml:space="preserve">Assignment title: </w:t>
      </w:r>
      <w:bookmarkStart w:id="0" w:name="_GoBack"/>
      <w:bookmarkEnd w:id="0"/>
      <w:r>
        <w:rPr>
          <w:sz w:val="32"/>
          <w:szCs w:val="28"/>
        </w:rPr>
        <w:t>Diminished Responsibility.</w:t>
      </w:r>
    </w:p>
    <w:p w14:paraId="3C85607D" w14:textId="2100A22A" w:rsidR="00277ECE" w:rsidRPr="00277ECE" w:rsidRDefault="00CE53A7" w:rsidP="00277ECE">
      <w:pPr>
        <w:spacing w:line="259" w:lineRule="auto"/>
        <w:jc w:val="center"/>
        <w:rPr>
          <w:sz w:val="32"/>
          <w:szCs w:val="28"/>
        </w:rPr>
      </w:pPr>
      <w:proofErr w:type="spellStart"/>
      <w:r>
        <w:rPr>
          <w:sz w:val="32"/>
          <w:szCs w:val="28"/>
        </w:rPr>
        <w:t>Dareema</w:t>
      </w:r>
      <w:proofErr w:type="spellEnd"/>
      <w:r>
        <w:rPr>
          <w:sz w:val="32"/>
          <w:szCs w:val="28"/>
        </w:rPr>
        <w:t xml:space="preserve"> </w:t>
      </w:r>
      <w:proofErr w:type="spellStart"/>
      <w:r>
        <w:rPr>
          <w:sz w:val="32"/>
          <w:szCs w:val="28"/>
        </w:rPr>
        <w:t>Rehman</w:t>
      </w:r>
      <w:proofErr w:type="spellEnd"/>
    </w:p>
    <w:p w14:paraId="3BD0242D" w14:textId="17846638" w:rsidR="00277ECE" w:rsidRDefault="00CE53A7" w:rsidP="00277ECE">
      <w:pPr>
        <w:spacing w:line="259" w:lineRule="auto"/>
        <w:jc w:val="center"/>
        <w:rPr>
          <w:rFonts w:eastAsiaTheme="majorEastAsia" w:cstheme="majorBidi"/>
          <w:b/>
          <w:color w:val="2F5496" w:themeColor="accent1" w:themeShade="BF"/>
          <w:sz w:val="32"/>
          <w:szCs w:val="32"/>
        </w:rPr>
      </w:pPr>
      <w:r>
        <w:rPr>
          <w:rFonts w:ascii="Arial" w:hAnsi="Arial" w:cs="Arial"/>
          <w:color w:val="333333"/>
          <w:shd w:val="clear" w:color="auto" w:fill="FFFFFF"/>
        </w:rPr>
        <w:t>2213395</w:t>
      </w:r>
      <w:r w:rsidR="00277ECE">
        <w:br w:type="page"/>
      </w:r>
    </w:p>
    <w:p w14:paraId="63D8026F" w14:textId="636BDB7D" w:rsidR="003A496C" w:rsidRDefault="003A496C" w:rsidP="003A496C">
      <w:pPr>
        <w:pStyle w:val="Heading1"/>
      </w:pPr>
      <w:r>
        <w:lastRenderedPageBreak/>
        <w:t>Introduction</w:t>
      </w:r>
    </w:p>
    <w:p w14:paraId="5E594E83" w14:textId="7DEF88A0" w:rsidR="00AA2728" w:rsidRDefault="00AA2728" w:rsidP="00AA2728">
      <w:r>
        <w:t xml:space="preserve">English criminal law includes the essential </w:t>
      </w:r>
      <w:proofErr w:type="spellStart"/>
      <w:r>
        <w:t>defense</w:t>
      </w:r>
      <w:proofErr w:type="spellEnd"/>
      <w:r>
        <w:t xml:space="preserve"> of reduced responsibility, which acknowledges that people with aberrant mental functioning may not be totally liable for their conduct. Prior to the passing of the Coroners and Justice Act of 2009, the legislation regarding reduced responsibility was based on the Murder Act of 1957</w:t>
      </w:r>
      <w:r w:rsidR="00991F0A">
        <w:t xml:space="preserve"> (</w:t>
      </w:r>
      <w:r w:rsidR="00991F0A">
        <w:rPr>
          <w:shd w:val="clear" w:color="auto" w:fill="FFFFFF"/>
        </w:rPr>
        <w:t>Mitchell, 2016)</w:t>
      </w:r>
      <w:r>
        <w:t xml:space="preserve">. The Murder Act (1957) was panned for being too prescriptive and difficult to circumvent. The </w:t>
      </w:r>
      <w:proofErr w:type="spellStart"/>
      <w:r>
        <w:t>defense</w:t>
      </w:r>
      <w:proofErr w:type="spellEnd"/>
      <w:r>
        <w:t xml:space="preserve"> of reduced responsibility underwent substantial revisions in 2009 as a result of the Coroners and Justice Act, which attempted to both expand its applicability and clarify its parameters. This essay will </w:t>
      </w:r>
      <w:proofErr w:type="spellStart"/>
      <w:r>
        <w:t>analyze</w:t>
      </w:r>
      <w:proofErr w:type="spellEnd"/>
      <w:r>
        <w:t xml:space="preserve"> whether or not the </w:t>
      </w:r>
      <w:proofErr w:type="spellStart"/>
      <w:r>
        <w:t>defense</w:t>
      </w:r>
      <w:proofErr w:type="spellEnd"/>
      <w:r>
        <w:t xml:space="preserve"> of reduced responsibility has been strengthened by the reforms made by the Coroners and Justice Act (2009).</w:t>
      </w:r>
    </w:p>
    <w:p w14:paraId="3CC82C9B" w14:textId="3BD99D71" w:rsidR="00AA2728" w:rsidRDefault="00AA2728" w:rsidP="00AA2728">
      <w:pPr>
        <w:pStyle w:val="Heading1"/>
      </w:pPr>
      <w:r>
        <w:t>Main Body</w:t>
      </w:r>
    </w:p>
    <w:p w14:paraId="2325EEF4" w14:textId="077F7A70" w:rsidR="00AA2728" w:rsidRDefault="00AA2728" w:rsidP="00AA2728">
      <w:r>
        <w:t xml:space="preserve">In English law, there is a partial </w:t>
      </w:r>
      <w:proofErr w:type="spellStart"/>
      <w:r>
        <w:t>defense</w:t>
      </w:r>
      <w:proofErr w:type="spellEnd"/>
      <w:r>
        <w:t xml:space="preserve"> to murder based on the theory of diminished culpability. </w:t>
      </w:r>
      <w:proofErr w:type="gramStart"/>
      <w:r>
        <w:t>An impairment</w:t>
      </w:r>
      <w:proofErr w:type="gramEnd"/>
      <w:r>
        <w:t xml:space="preserve"> in mental functioning at the time of the killing that seriously impeded the defendant's capacity to appreciate the nature of their action, to make a reasoned decision, or to exercise self-control may be used to reduce murder to manslaughter</w:t>
      </w:r>
      <w:r w:rsidR="00277ECE">
        <w:t xml:space="preserve"> (</w:t>
      </w:r>
      <w:r w:rsidR="00277ECE">
        <w:rPr>
          <w:shd w:val="clear" w:color="auto" w:fill="FFFFFF"/>
        </w:rPr>
        <w:t>Wu, 2020)</w:t>
      </w:r>
      <w:r>
        <w:t xml:space="preserve">. The Murder Act of 1957 was the first piece of legislation to recognize this </w:t>
      </w:r>
      <w:proofErr w:type="spellStart"/>
      <w:r>
        <w:t>defense</w:t>
      </w:r>
      <w:proofErr w:type="spellEnd"/>
      <w:r>
        <w:t xml:space="preserve"> and make it plain that it was within the purview of the jury to decide whether or not the defence applied and that the defendant had the burden of evidence to demonstrate it on the balance of probability.</w:t>
      </w:r>
    </w:p>
    <w:p w14:paraId="79952B29" w14:textId="6B39A8AE" w:rsidR="00AA2728" w:rsidRDefault="00AA2728" w:rsidP="00AA2728">
      <w:r>
        <w:t xml:space="preserve">The Murder Act of 1957 has rigorous criteria for proving the reduced responsibility </w:t>
      </w:r>
      <w:proofErr w:type="spellStart"/>
      <w:r>
        <w:t>defense</w:t>
      </w:r>
      <w:proofErr w:type="spellEnd"/>
      <w:r>
        <w:t xml:space="preserve">. A diagnosable mental ailment, such as schizophrenia, bipolar disorder, or depression, had to be shown as the root cause of the defendant's erratic </w:t>
      </w:r>
      <w:proofErr w:type="spellStart"/>
      <w:r>
        <w:t>behavior</w:t>
      </w:r>
      <w:proofErr w:type="spellEnd"/>
      <w:r>
        <w:t xml:space="preserve"> in court</w:t>
      </w:r>
      <w:r w:rsidR="00277ECE">
        <w:t xml:space="preserve"> (</w:t>
      </w:r>
      <w:r w:rsidR="00277ECE">
        <w:rPr>
          <w:shd w:val="clear" w:color="auto" w:fill="FFFFFF"/>
        </w:rPr>
        <w:t>Aronson, 2022)</w:t>
      </w:r>
      <w:r>
        <w:t xml:space="preserve">. The anomaly has to severely impede the person's capacity for insight into the motivations behind their actions, sound judgment, and discipline. The onus was placed on the defendant to prove that the anomaly directly contributed to the fatality. Although a viable </w:t>
      </w:r>
      <w:proofErr w:type="spellStart"/>
      <w:r>
        <w:t>defense</w:t>
      </w:r>
      <w:proofErr w:type="spellEnd"/>
      <w:r>
        <w:t xml:space="preserve"> option, the reduced responsibility argument has been criticized for being too limited and not taking into account the more nuanced understandings of mental illness that have emerged since its inception. The major complaint was that it focused too much on the causal relationship between the defendant's mental illness and the murder and not enough on the type and depth of the defendant's mental disease</w:t>
      </w:r>
      <w:r w:rsidR="00277ECE">
        <w:t xml:space="preserve"> (</w:t>
      </w:r>
      <w:r w:rsidR="00277ECE">
        <w:rPr>
          <w:shd w:val="clear" w:color="auto" w:fill="FFFFFF"/>
        </w:rPr>
        <w:t>Reed et al., 2021)</w:t>
      </w:r>
      <w:r>
        <w:t xml:space="preserve">. There was also a contention that the </w:t>
      </w:r>
      <w:proofErr w:type="spellStart"/>
      <w:r>
        <w:t>defense</w:t>
      </w:r>
      <w:proofErr w:type="spellEnd"/>
      <w:r>
        <w:t xml:space="preserve"> was inconsistently applied by </w:t>
      </w:r>
      <w:r>
        <w:lastRenderedPageBreak/>
        <w:t>the courts and that it failed to account for the reality that certain mental diseases, such as personality disorders, may not be accepted as medical ailments.</w:t>
      </w:r>
    </w:p>
    <w:p w14:paraId="6AA5B2A3" w14:textId="47FCDE40" w:rsidR="00AA2728" w:rsidRDefault="00AA2728" w:rsidP="00AA2728">
      <w:r>
        <w:t xml:space="preserve">The government adopted the Coroners and Justice Act 2009 in response to these concerns, with the intention of updating the legislation regarding reduced responsibility. The Act's Section 52 made a number of substantial amendments to the </w:t>
      </w:r>
      <w:proofErr w:type="spellStart"/>
      <w:r>
        <w:t>defense</w:t>
      </w:r>
      <w:proofErr w:type="spellEnd"/>
      <w:r>
        <w:t xml:space="preserve"> in order to widen its applicability and make it more accessible to defendants with mental conditions</w:t>
      </w:r>
      <w:r w:rsidR="00277ECE">
        <w:t xml:space="preserve"> (</w:t>
      </w:r>
      <w:proofErr w:type="spellStart"/>
      <w:proofErr w:type="gramStart"/>
      <w:r w:rsidR="00277ECE">
        <w:rPr>
          <w:shd w:val="clear" w:color="auto" w:fill="FFFFFF"/>
        </w:rPr>
        <w:t>Sng</w:t>
      </w:r>
      <w:proofErr w:type="spellEnd"/>
      <w:proofErr w:type="gramEnd"/>
      <w:r w:rsidR="00277ECE">
        <w:rPr>
          <w:shd w:val="clear" w:color="auto" w:fill="FFFFFF"/>
        </w:rPr>
        <w:t>, 2016)</w:t>
      </w:r>
      <w:r>
        <w:t>. The phrase "recognized medical condition" was largely replaced with the more general "abnormality of mental functioning" as one of the Act's fundamental revisions. This modification was made to account for the fact that while personality disorders may not be officially classified as mental diseases, they may have a profound effect on a defendant's ability to think clearly in court.</w:t>
      </w:r>
    </w:p>
    <w:p w14:paraId="71C30E6C" w14:textId="0C03D695" w:rsidR="00AA2728" w:rsidRDefault="00AA2728" w:rsidP="00AA2728">
      <w:r>
        <w:t xml:space="preserve">In addition, a two-prong defence-establishing test was included, which is a major modification. In order to go to the second stage, the defendant must first prove that they were unable to exercise self-control, reasonable judgment, or grasp the nature of their </w:t>
      </w:r>
      <w:proofErr w:type="spellStart"/>
      <w:r>
        <w:t>behavior</w:t>
      </w:r>
      <w:proofErr w:type="spellEnd"/>
      <w:r>
        <w:t xml:space="preserve"> due to a mental disorder</w:t>
      </w:r>
      <w:r w:rsidR="00277ECE">
        <w:t xml:space="preserve"> (</w:t>
      </w:r>
      <w:r w:rsidR="00277ECE">
        <w:rPr>
          <w:shd w:val="clear" w:color="auto" w:fill="FFFFFF"/>
        </w:rPr>
        <w:t>Jenkins, 2018)</w:t>
      </w:r>
      <w:r>
        <w:t xml:space="preserve">. In the second phase, the defendant must prove that they were unable to foresee the consequences of their actions because of their mental dysfunction. In addition, the Act established that defendants whose victims died as a consequence of mental illness, drug misuse, or both might raise the </w:t>
      </w:r>
      <w:proofErr w:type="spellStart"/>
      <w:r>
        <w:t>defense</w:t>
      </w:r>
      <w:proofErr w:type="spellEnd"/>
      <w:r>
        <w:t xml:space="preserve"> of diminished culpability.</w:t>
      </w:r>
    </w:p>
    <w:p w14:paraId="630D450F" w14:textId="1176F36E" w:rsidR="00AA2728" w:rsidRDefault="00AA2728" w:rsidP="00AA2728">
      <w:r>
        <w:t xml:space="preserve">The Coroners and Justice Act of 2009 introduced a number of changes to the diminished responsibility </w:t>
      </w:r>
      <w:proofErr w:type="spellStart"/>
      <w:r>
        <w:t>defense</w:t>
      </w:r>
      <w:proofErr w:type="spellEnd"/>
      <w:r>
        <w:t xml:space="preserve"> in an effort to increase its availability to defendants suffering from mental illness</w:t>
      </w:r>
      <w:r w:rsidR="00277ECE">
        <w:t xml:space="preserve"> (</w:t>
      </w:r>
      <w:proofErr w:type="spellStart"/>
      <w:r w:rsidR="00277ECE">
        <w:rPr>
          <w:shd w:val="clear" w:color="auto" w:fill="FFFFFF"/>
        </w:rPr>
        <w:t>Tagliavini</w:t>
      </w:r>
      <w:proofErr w:type="spellEnd"/>
      <w:r w:rsidR="00277ECE">
        <w:rPr>
          <w:shd w:val="clear" w:color="auto" w:fill="FFFFFF"/>
        </w:rPr>
        <w:t>, 2017)</w:t>
      </w:r>
      <w:r>
        <w:t>. Many in the legal and mental health communities applauded the Act, seeing it as an important step toward acknowledging the nuances of mental illness and how it might affect a defendant's capacity to make sound decisions and show restraint. The Murder Act (1957) was criticized for its strict and limited scope. The law did not take into account the defendant's history of abuse, trauma, or drug abuse, nor did it take into account the unique circumstances of the situation in which the crime was committed. There was no provision in the legislation for the effect of extra-medical elements on the defendant's mental state and its connection to the crime</w:t>
      </w:r>
      <w:r w:rsidR="00277ECE">
        <w:t xml:space="preserve"> (</w:t>
      </w:r>
      <w:proofErr w:type="spellStart"/>
      <w:r w:rsidR="00277ECE">
        <w:rPr>
          <w:shd w:val="clear" w:color="auto" w:fill="FFFFFF"/>
        </w:rPr>
        <w:t>Wasik</w:t>
      </w:r>
      <w:proofErr w:type="spellEnd"/>
      <w:r w:rsidR="00277ECE">
        <w:rPr>
          <w:shd w:val="clear" w:color="auto" w:fill="FFFFFF"/>
        </w:rPr>
        <w:t>, 2019)</w:t>
      </w:r>
      <w:r>
        <w:t>.</w:t>
      </w:r>
    </w:p>
    <w:p w14:paraId="0F1F4C29" w14:textId="69D72B7D" w:rsidR="00AA2728" w:rsidRDefault="00AA2728" w:rsidP="00AA2728">
      <w:r>
        <w:t xml:space="preserve">Changes to the reduced responsibility </w:t>
      </w:r>
      <w:proofErr w:type="spellStart"/>
      <w:r>
        <w:t>defense</w:t>
      </w:r>
      <w:proofErr w:type="spellEnd"/>
      <w:r>
        <w:t xml:space="preserve"> were made by the Coroners and Justice Act of 2009. The Murder Act (1957) was superseded by a more inclusive and adaptable statute, which was enacted as Section 52 of the Act</w:t>
      </w:r>
      <w:r w:rsidR="00991F0A">
        <w:t xml:space="preserve"> (</w:t>
      </w:r>
      <w:r w:rsidR="00991F0A">
        <w:rPr>
          <w:shd w:val="clear" w:color="auto" w:fill="FFFFFF"/>
        </w:rPr>
        <w:t>Mitchell, 2016)</w:t>
      </w:r>
      <w:r>
        <w:t xml:space="preserve">. A defendant might claim reduced </w:t>
      </w:r>
      <w:r>
        <w:lastRenderedPageBreak/>
        <w:t xml:space="preserve">responsibility under the new rule if they could not appreciate the seriousness of their actions, make sound decisions, or control their impulses due to an abnormality of mental functioning. This impairment could have resulted from any source. To help courts decide if a defendant's aberrant mental functioning seriously hindered their capacity to regulate their </w:t>
      </w:r>
      <w:proofErr w:type="spellStart"/>
      <w:r>
        <w:t>behavior</w:t>
      </w:r>
      <w:proofErr w:type="spellEnd"/>
      <w:r>
        <w:t>, the Act also provided a list of criteria that may be taken into consideration. The age of the accused, the defendant's history of abuse or trauma, the defendant's present or prior drug usage, and any other pertinent features or circumstances were all taken into account</w:t>
      </w:r>
      <w:r w:rsidR="00991F0A">
        <w:t xml:space="preserve"> (</w:t>
      </w:r>
      <w:r w:rsidR="00991F0A">
        <w:rPr>
          <w:shd w:val="clear" w:color="auto" w:fill="FFFFFF"/>
        </w:rPr>
        <w:t>Wu, 2020)</w:t>
      </w:r>
      <w:r>
        <w:t>. With this new rule in place, the court might look at the defendant's mental health and its connection to the crime from a more holistic perspective.</w:t>
      </w:r>
    </w:p>
    <w:p w14:paraId="3EB9701A" w14:textId="632051E9" w:rsidR="00AA2728" w:rsidRDefault="00AA2728" w:rsidP="00AA2728">
      <w:r>
        <w:t xml:space="preserve">The new rule has a number of benefits, one of which is that it has widened the pool of people who may use the reduced responsibility </w:t>
      </w:r>
      <w:proofErr w:type="spellStart"/>
      <w:r>
        <w:t>defense</w:t>
      </w:r>
      <w:proofErr w:type="spellEnd"/>
      <w:r>
        <w:t>, such as those with mental health issues or those who have had significant life changes</w:t>
      </w:r>
      <w:r w:rsidR="00277ECE">
        <w:t xml:space="preserve"> (</w:t>
      </w:r>
      <w:r w:rsidR="00277ECE">
        <w:rPr>
          <w:shd w:val="clear" w:color="auto" w:fill="FFFFFF"/>
        </w:rPr>
        <w:t>Aronson, 2022)</w:t>
      </w:r>
      <w:r>
        <w:t>. For defendants who did not have a precise medical diagnosis or whose illness was not recognized as a sickness of the mind, the expanded definition of abnormality of mental functioning and the inclusion of non-medical variables has permitted them to claim that their mental state was damaged. The new rule is helpful because it permits a more nuanced and situational analysis of the defendant's mental state and its relevance to the crime. The court may now consider the defendant's background, including any abuse, trauma, or drug abuse, when determining the defendant's mental condition</w:t>
      </w:r>
      <w:r w:rsidR="00277ECE">
        <w:t xml:space="preserve"> (</w:t>
      </w:r>
      <w:r w:rsidR="00277ECE">
        <w:rPr>
          <w:shd w:val="clear" w:color="auto" w:fill="FFFFFF"/>
        </w:rPr>
        <w:t>Reed et al., 2021)</w:t>
      </w:r>
      <w:r>
        <w:t>. By doing so, we may have a clearer and more detailed picture of the defendant's mental state, which can assist in preventing unfair outcomes.</w:t>
      </w:r>
    </w:p>
    <w:p w14:paraId="6B0E598E" w14:textId="6BAC6D05" w:rsidR="00AA2728" w:rsidRDefault="00AA2728" w:rsidP="00AA2728">
      <w:r>
        <w:t xml:space="preserve">Although the Coroners and Justice Act has brought about many positive developments, it has also brought about some less-than-desirable consequences (2009). The application of the </w:t>
      </w:r>
      <w:proofErr w:type="spellStart"/>
      <w:r>
        <w:t>defense</w:t>
      </w:r>
      <w:proofErr w:type="spellEnd"/>
      <w:r>
        <w:t xml:space="preserve"> of reduced responsibility may become murky and inconsistent as a result of the new rule, which is cause for worry</w:t>
      </w:r>
      <w:r w:rsidR="00277ECE">
        <w:t xml:space="preserve"> (</w:t>
      </w:r>
      <w:r w:rsidR="00277ECE">
        <w:rPr>
          <w:shd w:val="clear" w:color="auto" w:fill="FFFFFF"/>
        </w:rPr>
        <w:t>Powell, 2015)</w:t>
      </w:r>
      <w:r>
        <w:t xml:space="preserve">. The new rule is more open to debate and interpretation, which might lead to contradictory rulings in various situations and before different courts. The efficiency of the </w:t>
      </w:r>
      <w:proofErr w:type="spellStart"/>
      <w:r>
        <w:t>defense</w:t>
      </w:r>
      <w:proofErr w:type="spellEnd"/>
      <w:r>
        <w:t xml:space="preserve"> may be diminished if defendants, attorneys, and judges are all thrown into a state of bewilderment and doubt.</w:t>
      </w:r>
    </w:p>
    <w:p w14:paraId="208E7AB3" w14:textId="064458A2" w:rsidR="00AA2728" w:rsidRDefault="00AA2728" w:rsidP="00AA2728">
      <w:r>
        <w:t xml:space="preserve">Another worry is that more people would try to use the diminished responsibility </w:t>
      </w:r>
      <w:proofErr w:type="spellStart"/>
      <w:r>
        <w:t>defense</w:t>
      </w:r>
      <w:proofErr w:type="spellEnd"/>
      <w:r>
        <w:t xml:space="preserve"> to get out of jail or have their sentences reduced as a result of the reforms</w:t>
      </w:r>
      <w:r w:rsidR="00277ECE">
        <w:t xml:space="preserve"> (</w:t>
      </w:r>
      <w:r w:rsidR="00277ECE">
        <w:rPr>
          <w:shd w:val="clear" w:color="auto" w:fill="FFFFFF"/>
        </w:rPr>
        <w:t>Richards et al., 2021)</w:t>
      </w:r>
      <w:r>
        <w:t xml:space="preserve">. A larger spectrum of defendants may attempt to depend on the </w:t>
      </w:r>
      <w:proofErr w:type="spellStart"/>
      <w:r>
        <w:t>defense</w:t>
      </w:r>
      <w:proofErr w:type="spellEnd"/>
      <w:r>
        <w:t xml:space="preserve">, even when the defendant's </w:t>
      </w:r>
      <w:r>
        <w:lastRenderedPageBreak/>
        <w:t xml:space="preserve">mental condition does not severely hinder their capacity to control their </w:t>
      </w:r>
      <w:proofErr w:type="spellStart"/>
      <w:r>
        <w:t>behavior</w:t>
      </w:r>
      <w:proofErr w:type="spellEnd"/>
      <w:r>
        <w:t xml:space="preserve">, due to the broader definition of abnormality of mental functioning and the inclusion of non-medical reasons. There is a risk that this will lower the value of the </w:t>
      </w:r>
      <w:proofErr w:type="spellStart"/>
      <w:r>
        <w:t>defense</w:t>
      </w:r>
      <w:proofErr w:type="spellEnd"/>
      <w:r>
        <w:t xml:space="preserve"> and cause the public to lose faith in the judicial system. The Coroners and Justice Act of 2009 made significant improvements, but the legislation on reduced responsibility still </w:t>
      </w:r>
      <w:r w:rsidR="00277ECE">
        <w:t>needs</w:t>
      </w:r>
      <w:r>
        <w:t xml:space="preserve"> further modification. The problem of automation and the link between it and less accountability is one possible area for change. The term "automatism" is used to describe a defendant's involuntary </w:t>
      </w:r>
      <w:proofErr w:type="spellStart"/>
      <w:r>
        <w:t>behavior</w:t>
      </w:r>
      <w:proofErr w:type="spellEnd"/>
      <w:r>
        <w:t xml:space="preserve"> during a seizure or dissociative episode</w:t>
      </w:r>
      <w:r w:rsidR="00277ECE">
        <w:t xml:space="preserve"> (</w:t>
      </w:r>
      <w:r w:rsidR="00277ECE">
        <w:rPr>
          <w:shd w:val="clear" w:color="auto" w:fill="FFFFFF"/>
        </w:rPr>
        <w:t>Reed et al., 2021)</w:t>
      </w:r>
      <w:r>
        <w:t xml:space="preserve">. There is a lack of clarity in the law on the connection between the </w:t>
      </w:r>
      <w:proofErr w:type="spellStart"/>
      <w:r>
        <w:t>defense</w:t>
      </w:r>
      <w:proofErr w:type="spellEnd"/>
      <w:r>
        <w:t xml:space="preserve"> of automatism and the </w:t>
      </w:r>
      <w:proofErr w:type="spellStart"/>
      <w:r>
        <w:t>defense</w:t>
      </w:r>
      <w:proofErr w:type="spellEnd"/>
      <w:r>
        <w:t xml:space="preserve"> of reduced responsibility.</w:t>
      </w:r>
    </w:p>
    <w:p w14:paraId="1505DDE7" w14:textId="0D4BA3B1" w:rsidR="00AA2728" w:rsidRDefault="00AA2728" w:rsidP="00AA2728">
      <w:pPr>
        <w:pStyle w:val="Heading1"/>
      </w:pPr>
      <w:r>
        <w:t>Conclusion</w:t>
      </w:r>
    </w:p>
    <w:p w14:paraId="51677F9B" w14:textId="6A128994" w:rsidR="000D27AC" w:rsidRDefault="00AA2728" w:rsidP="00AA2728">
      <w:r>
        <w:t xml:space="preserve">Significant modifications to the </w:t>
      </w:r>
      <w:proofErr w:type="spellStart"/>
      <w:r>
        <w:t>defense</w:t>
      </w:r>
      <w:proofErr w:type="spellEnd"/>
      <w:r>
        <w:t xml:space="preserve"> of diminished responsibility in the United Kingdom were made by the Coroners and Justice Act of 2009. The new law extended the definition of decreased responsibility, widened its applicability, and included a partial </w:t>
      </w:r>
      <w:proofErr w:type="spellStart"/>
      <w:r>
        <w:t>defense</w:t>
      </w:r>
      <w:proofErr w:type="spellEnd"/>
      <w:r>
        <w:t xml:space="preserve"> of loss of control. Although most people are pleased with the modifications, there are many who believe the legislation does not go far enough in considering the defendants' mental health. The potential for ambiguity and inconsistent application of the new regulations has also been raised as a source of worry. The Coroners and Justice Act of 2009 unquestionably represented a watershed moment in the evolution of the UK's legislation on reduced responsibility. But, as with any legislative reform, there is always an opportunity for further development, and it is probable that the subject of mental health and the criminal justice system will continue to be a major topic of debate and discussion in the years to come.</w:t>
      </w:r>
    </w:p>
    <w:p w14:paraId="569E7CE6" w14:textId="77777777" w:rsidR="000D27AC" w:rsidRDefault="000D27AC">
      <w:pPr>
        <w:spacing w:line="259" w:lineRule="auto"/>
        <w:jc w:val="left"/>
      </w:pPr>
      <w:r>
        <w:br w:type="page"/>
      </w:r>
    </w:p>
    <w:p w14:paraId="6FC5994B" w14:textId="3736F9E4" w:rsidR="003A496C" w:rsidRDefault="000D27AC" w:rsidP="000D27AC">
      <w:pPr>
        <w:pStyle w:val="Heading1"/>
      </w:pPr>
      <w:r>
        <w:lastRenderedPageBreak/>
        <w:t>References</w:t>
      </w:r>
    </w:p>
    <w:p w14:paraId="0E85B64C" w14:textId="77777777" w:rsidR="00277ECE" w:rsidRDefault="00277ECE" w:rsidP="00991F0A">
      <w:pPr>
        <w:ind w:left="720" w:hanging="720"/>
        <w:rPr>
          <w:shd w:val="clear" w:color="auto" w:fill="FFFFFF"/>
        </w:rPr>
      </w:pPr>
      <w:r>
        <w:rPr>
          <w:shd w:val="clear" w:color="auto" w:fill="FFFFFF"/>
        </w:rPr>
        <w:t xml:space="preserve">Aronson, J.K., 2022. When I use a word.... </w:t>
      </w:r>
      <w:proofErr w:type="gramStart"/>
      <w:r>
        <w:rPr>
          <w:shd w:val="clear" w:color="auto" w:fill="FFFFFF"/>
        </w:rPr>
        <w:t>Too little healthcare—coroners’ concerns.</w:t>
      </w:r>
      <w:proofErr w:type="gramEnd"/>
      <w:r>
        <w:rPr>
          <w:shd w:val="clear" w:color="auto" w:fill="FFFFFF"/>
        </w:rPr>
        <w:t> </w:t>
      </w:r>
      <w:proofErr w:type="spellStart"/>
      <w:proofErr w:type="gramStart"/>
      <w:r>
        <w:rPr>
          <w:i/>
          <w:iCs/>
          <w:shd w:val="clear" w:color="auto" w:fill="FFFFFF"/>
        </w:rPr>
        <w:t>bmj</w:t>
      </w:r>
      <w:proofErr w:type="spellEnd"/>
      <w:proofErr w:type="gramEnd"/>
      <w:r>
        <w:rPr>
          <w:shd w:val="clear" w:color="auto" w:fill="FFFFFF"/>
        </w:rPr>
        <w:t>, </w:t>
      </w:r>
      <w:r>
        <w:rPr>
          <w:i/>
          <w:iCs/>
          <w:shd w:val="clear" w:color="auto" w:fill="FFFFFF"/>
        </w:rPr>
        <w:t>379</w:t>
      </w:r>
      <w:r>
        <w:rPr>
          <w:shd w:val="clear" w:color="auto" w:fill="FFFFFF"/>
        </w:rPr>
        <w:t>.</w:t>
      </w:r>
    </w:p>
    <w:p w14:paraId="3AAF29B2" w14:textId="77777777" w:rsidR="00277ECE" w:rsidRDefault="00277ECE" w:rsidP="00991F0A">
      <w:pPr>
        <w:ind w:left="720" w:hanging="720"/>
        <w:rPr>
          <w:shd w:val="clear" w:color="auto" w:fill="FFFFFF"/>
        </w:rPr>
      </w:pPr>
      <w:r>
        <w:rPr>
          <w:shd w:val="clear" w:color="auto" w:fill="FFFFFF"/>
        </w:rPr>
        <w:t xml:space="preserve">Clough, A., 2016. </w:t>
      </w:r>
      <w:proofErr w:type="gramStart"/>
      <w:r>
        <w:rPr>
          <w:shd w:val="clear" w:color="auto" w:fill="FFFFFF"/>
        </w:rPr>
        <w:t>Honour killings, partial defences and the exclusionary conduct model.</w:t>
      </w:r>
      <w:proofErr w:type="gramEnd"/>
      <w:r>
        <w:rPr>
          <w:shd w:val="clear" w:color="auto" w:fill="FFFFFF"/>
        </w:rPr>
        <w:t> </w:t>
      </w:r>
      <w:proofErr w:type="gramStart"/>
      <w:r>
        <w:rPr>
          <w:i/>
          <w:iCs/>
          <w:shd w:val="clear" w:color="auto" w:fill="FFFFFF"/>
        </w:rPr>
        <w:t>The Journal of Criminal Law</w:t>
      </w:r>
      <w:r>
        <w:rPr>
          <w:shd w:val="clear" w:color="auto" w:fill="FFFFFF"/>
        </w:rPr>
        <w:t>, </w:t>
      </w:r>
      <w:r>
        <w:rPr>
          <w:i/>
          <w:iCs/>
          <w:shd w:val="clear" w:color="auto" w:fill="FFFFFF"/>
        </w:rPr>
        <w:t>80</w:t>
      </w:r>
      <w:r>
        <w:rPr>
          <w:shd w:val="clear" w:color="auto" w:fill="FFFFFF"/>
        </w:rPr>
        <w:t>(3), pp.177-187.</w:t>
      </w:r>
      <w:proofErr w:type="gramEnd"/>
    </w:p>
    <w:p w14:paraId="6CDF7252" w14:textId="77777777" w:rsidR="00277ECE" w:rsidRDefault="00277ECE" w:rsidP="00991F0A">
      <w:pPr>
        <w:ind w:left="720" w:hanging="720"/>
        <w:rPr>
          <w:shd w:val="clear" w:color="auto" w:fill="FFFFFF"/>
        </w:rPr>
      </w:pPr>
      <w:r>
        <w:rPr>
          <w:shd w:val="clear" w:color="auto" w:fill="FFFFFF"/>
        </w:rPr>
        <w:t xml:space="preserve">Griffith, R., 2017. </w:t>
      </w:r>
      <w:proofErr w:type="gramStart"/>
      <w:r>
        <w:rPr>
          <w:shd w:val="clear" w:color="auto" w:fill="FFFFFF"/>
        </w:rPr>
        <w:t>Deprivation of liberty safeguard</w:t>
      </w:r>
      <w:proofErr w:type="gramEnd"/>
      <w:r>
        <w:rPr>
          <w:shd w:val="clear" w:color="auto" w:fill="FFFFFF"/>
        </w:rPr>
        <w:t xml:space="preserve"> deaths: changes to reporting requirements. </w:t>
      </w:r>
      <w:proofErr w:type="gramStart"/>
      <w:r>
        <w:rPr>
          <w:i/>
          <w:iCs/>
          <w:shd w:val="clear" w:color="auto" w:fill="FFFFFF"/>
        </w:rPr>
        <w:t>British Journal of Nursing</w:t>
      </w:r>
      <w:r>
        <w:rPr>
          <w:shd w:val="clear" w:color="auto" w:fill="FFFFFF"/>
        </w:rPr>
        <w:t>, </w:t>
      </w:r>
      <w:r>
        <w:rPr>
          <w:i/>
          <w:iCs/>
          <w:shd w:val="clear" w:color="auto" w:fill="FFFFFF"/>
        </w:rPr>
        <w:t>26</w:t>
      </w:r>
      <w:r>
        <w:rPr>
          <w:shd w:val="clear" w:color="auto" w:fill="FFFFFF"/>
        </w:rPr>
        <w:t>(7), pp.428-429.</w:t>
      </w:r>
      <w:proofErr w:type="gramEnd"/>
    </w:p>
    <w:p w14:paraId="533199C4" w14:textId="77777777" w:rsidR="00277ECE" w:rsidRDefault="00277ECE" w:rsidP="00991F0A">
      <w:pPr>
        <w:ind w:left="720" w:hanging="720"/>
        <w:rPr>
          <w:shd w:val="clear" w:color="auto" w:fill="FFFFFF"/>
        </w:rPr>
      </w:pPr>
      <w:proofErr w:type="gramStart"/>
      <w:r>
        <w:rPr>
          <w:shd w:val="clear" w:color="auto" w:fill="FFFFFF"/>
        </w:rPr>
        <w:t>Jenkins, S., 2018.</w:t>
      </w:r>
      <w:proofErr w:type="gramEnd"/>
      <w:r>
        <w:rPr>
          <w:shd w:val="clear" w:color="auto" w:fill="FFFFFF"/>
        </w:rPr>
        <w:t> </w:t>
      </w:r>
      <w:proofErr w:type="gramStart"/>
      <w:r>
        <w:rPr>
          <w:shd w:val="clear" w:color="auto" w:fill="FFFFFF"/>
        </w:rPr>
        <w:t>Virtual child pornography–policing fantasy?</w:t>
      </w:r>
      <w:proofErr w:type="gramEnd"/>
      <w:r>
        <w:rPr>
          <w:shd w:val="clear" w:color="auto" w:fill="FFFFFF"/>
        </w:rPr>
        <w:t xml:space="preserve"> </w:t>
      </w:r>
      <w:proofErr w:type="gramStart"/>
      <w:r>
        <w:rPr>
          <w:shd w:val="clear" w:color="auto" w:fill="FFFFFF"/>
        </w:rPr>
        <w:t>A critical evaluation of the justifications for the criminalisation of virtual child pornography (VCP) (Doctoral dissertation, Middlesex University).</w:t>
      </w:r>
      <w:proofErr w:type="gramEnd"/>
    </w:p>
    <w:p w14:paraId="30E4D649" w14:textId="77777777" w:rsidR="00277ECE" w:rsidRDefault="00277ECE" w:rsidP="00991F0A">
      <w:pPr>
        <w:ind w:left="720" w:hanging="720"/>
        <w:rPr>
          <w:shd w:val="clear" w:color="auto" w:fill="FFFFFF"/>
        </w:rPr>
      </w:pPr>
      <w:r>
        <w:rPr>
          <w:shd w:val="clear" w:color="auto" w:fill="FFFFFF"/>
        </w:rPr>
        <w:t xml:space="preserve">Leary, A., </w:t>
      </w:r>
      <w:proofErr w:type="spellStart"/>
      <w:r>
        <w:rPr>
          <w:shd w:val="clear" w:color="auto" w:fill="FFFFFF"/>
        </w:rPr>
        <w:t>Bushe</w:t>
      </w:r>
      <w:proofErr w:type="spellEnd"/>
      <w:r>
        <w:rPr>
          <w:shd w:val="clear" w:color="auto" w:fill="FFFFFF"/>
        </w:rPr>
        <w:t xml:space="preserve">, D., </w:t>
      </w:r>
      <w:proofErr w:type="spellStart"/>
      <w:r>
        <w:rPr>
          <w:shd w:val="clear" w:color="auto" w:fill="FFFFFF"/>
        </w:rPr>
        <w:t>Oldman</w:t>
      </w:r>
      <w:proofErr w:type="spellEnd"/>
      <w:r>
        <w:rPr>
          <w:shd w:val="clear" w:color="auto" w:fill="FFFFFF"/>
        </w:rPr>
        <w:t xml:space="preserve">, C., Lawler, J. and </w:t>
      </w:r>
      <w:proofErr w:type="spellStart"/>
      <w:r>
        <w:rPr>
          <w:shd w:val="clear" w:color="auto" w:fill="FFFFFF"/>
        </w:rPr>
        <w:t>Punshon</w:t>
      </w:r>
      <w:proofErr w:type="spellEnd"/>
      <w:r>
        <w:rPr>
          <w:shd w:val="clear" w:color="auto" w:fill="FFFFFF"/>
        </w:rPr>
        <w:t>, G., 2021. A thematic analysis of the prevention of future deaths reports in healthcare from HM coroners in England and Wales 2016–2019. </w:t>
      </w:r>
      <w:proofErr w:type="gramStart"/>
      <w:r>
        <w:rPr>
          <w:i/>
          <w:iCs/>
          <w:shd w:val="clear" w:color="auto" w:fill="FFFFFF"/>
        </w:rPr>
        <w:t>Journal of Patient Safety and Risk Management</w:t>
      </w:r>
      <w:r>
        <w:rPr>
          <w:shd w:val="clear" w:color="auto" w:fill="FFFFFF"/>
        </w:rPr>
        <w:t>, </w:t>
      </w:r>
      <w:r>
        <w:rPr>
          <w:i/>
          <w:iCs/>
          <w:shd w:val="clear" w:color="auto" w:fill="FFFFFF"/>
        </w:rPr>
        <w:t>26</w:t>
      </w:r>
      <w:r>
        <w:rPr>
          <w:shd w:val="clear" w:color="auto" w:fill="FFFFFF"/>
        </w:rPr>
        <w:t>(1), pp.14-21.</w:t>
      </w:r>
      <w:proofErr w:type="gramEnd"/>
    </w:p>
    <w:p w14:paraId="55FD7F71" w14:textId="77777777" w:rsidR="00277ECE" w:rsidRDefault="00277ECE" w:rsidP="00991F0A">
      <w:pPr>
        <w:ind w:left="720" w:hanging="720"/>
        <w:rPr>
          <w:shd w:val="clear" w:color="auto" w:fill="FFFFFF"/>
        </w:rPr>
      </w:pPr>
      <w:r>
        <w:rPr>
          <w:shd w:val="clear" w:color="auto" w:fill="FFFFFF"/>
        </w:rPr>
        <w:t>Mitchell, B., 2016. Loss of self-control under the Coroners and Justice Act 2009: oh no</w:t>
      </w:r>
      <w:proofErr w:type="gramStart"/>
      <w:r>
        <w:rPr>
          <w:shd w:val="clear" w:color="auto" w:fill="FFFFFF"/>
        </w:rPr>
        <w:t>!.</w:t>
      </w:r>
      <w:proofErr w:type="gramEnd"/>
      <w:r>
        <w:rPr>
          <w:shd w:val="clear" w:color="auto" w:fill="FFFFFF"/>
        </w:rPr>
        <w:t xml:space="preserve"> </w:t>
      </w:r>
      <w:proofErr w:type="gramStart"/>
      <w:r>
        <w:rPr>
          <w:shd w:val="clear" w:color="auto" w:fill="FFFFFF"/>
        </w:rPr>
        <w:t>In </w:t>
      </w:r>
      <w:r>
        <w:rPr>
          <w:i/>
          <w:iCs/>
          <w:shd w:val="clear" w:color="auto" w:fill="FFFFFF"/>
        </w:rPr>
        <w:t>Loss of Control and Diminished Responsibility</w:t>
      </w:r>
      <w:r>
        <w:rPr>
          <w:shd w:val="clear" w:color="auto" w:fill="FFFFFF"/>
        </w:rPr>
        <w:t> (pp. 39-50).</w:t>
      </w:r>
      <w:proofErr w:type="gramEnd"/>
      <w:r>
        <w:rPr>
          <w:shd w:val="clear" w:color="auto" w:fill="FFFFFF"/>
        </w:rPr>
        <w:t xml:space="preserve"> </w:t>
      </w:r>
      <w:proofErr w:type="spellStart"/>
      <w:proofErr w:type="gramStart"/>
      <w:r>
        <w:rPr>
          <w:shd w:val="clear" w:color="auto" w:fill="FFFFFF"/>
        </w:rPr>
        <w:t>Routledge</w:t>
      </w:r>
      <w:proofErr w:type="spellEnd"/>
      <w:r>
        <w:rPr>
          <w:shd w:val="clear" w:color="auto" w:fill="FFFFFF"/>
        </w:rPr>
        <w:t>.</w:t>
      </w:r>
      <w:proofErr w:type="gramEnd"/>
    </w:p>
    <w:p w14:paraId="790EF27B" w14:textId="77777777" w:rsidR="00277ECE" w:rsidRDefault="00277ECE" w:rsidP="00991F0A">
      <w:pPr>
        <w:ind w:left="720" w:hanging="720"/>
        <w:rPr>
          <w:shd w:val="clear" w:color="auto" w:fill="FFFFFF"/>
        </w:rPr>
      </w:pPr>
      <w:r>
        <w:rPr>
          <w:shd w:val="clear" w:color="auto" w:fill="FFFFFF"/>
        </w:rPr>
        <w:t>Powell, J., 2015. Excessive warranted emotional killing: proposing a new partial defence following an evaluation of the Coroners and Justice Act 2009 reform (Doctoral dissertation, University of Birmingham).</w:t>
      </w:r>
    </w:p>
    <w:p w14:paraId="4D79501E" w14:textId="77777777" w:rsidR="00277ECE" w:rsidRDefault="00277ECE" w:rsidP="00991F0A">
      <w:pPr>
        <w:ind w:left="720" w:hanging="720"/>
        <w:rPr>
          <w:shd w:val="clear" w:color="auto" w:fill="FFFFFF"/>
        </w:rPr>
      </w:pPr>
      <w:r>
        <w:rPr>
          <w:shd w:val="clear" w:color="auto" w:fill="FFFFFF"/>
        </w:rPr>
        <w:t>Reed, A., Wake, N. and Simpson, B., 2021. 'Domestic and Comparative Perspectives on Loss of Self-Control and Diminished Responsibility as Partial Defences to Murder: A 10-Year Review of the Coroners and Justice Act 2009 Reform Framework'. </w:t>
      </w:r>
      <w:r>
        <w:rPr>
          <w:i/>
          <w:iCs/>
          <w:shd w:val="clear" w:color="auto" w:fill="FFFFFF"/>
        </w:rPr>
        <w:t>N. Ir. Legal Q.</w:t>
      </w:r>
      <w:r>
        <w:rPr>
          <w:shd w:val="clear" w:color="auto" w:fill="FFFFFF"/>
        </w:rPr>
        <w:t>, </w:t>
      </w:r>
      <w:r>
        <w:rPr>
          <w:i/>
          <w:iCs/>
          <w:shd w:val="clear" w:color="auto" w:fill="FFFFFF"/>
        </w:rPr>
        <w:t>72</w:t>
      </w:r>
      <w:r>
        <w:rPr>
          <w:shd w:val="clear" w:color="auto" w:fill="FFFFFF"/>
        </w:rPr>
        <w:t>, p.161.</w:t>
      </w:r>
    </w:p>
    <w:p w14:paraId="42037D6B" w14:textId="77777777" w:rsidR="00277ECE" w:rsidRDefault="00277ECE" w:rsidP="00991F0A">
      <w:pPr>
        <w:ind w:left="720" w:hanging="720"/>
        <w:rPr>
          <w:shd w:val="clear" w:color="auto" w:fill="FFFFFF"/>
        </w:rPr>
      </w:pPr>
      <w:r>
        <w:rPr>
          <w:shd w:val="clear" w:color="auto" w:fill="FFFFFF"/>
        </w:rPr>
        <w:t>Reed, A., Wake, N. and Simpson, B., 2021. Introduction: ‘Domestic and comparative perspectives on loss of self-control and diminished responsibility as partial defences to murder: a 10-year review of the Coroners and Justice Act 2009 reform framework’. </w:t>
      </w:r>
      <w:proofErr w:type="gramStart"/>
      <w:r>
        <w:rPr>
          <w:i/>
          <w:iCs/>
          <w:shd w:val="clear" w:color="auto" w:fill="FFFFFF"/>
        </w:rPr>
        <w:t>Northern Ireland Legal Quarterly</w:t>
      </w:r>
      <w:r>
        <w:rPr>
          <w:shd w:val="clear" w:color="auto" w:fill="FFFFFF"/>
        </w:rPr>
        <w:t>, </w:t>
      </w:r>
      <w:r>
        <w:rPr>
          <w:i/>
          <w:iCs/>
          <w:shd w:val="clear" w:color="auto" w:fill="FFFFFF"/>
        </w:rPr>
        <w:t>72</w:t>
      </w:r>
      <w:r>
        <w:rPr>
          <w:shd w:val="clear" w:color="auto" w:fill="FFFFFF"/>
        </w:rPr>
        <w:t>(2), pp.161-170.</w:t>
      </w:r>
      <w:proofErr w:type="gramEnd"/>
    </w:p>
    <w:p w14:paraId="1AEF48A4" w14:textId="77777777" w:rsidR="00277ECE" w:rsidRDefault="00277ECE" w:rsidP="00991F0A">
      <w:pPr>
        <w:ind w:left="720" w:hanging="720"/>
        <w:rPr>
          <w:shd w:val="clear" w:color="auto" w:fill="FFFFFF"/>
        </w:rPr>
      </w:pPr>
      <w:r>
        <w:rPr>
          <w:shd w:val="clear" w:color="auto" w:fill="FFFFFF"/>
        </w:rPr>
        <w:lastRenderedPageBreak/>
        <w:t xml:space="preserve">Richards, G., Aronson, J. and </w:t>
      </w:r>
      <w:proofErr w:type="spellStart"/>
      <w:r>
        <w:rPr>
          <w:shd w:val="clear" w:color="auto" w:fill="FFFFFF"/>
        </w:rPr>
        <w:t>Heneghan</w:t>
      </w:r>
      <w:proofErr w:type="spellEnd"/>
      <w:r>
        <w:rPr>
          <w:shd w:val="clear" w:color="auto" w:fill="FFFFFF"/>
        </w:rPr>
        <w:t xml:space="preserve">, C., 2020. </w:t>
      </w:r>
      <w:proofErr w:type="gramStart"/>
      <w:r>
        <w:rPr>
          <w:shd w:val="clear" w:color="auto" w:fill="FFFFFF"/>
        </w:rPr>
        <w:t>Introducing the BMJ EBM series: Coroners’ Concerns to Prevent Harms-A series of coroners’ case reports to serve patient safety and educate the public, clinicians, and policymakers.</w:t>
      </w:r>
      <w:proofErr w:type="gramEnd"/>
      <w:r>
        <w:rPr>
          <w:shd w:val="clear" w:color="auto" w:fill="FFFFFF"/>
        </w:rPr>
        <w:t> </w:t>
      </w:r>
      <w:r>
        <w:rPr>
          <w:i/>
          <w:iCs/>
          <w:shd w:val="clear" w:color="auto" w:fill="FFFFFF"/>
        </w:rPr>
        <w:t>BMJ Evidence Based Medicine</w:t>
      </w:r>
      <w:r>
        <w:rPr>
          <w:shd w:val="clear" w:color="auto" w:fill="FFFFFF"/>
        </w:rPr>
        <w:t>, </w:t>
      </w:r>
      <w:r>
        <w:rPr>
          <w:i/>
          <w:iCs/>
          <w:shd w:val="clear" w:color="auto" w:fill="FFFFFF"/>
        </w:rPr>
        <w:t>26</w:t>
      </w:r>
      <w:r>
        <w:rPr>
          <w:shd w:val="clear" w:color="auto" w:fill="FFFFFF"/>
        </w:rPr>
        <w:t>(2).</w:t>
      </w:r>
    </w:p>
    <w:p w14:paraId="68C27C17" w14:textId="77777777" w:rsidR="00277ECE" w:rsidRDefault="00277ECE" w:rsidP="00991F0A">
      <w:pPr>
        <w:ind w:left="720" w:hanging="720"/>
        <w:rPr>
          <w:shd w:val="clear" w:color="auto" w:fill="FFFFFF"/>
        </w:rPr>
      </w:pPr>
      <w:r>
        <w:rPr>
          <w:shd w:val="clear" w:color="auto" w:fill="FFFFFF"/>
        </w:rPr>
        <w:t xml:space="preserve">Richards, G.C., Aronson, J.K. and </w:t>
      </w:r>
      <w:proofErr w:type="spellStart"/>
      <w:r>
        <w:rPr>
          <w:shd w:val="clear" w:color="auto" w:fill="FFFFFF"/>
        </w:rPr>
        <w:t>Heneghan</w:t>
      </w:r>
      <w:proofErr w:type="spellEnd"/>
      <w:r>
        <w:rPr>
          <w:shd w:val="clear" w:color="auto" w:fill="FFFFFF"/>
        </w:rPr>
        <w:t>, C., 2021. Coroners’ concerns to prevent harms: a series of coroners’ case reports to serve patient safety and educate the public, clinicians and policy-makers. </w:t>
      </w:r>
      <w:proofErr w:type="gramStart"/>
      <w:r>
        <w:rPr>
          <w:i/>
          <w:iCs/>
          <w:shd w:val="clear" w:color="auto" w:fill="FFFFFF"/>
        </w:rPr>
        <w:t>BMJ Evidence-Based Medicine</w:t>
      </w:r>
      <w:r>
        <w:rPr>
          <w:shd w:val="clear" w:color="auto" w:fill="FFFFFF"/>
        </w:rPr>
        <w:t>, </w:t>
      </w:r>
      <w:r>
        <w:rPr>
          <w:i/>
          <w:iCs/>
          <w:shd w:val="clear" w:color="auto" w:fill="FFFFFF"/>
        </w:rPr>
        <w:t>26</w:t>
      </w:r>
      <w:r>
        <w:rPr>
          <w:shd w:val="clear" w:color="auto" w:fill="FFFFFF"/>
        </w:rPr>
        <w:t>(2), pp.37-38.</w:t>
      </w:r>
      <w:proofErr w:type="gramEnd"/>
    </w:p>
    <w:p w14:paraId="081F6742" w14:textId="77777777" w:rsidR="00277ECE" w:rsidRDefault="00277ECE" w:rsidP="00991F0A">
      <w:pPr>
        <w:ind w:left="720" w:hanging="720"/>
        <w:rPr>
          <w:shd w:val="clear" w:color="auto" w:fill="FFFFFF"/>
        </w:rPr>
      </w:pPr>
      <w:proofErr w:type="spellStart"/>
      <w:proofErr w:type="gramStart"/>
      <w:r>
        <w:rPr>
          <w:shd w:val="clear" w:color="auto" w:fill="FFFFFF"/>
        </w:rPr>
        <w:t>Sng</w:t>
      </w:r>
      <w:proofErr w:type="spellEnd"/>
      <w:proofErr w:type="gramEnd"/>
      <w:r>
        <w:rPr>
          <w:shd w:val="clear" w:color="auto" w:fill="FFFFFF"/>
        </w:rPr>
        <w:t xml:space="preserve">, A., 2016. Sexually Motivated Killings: Problems with the Provocation </w:t>
      </w:r>
      <w:proofErr w:type="spellStart"/>
      <w:r>
        <w:rPr>
          <w:shd w:val="clear" w:color="auto" w:fill="FFFFFF"/>
        </w:rPr>
        <w:t>Defense</w:t>
      </w:r>
      <w:proofErr w:type="spellEnd"/>
      <w:r>
        <w:rPr>
          <w:shd w:val="clear" w:color="auto" w:fill="FFFFFF"/>
        </w:rPr>
        <w:t xml:space="preserve"> after the Criminal Justice Act 2009. </w:t>
      </w:r>
      <w:proofErr w:type="gramStart"/>
      <w:r>
        <w:rPr>
          <w:i/>
          <w:iCs/>
          <w:shd w:val="clear" w:color="auto" w:fill="FFFFFF"/>
        </w:rPr>
        <w:t>BLR</w:t>
      </w:r>
      <w:r>
        <w:rPr>
          <w:shd w:val="clear" w:color="auto" w:fill="FFFFFF"/>
        </w:rPr>
        <w:t>, p.122.</w:t>
      </w:r>
      <w:proofErr w:type="gramEnd"/>
    </w:p>
    <w:p w14:paraId="37C90DD8" w14:textId="77777777" w:rsidR="00277ECE" w:rsidRDefault="00277ECE" w:rsidP="00991F0A">
      <w:pPr>
        <w:ind w:left="720" w:hanging="720"/>
        <w:rPr>
          <w:shd w:val="clear" w:color="auto" w:fill="FFFFFF"/>
        </w:rPr>
      </w:pPr>
      <w:proofErr w:type="spellStart"/>
      <w:r>
        <w:rPr>
          <w:shd w:val="clear" w:color="auto" w:fill="FFFFFF"/>
        </w:rPr>
        <w:t>Tagliavini</w:t>
      </w:r>
      <w:proofErr w:type="spellEnd"/>
      <w:r>
        <w:rPr>
          <w:shd w:val="clear" w:color="auto" w:fill="FFFFFF"/>
        </w:rPr>
        <w:t xml:space="preserve">, L.M., 2017. </w:t>
      </w:r>
      <w:proofErr w:type="gramStart"/>
      <w:r>
        <w:rPr>
          <w:shd w:val="clear" w:color="auto" w:fill="FFFFFF"/>
        </w:rPr>
        <w:t>Coroner’s Court and Inquests.</w:t>
      </w:r>
      <w:proofErr w:type="gramEnd"/>
      <w:r>
        <w:rPr>
          <w:shd w:val="clear" w:color="auto" w:fill="FFFFFF"/>
        </w:rPr>
        <w:t xml:space="preserve"> </w:t>
      </w:r>
      <w:proofErr w:type="gramStart"/>
      <w:r>
        <w:rPr>
          <w:shd w:val="clear" w:color="auto" w:fill="FFFFFF"/>
        </w:rPr>
        <w:t>In </w:t>
      </w:r>
      <w:r>
        <w:rPr>
          <w:i/>
          <w:iCs/>
          <w:shd w:val="clear" w:color="auto" w:fill="FFFFFF"/>
        </w:rPr>
        <w:t>Forensic Psychiatry</w:t>
      </w:r>
      <w:r>
        <w:rPr>
          <w:shd w:val="clear" w:color="auto" w:fill="FFFFFF"/>
        </w:rPr>
        <w:t> (pp. 901-904).</w:t>
      </w:r>
      <w:proofErr w:type="gramEnd"/>
      <w:r>
        <w:rPr>
          <w:shd w:val="clear" w:color="auto" w:fill="FFFFFF"/>
        </w:rPr>
        <w:t xml:space="preserve"> </w:t>
      </w:r>
      <w:proofErr w:type="gramStart"/>
      <w:r>
        <w:rPr>
          <w:shd w:val="clear" w:color="auto" w:fill="FFFFFF"/>
        </w:rPr>
        <w:t>CRC Press.</w:t>
      </w:r>
      <w:proofErr w:type="gramEnd"/>
    </w:p>
    <w:p w14:paraId="3724DA28" w14:textId="77777777" w:rsidR="00277ECE" w:rsidRDefault="00277ECE" w:rsidP="00991F0A">
      <w:pPr>
        <w:ind w:left="720" w:hanging="720"/>
        <w:rPr>
          <w:shd w:val="clear" w:color="auto" w:fill="FFFFFF"/>
        </w:rPr>
      </w:pPr>
      <w:proofErr w:type="spellStart"/>
      <w:proofErr w:type="gramStart"/>
      <w:r>
        <w:rPr>
          <w:shd w:val="clear" w:color="auto" w:fill="FFFFFF"/>
        </w:rPr>
        <w:t>Wasik</w:t>
      </w:r>
      <w:proofErr w:type="spellEnd"/>
      <w:r>
        <w:rPr>
          <w:shd w:val="clear" w:color="auto" w:fill="FFFFFF"/>
        </w:rPr>
        <w:t>, M., 2019.</w:t>
      </w:r>
      <w:proofErr w:type="gramEnd"/>
      <w:r>
        <w:rPr>
          <w:shd w:val="clear" w:color="auto" w:fill="FFFFFF"/>
        </w:rPr>
        <w:t xml:space="preserve"> </w:t>
      </w:r>
      <w:proofErr w:type="gramStart"/>
      <w:r>
        <w:rPr>
          <w:shd w:val="clear" w:color="auto" w:fill="FFFFFF"/>
        </w:rPr>
        <w:t>Reflections on the manslaughter sentencing guidelines.</w:t>
      </w:r>
      <w:proofErr w:type="gramEnd"/>
      <w:r>
        <w:rPr>
          <w:shd w:val="clear" w:color="auto" w:fill="FFFFFF"/>
        </w:rPr>
        <w:t> </w:t>
      </w:r>
      <w:proofErr w:type="gramStart"/>
      <w:r>
        <w:rPr>
          <w:i/>
          <w:iCs/>
          <w:shd w:val="clear" w:color="auto" w:fill="FFFFFF"/>
        </w:rPr>
        <w:t>Criminal Law Review</w:t>
      </w:r>
      <w:r>
        <w:rPr>
          <w:shd w:val="clear" w:color="auto" w:fill="FFFFFF"/>
        </w:rPr>
        <w:t>, (4), pp.315-332.</w:t>
      </w:r>
      <w:proofErr w:type="gramEnd"/>
    </w:p>
    <w:p w14:paraId="1BD1FD56" w14:textId="77777777" w:rsidR="00277ECE" w:rsidRDefault="00277ECE" w:rsidP="00991F0A">
      <w:pPr>
        <w:ind w:left="720" w:hanging="720"/>
        <w:rPr>
          <w:shd w:val="clear" w:color="auto" w:fill="FFFFFF"/>
        </w:rPr>
      </w:pPr>
      <w:proofErr w:type="spellStart"/>
      <w:r>
        <w:rPr>
          <w:shd w:val="clear" w:color="auto" w:fill="FFFFFF"/>
        </w:rPr>
        <w:t>Whellum</w:t>
      </w:r>
      <w:proofErr w:type="spellEnd"/>
      <w:r>
        <w:rPr>
          <w:shd w:val="clear" w:color="auto" w:fill="FFFFFF"/>
        </w:rPr>
        <w:t>, P., 2017. Missed opportunities for culturally appropriate imprisonment of APY offenders: The cross border justice act 2009 (SA). </w:t>
      </w:r>
      <w:proofErr w:type="gramStart"/>
      <w:r>
        <w:rPr>
          <w:i/>
          <w:iCs/>
          <w:shd w:val="clear" w:color="auto" w:fill="FFFFFF"/>
        </w:rPr>
        <w:t>Indigenous Law Bulletin</w:t>
      </w:r>
      <w:r>
        <w:rPr>
          <w:shd w:val="clear" w:color="auto" w:fill="FFFFFF"/>
        </w:rPr>
        <w:t>, </w:t>
      </w:r>
      <w:r>
        <w:rPr>
          <w:i/>
          <w:iCs/>
          <w:shd w:val="clear" w:color="auto" w:fill="FFFFFF"/>
        </w:rPr>
        <w:t>8</w:t>
      </w:r>
      <w:r>
        <w:rPr>
          <w:shd w:val="clear" w:color="auto" w:fill="FFFFFF"/>
        </w:rPr>
        <w:t>(28), pp.20-23.</w:t>
      </w:r>
      <w:proofErr w:type="gramEnd"/>
    </w:p>
    <w:p w14:paraId="61F086AF" w14:textId="77777777" w:rsidR="00277ECE" w:rsidRDefault="00277ECE" w:rsidP="00991F0A">
      <w:pPr>
        <w:ind w:left="720" w:hanging="720"/>
        <w:rPr>
          <w:shd w:val="clear" w:color="auto" w:fill="FFFFFF"/>
        </w:rPr>
      </w:pPr>
      <w:r>
        <w:rPr>
          <w:shd w:val="clear" w:color="auto" w:fill="FFFFFF"/>
        </w:rPr>
        <w:t xml:space="preserve">Wu, A., 2020. </w:t>
      </w:r>
      <w:proofErr w:type="gramStart"/>
      <w:r>
        <w:rPr>
          <w:shd w:val="clear" w:color="auto" w:fill="FFFFFF"/>
        </w:rPr>
        <w:t xml:space="preserve">Going Full Circle: Gender and the ‘Loss of </w:t>
      </w:r>
      <w:proofErr w:type="spellStart"/>
      <w:r>
        <w:rPr>
          <w:shd w:val="clear" w:color="auto" w:fill="FFFFFF"/>
        </w:rPr>
        <w:t>Control’Defence</w:t>
      </w:r>
      <w:proofErr w:type="spellEnd"/>
      <w:r>
        <w:rPr>
          <w:shd w:val="clear" w:color="auto" w:fill="FFFFFF"/>
        </w:rPr>
        <w:t xml:space="preserve"> under the Coroners and Justice Act 2009.</w:t>
      </w:r>
      <w:proofErr w:type="gramEnd"/>
      <w:r>
        <w:rPr>
          <w:shd w:val="clear" w:color="auto" w:fill="FFFFFF"/>
        </w:rPr>
        <w:t> </w:t>
      </w:r>
      <w:proofErr w:type="gramStart"/>
      <w:r>
        <w:rPr>
          <w:i/>
          <w:iCs/>
          <w:shd w:val="clear" w:color="auto" w:fill="FFFFFF"/>
        </w:rPr>
        <w:t>Rule of Law Journal</w:t>
      </w:r>
      <w:r>
        <w:rPr>
          <w:shd w:val="clear" w:color="auto" w:fill="FFFFFF"/>
        </w:rPr>
        <w:t>, </w:t>
      </w:r>
      <w:r>
        <w:rPr>
          <w:i/>
          <w:iCs/>
          <w:shd w:val="clear" w:color="auto" w:fill="FFFFFF"/>
        </w:rPr>
        <w:t>1</w:t>
      </w:r>
      <w:r>
        <w:rPr>
          <w:shd w:val="clear" w:color="auto" w:fill="FFFFFF"/>
        </w:rPr>
        <w:t>(1).</w:t>
      </w:r>
      <w:proofErr w:type="gramEnd"/>
    </w:p>
    <w:p w14:paraId="60DE449A" w14:textId="77777777" w:rsidR="00991F0A" w:rsidRPr="000D27AC" w:rsidRDefault="00991F0A" w:rsidP="00991F0A"/>
    <w:sectPr w:rsidR="00991F0A" w:rsidRPr="000D27AC" w:rsidSect="00B1195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DE1A32" w14:textId="77777777" w:rsidR="009F4519" w:rsidRDefault="009F4519" w:rsidP="00086265">
      <w:pPr>
        <w:spacing w:after="0" w:line="240" w:lineRule="auto"/>
      </w:pPr>
      <w:r>
        <w:separator/>
      </w:r>
    </w:p>
  </w:endnote>
  <w:endnote w:type="continuationSeparator" w:id="0">
    <w:p w14:paraId="52FE8694" w14:textId="77777777" w:rsidR="009F4519" w:rsidRDefault="009F4519" w:rsidP="0008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7E9362" w14:textId="77777777" w:rsidR="009F4519" w:rsidRDefault="009F4519" w:rsidP="00086265">
      <w:pPr>
        <w:spacing w:after="0" w:line="240" w:lineRule="auto"/>
      </w:pPr>
      <w:r>
        <w:separator/>
      </w:r>
    </w:p>
  </w:footnote>
  <w:footnote w:type="continuationSeparator" w:id="0">
    <w:p w14:paraId="71837F9C" w14:textId="77777777" w:rsidR="009F4519" w:rsidRDefault="009F4519" w:rsidP="000862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96C"/>
    <w:rsid w:val="00086265"/>
    <w:rsid w:val="000D27AC"/>
    <w:rsid w:val="00277ECE"/>
    <w:rsid w:val="003A496C"/>
    <w:rsid w:val="00584A9D"/>
    <w:rsid w:val="006B11B2"/>
    <w:rsid w:val="0070257B"/>
    <w:rsid w:val="0071731A"/>
    <w:rsid w:val="008270E4"/>
    <w:rsid w:val="0097431C"/>
    <w:rsid w:val="00991F0A"/>
    <w:rsid w:val="009F4519"/>
    <w:rsid w:val="00AA2728"/>
    <w:rsid w:val="00AC50F5"/>
    <w:rsid w:val="00B1195A"/>
    <w:rsid w:val="00CE53A7"/>
    <w:rsid w:val="00F44F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5BC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0F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B11B2"/>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0257B"/>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257B"/>
    <w:rPr>
      <w:rFonts w:ascii="Times New Roman" w:eastAsiaTheme="majorEastAsia" w:hAnsi="Times New Roman" w:cstheme="majorBidi"/>
      <w:b/>
      <w:color w:val="2F5496" w:themeColor="accent1" w:themeShade="BF"/>
      <w:sz w:val="28"/>
      <w:szCs w:val="26"/>
    </w:rPr>
  </w:style>
  <w:style w:type="character" w:customStyle="1" w:styleId="Heading1Char">
    <w:name w:val="Heading 1 Char"/>
    <w:basedOn w:val="DefaultParagraphFont"/>
    <w:link w:val="Heading1"/>
    <w:uiPriority w:val="9"/>
    <w:rsid w:val="006B11B2"/>
    <w:rPr>
      <w:rFonts w:ascii="Times New Roman" w:eastAsiaTheme="majorEastAsia" w:hAnsi="Times New Roman" w:cstheme="majorBidi"/>
      <w:b/>
      <w:color w:val="2F5496" w:themeColor="accent1" w:themeShade="BF"/>
      <w:sz w:val="32"/>
      <w:szCs w:val="32"/>
    </w:rPr>
  </w:style>
  <w:style w:type="paragraph" w:styleId="Header">
    <w:name w:val="header"/>
    <w:basedOn w:val="Normal"/>
    <w:link w:val="HeaderChar"/>
    <w:uiPriority w:val="99"/>
    <w:unhideWhenUsed/>
    <w:rsid w:val="00086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6265"/>
    <w:rPr>
      <w:rFonts w:ascii="Times New Roman" w:hAnsi="Times New Roman"/>
      <w:sz w:val="24"/>
    </w:rPr>
  </w:style>
  <w:style w:type="paragraph" w:styleId="Footer">
    <w:name w:val="footer"/>
    <w:basedOn w:val="Normal"/>
    <w:link w:val="FooterChar"/>
    <w:uiPriority w:val="99"/>
    <w:unhideWhenUsed/>
    <w:rsid w:val="00086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6265"/>
    <w:rPr>
      <w:rFonts w:ascii="Times New Roman" w:hAnsi="Times New Roman"/>
      <w:sz w:val="24"/>
    </w:rPr>
  </w:style>
  <w:style w:type="paragraph" w:styleId="BalloonText">
    <w:name w:val="Balloon Text"/>
    <w:basedOn w:val="Normal"/>
    <w:link w:val="BalloonTextChar"/>
    <w:uiPriority w:val="99"/>
    <w:semiHidden/>
    <w:unhideWhenUsed/>
    <w:rsid w:val="00584A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A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0F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B11B2"/>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0257B"/>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257B"/>
    <w:rPr>
      <w:rFonts w:ascii="Times New Roman" w:eastAsiaTheme="majorEastAsia" w:hAnsi="Times New Roman" w:cstheme="majorBidi"/>
      <w:b/>
      <w:color w:val="2F5496" w:themeColor="accent1" w:themeShade="BF"/>
      <w:sz w:val="28"/>
      <w:szCs w:val="26"/>
    </w:rPr>
  </w:style>
  <w:style w:type="character" w:customStyle="1" w:styleId="Heading1Char">
    <w:name w:val="Heading 1 Char"/>
    <w:basedOn w:val="DefaultParagraphFont"/>
    <w:link w:val="Heading1"/>
    <w:uiPriority w:val="9"/>
    <w:rsid w:val="006B11B2"/>
    <w:rPr>
      <w:rFonts w:ascii="Times New Roman" w:eastAsiaTheme="majorEastAsia" w:hAnsi="Times New Roman" w:cstheme="majorBidi"/>
      <w:b/>
      <w:color w:val="2F5496" w:themeColor="accent1" w:themeShade="BF"/>
      <w:sz w:val="32"/>
      <w:szCs w:val="32"/>
    </w:rPr>
  </w:style>
  <w:style w:type="paragraph" w:styleId="Header">
    <w:name w:val="header"/>
    <w:basedOn w:val="Normal"/>
    <w:link w:val="HeaderChar"/>
    <w:uiPriority w:val="99"/>
    <w:unhideWhenUsed/>
    <w:rsid w:val="00086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6265"/>
    <w:rPr>
      <w:rFonts w:ascii="Times New Roman" w:hAnsi="Times New Roman"/>
      <w:sz w:val="24"/>
    </w:rPr>
  </w:style>
  <w:style w:type="paragraph" w:styleId="Footer">
    <w:name w:val="footer"/>
    <w:basedOn w:val="Normal"/>
    <w:link w:val="FooterChar"/>
    <w:uiPriority w:val="99"/>
    <w:unhideWhenUsed/>
    <w:rsid w:val="00086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6265"/>
    <w:rPr>
      <w:rFonts w:ascii="Times New Roman" w:hAnsi="Times New Roman"/>
      <w:sz w:val="24"/>
    </w:rPr>
  </w:style>
  <w:style w:type="paragraph" w:styleId="BalloonText">
    <w:name w:val="Balloon Text"/>
    <w:basedOn w:val="Normal"/>
    <w:link w:val="BalloonTextChar"/>
    <w:uiPriority w:val="99"/>
    <w:semiHidden/>
    <w:unhideWhenUsed/>
    <w:rsid w:val="00584A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A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860284">
      <w:bodyDiv w:val="1"/>
      <w:marLeft w:val="0"/>
      <w:marRight w:val="0"/>
      <w:marTop w:val="0"/>
      <w:marBottom w:val="0"/>
      <w:divBdr>
        <w:top w:val="none" w:sz="0" w:space="0" w:color="auto"/>
        <w:left w:val="none" w:sz="0" w:space="0" w:color="auto"/>
        <w:bottom w:val="none" w:sz="0" w:space="0" w:color="auto"/>
        <w:right w:val="none" w:sz="0" w:space="0" w:color="auto"/>
      </w:divBdr>
    </w:div>
    <w:div w:id="837765184">
      <w:bodyDiv w:val="1"/>
      <w:marLeft w:val="0"/>
      <w:marRight w:val="0"/>
      <w:marTop w:val="0"/>
      <w:marBottom w:val="0"/>
      <w:divBdr>
        <w:top w:val="none" w:sz="0" w:space="0" w:color="auto"/>
        <w:left w:val="none" w:sz="0" w:space="0" w:color="auto"/>
        <w:bottom w:val="none" w:sz="0" w:space="0" w:color="auto"/>
        <w:right w:val="none" w:sz="0" w:space="0" w:color="auto"/>
      </w:divBdr>
    </w:div>
    <w:div w:id="966011604">
      <w:bodyDiv w:val="1"/>
      <w:marLeft w:val="0"/>
      <w:marRight w:val="0"/>
      <w:marTop w:val="0"/>
      <w:marBottom w:val="0"/>
      <w:divBdr>
        <w:top w:val="none" w:sz="0" w:space="0" w:color="auto"/>
        <w:left w:val="none" w:sz="0" w:space="0" w:color="auto"/>
        <w:bottom w:val="none" w:sz="0" w:space="0" w:color="auto"/>
        <w:right w:val="none" w:sz="0" w:space="0" w:color="auto"/>
      </w:divBdr>
    </w:div>
    <w:div w:id="1529873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1915</Words>
  <Characters>10920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2023-03-10T12:18:00Z</dcterms:created>
  <dcterms:modified xsi:type="dcterms:W3CDTF">2023-03-10T15:54:00Z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353959888d1ec1f9ce09a3950e72d5ace070e88b74f4cd82087dcbcd1f436843</vt:lpwstr>
  </property>
</Properties>
</file>