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rsidR="001815C2" w:rsidRDefault="001815C2">
      <w:pPr>
        <w:jc w:val="center"/>
        <w:rPr>
          <w:rFonts w:ascii="Arial" w:eastAsia="Arial" w:hAnsi="Arial" w:cs="Arial"/>
          <w:b/>
          <w:bCs/>
        </w:rPr>
      </w:pPr>
    </w:p>
    <w:p w:rsidR="001815C2" w:rsidRDefault="004C2125">
      <w:pPr>
        <w:jc w:val="center"/>
        <w:rPr>
          <w:rFonts w:ascii="Arial" w:eastAsia="Arial" w:hAnsi="Arial" w:cs="Arial"/>
          <w:b/>
          <w:bCs/>
        </w:rPr>
      </w:pPr>
      <w:r>
        <w:rPr>
          <w:rFonts w:ascii="Arial" w:eastAsia="Arial" w:hAnsi="Arial" w:cs="Arial"/>
          <w:b/>
          <w:bCs/>
          <w:noProof/>
          <w:lang w:val="en-US" w:eastAsia="en-US" w:bidi="gu-IN"/>
        </w:rPr>
        <w:drawing>
          <wp:inline distT="114300" distB="114300" distL="114300" distR="114300">
            <wp:extent cx="2828925" cy="1133475"/>
            <wp:effectExtent l="0" t="0" r="0" b="0"/>
            <wp:docPr id="38" name="image13.png"/>
            <wp:cNvGraphicFramePr/>
            <a:graphic xmlns:a="http://schemas.openxmlformats.org/drawingml/2006/main">
              <a:graphicData uri="http://schemas.openxmlformats.org/drawingml/2006/picture">
                <pic:pic xmlns:pic="http://schemas.openxmlformats.org/drawingml/2006/picture">
                  <pic:nvPicPr>
                    <pic:cNvPr id="38" name="image13.png"/>
                    <pic:cNvPicPr preferRelativeResize="0"/>
                  </pic:nvPicPr>
                  <pic:blipFill>
                    <a:blip r:embed="rId9"/>
                    <a:srcRect/>
                    <a:stretch>
                      <a:fillRect/>
                    </a:stretch>
                  </pic:blipFill>
                  <pic:spPr>
                    <a:xfrm>
                      <a:off x="0" y="0"/>
                      <a:ext cx="2828925" cy="1133475"/>
                    </a:xfrm>
                    <a:prstGeom prst="rect">
                      <a:avLst/>
                    </a:prstGeom>
                  </pic:spPr>
                </pic:pic>
              </a:graphicData>
            </a:graphic>
          </wp:inline>
        </w:drawing>
      </w:r>
    </w:p>
    <w:p w:rsidR="001815C2" w:rsidRDefault="001815C2">
      <w:pPr>
        <w:jc w:val="center"/>
        <w:rPr>
          <w:rFonts w:ascii="Arial" w:eastAsia="Arial" w:hAnsi="Arial" w:cs="Arial"/>
          <w:b/>
          <w:bCs/>
        </w:rPr>
      </w:pPr>
    </w:p>
    <w:p w:rsidR="001815C2" w:rsidRDefault="001815C2">
      <w:pPr>
        <w:jc w:val="center"/>
        <w:rPr>
          <w:rFonts w:ascii="Arial" w:eastAsia="Arial" w:hAnsi="Arial" w:cs="Arial"/>
          <w:b/>
          <w:bCs/>
        </w:rPr>
      </w:pPr>
    </w:p>
    <w:p w:rsidR="001815C2" w:rsidRDefault="001815C2">
      <w:pPr>
        <w:jc w:val="center"/>
        <w:rPr>
          <w:rFonts w:ascii="Arial" w:eastAsia="Arial" w:hAnsi="Arial" w:cs="Arial"/>
          <w:b/>
          <w:bCs/>
        </w:rPr>
      </w:pPr>
    </w:p>
    <w:p w:rsidR="001815C2" w:rsidRDefault="004C2125">
      <w:pPr>
        <w:jc w:val="center"/>
        <w:rPr>
          <w:rFonts w:ascii="Arial" w:eastAsia="Arial" w:hAnsi="Arial" w:cs="Arial"/>
          <w:b/>
          <w:bCs/>
        </w:rPr>
      </w:pPr>
      <w:r>
        <w:rPr>
          <w:rFonts w:ascii="Arial" w:eastAsia="Arial" w:hAnsi="Arial" w:cs="Arial"/>
          <w:b/>
          <w:bCs/>
        </w:rPr>
        <w:t>Programme: Master of Business Administration</w:t>
      </w:r>
    </w:p>
    <w:p w:rsidR="001815C2" w:rsidRDefault="004C2125">
      <w:pPr>
        <w:jc w:val="center"/>
        <w:rPr>
          <w:rFonts w:ascii="Arial" w:eastAsia="Arial" w:hAnsi="Arial" w:cs="Arial"/>
          <w:b/>
          <w:bCs/>
        </w:rPr>
      </w:pPr>
      <w:r>
        <w:rPr>
          <w:rFonts w:ascii="Arial" w:eastAsia="Arial" w:hAnsi="Arial" w:cs="Arial"/>
          <w:b/>
          <w:bCs/>
        </w:rPr>
        <w:t>Module: Marketing Management</w:t>
      </w:r>
    </w:p>
    <w:p w:rsidR="001815C2" w:rsidRDefault="004C2125">
      <w:pPr>
        <w:jc w:val="center"/>
        <w:rPr>
          <w:rFonts w:ascii="Arial" w:eastAsia="Arial" w:hAnsi="Arial" w:cs="Arial"/>
          <w:b/>
          <w:bCs/>
        </w:rPr>
      </w:pPr>
      <w:r>
        <w:rPr>
          <w:rFonts w:ascii="Arial" w:eastAsia="Arial" w:hAnsi="Arial" w:cs="Arial"/>
          <w:b/>
          <w:bCs/>
        </w:rPr>
        <w:t>Module Code: LCMB7024</w:t>
      </w:r>
    </w:p>
    <w:p w:rsidR="001815C2" w:rsidRDefault="004C2125">
      <w:pPr>
        <w:jc w:val="center"/>
        <w:rPr>
          <w:rFonts w:ascii="Arial" w:eastAsia="Arial" w:hAnsi="Arial" w:cs="Arial"/>
          <w:b/>
          <w:bCs/>
        </w:rPr>
      </w:pPr>
      <w:r>
        <w:rPr>
          <w:rFonts w:ascii="Arial" w:eastAsia="Arial" w:hAnsi="Arial" w:cs="Arial"/>
          <w:b/>
          <w:bCs/>
        </w:rPr>
        <w:t>Assessment Title: Assessment Component 1 - Marketing Environment Analysis</w:t>
      </w:r>
    </w:p>
    <w:p w:rsidR="001815C2" w:rsidRDefault="004C2125">
      <w:pPr>
        <w:jc w:val="center"/>
        <w:rPr>
          <w:rFonts w:ascii="Arial" w:eastAsia="Arial" w:hAnsi="Arial" w:cs="Arial"/>
          <w:b/>
          <w:bCs/>
        </w:rPr>
      </w:pPr>
      <w:r>
        <w:rPr>
          <w:rFonts w:ascii="Arial" w:eastAsia="Arial" w:hAnsi="Arial" w:cs="Arial"/>
          <w:b/>
          <w:bCs/>
        </w:rPr>
        <w:t>Submission Title: Marketing Environment, Strategic Growth and Reflection: BHP’s</w:t>
      </w:r>
      <w:r>
        <w:rPr>
          <w:rFonts w:ascii="Arial" w:eastAsia="Arial" w:hAnsi="Arial" w:cs="Arial"/>
          <w:b/>
          <w:bCs/>
        </w:rPr>
        <w:t xml:space="preserve"> Transition to Lower-Carbon Products</w:t>
      </w:r>
    </w:p>
    <w:p w:rsidR="001815C2" w:rsidRDefault="004C2125">
      <w:pPr>
        <w:jc w:val="center"/>
        <w:rPr>
          <w:rFonts w:ascii="Arial" w:eastAsia="Arial" w:hAnsi="Arial" w:cs="Arial"/>
          <w:b/>
          <w:bCs/>
        </w:rPr>
      </w:pPr>
      <w:r>
        <w:rPr>
          <w:rFonts w:ascii="Arial" w:eastAsia="Arial" w:hAnsi="Arial" w:cs="Arial"/>
          <w:b/>
          <w:bCs/>
        </w:rPr>
        <w:t xml:space="preserve">Lecturer: </w:t>
      </w:r>
      <w:proofErr w:type="spellStart"/>
      <w:r>
        <w:rPr>
          <w:rFonts w:ascii="Arial" w:eastAsia="Arial" w:hAnsi="Arial" w:cs="Arial"/>
          <w:b/>
          <w:bCs/>
        </w:rPr>
        <w:t>Taonga</w:t>
      </w:r>
      <w:proofErr w:type="spellEnd"/>
      <w:r>
        <w:rPr>
          <w:rFonts w:ascii="Arial" w:eastAsia="Arial" w:hAnsi="Arial" w:cs="Arial"/>
          <w:b/>
          <w:bCs/>
        </w:rPr>
        <w:t xml:space="preserve"> </w:t>
      </w:r>
      <w:proofErr w:type="spellStart"/>
      <w:r>
        <w:rPr>
          <w:rFonts w:ascii="Arial" w:eastAsia="Arial" w:hAnsi="Arial" w:cs="Arial"/>
          <w:b/>
          <w:bCs/>
        </w:rPr>
        <w:t>Kaonga</w:t>
      </w:r>
      <w:proofErr w:type="spellEnd"/>
      <w:r>
        <w:rPr>
          <w:rFonts w:ascii="Arial" w:eastAsia="Arial" w:hAnsi="Arial" w:cs="Arial"/>
          <w:b/>
          <w:bCs/>
        </w:rPr>
        <w:t xml:space="preserve"> </w:t>
      </w:r>
      <w:proofErr w:type="spellStart"/>
      <w:r>
        <w:rPr>
          <w:rFonts w:ascii="Arial" w:eastAsia="Arial" w:hAnsi="Arial" w:cs="Arial"/>
          <w:b/>
          <w:bCs/>
        </w:rPr>
        <w:t>Sobere-Snithers</w:t>
      </w:r>
      <w:proofErr w:type="spellEnd"/>
      <w:r>
        <w:rPr>
          <w:rFonts w:ascii="Arial" w:eastAsia="Arial" w:hAnsi="Arial" w:cs="Arial"/>
          <w:b/>
          <w:bCs/>
        </w:rPr>
        <w:t xml:space="preserve"> (Birmingham)</w:t>
      </w:r>
    </w:p>
    <w:p w:rsidR="001815C2" w:rsidRDefault="004C2125">
      <w:pPr>
        <w:jc w:val="center"/>
        <w:rPr>
          <w:rFonts w:ascii="Arial" w:eastAsia="Arial" w:hAnsi="Arial" w:cs="Arial"/>
          <w:b/>
          <w:bCs/>
        </w:rPr>
      </w:pPr>
      <w:r>
        <w:rPr>
          <w:rFonts w:ascii="Arial" w:eastAsia="Arial" w:hAnsi="Arial" w:cs="Arial"/>
          <w:b/>
          <w:bCs/>
        </w:rPr>
        <w:t xml:space="preserve">Student Name: </w:t>
      </w:r>
      <w:proofErr w:type="spellStart"/>
      <w:r>
        <w:rPr>
          <w:rFonts w:ascii="Arial" w:eastAsia="Arial" w:hAnsi="Arial" w:cs="Arial"/>
          <w:b/>
          <w:bCs/>
        </w:rPr>
        <w:t>Pooja</w:t>
      </w:r>
      <w:proofErr w:type="spellEnd"/>
      <w:r>
        <w:rPr>
          <w:rFonts w:ascii="Arial" w:eastAsia="Arial" w:hAnsi="Arial" w:cs="Arial"/>
          <w:b/>
          <w:bCs/>
        </w:rPr>
        <w:t xml:space="preserve"> </w:t>
      </w:r>
      <w:proofErr w:type="spellStart"/>
      <w:r>
        <w:rPr>
          <w:rFonts w:ascii="Arial" w:eastAsia="Arial" w:hAnsi="Arial" w:cs="Arial"/>
          <w:b/>
          <w:bCs/>
        </w:rPr>
        <w:t>Karavadara</w:t>
      </w:r>
      <w:proofErr w:type="spellEnd"/>
    </w:p>
    <w:p w:rsidR="001815C2" w:rsidRDefault="004C2125">
      <w:pPr>
        <w:jc w:val="center"/>
        <w:rPr>
          <w:rFonts w:ascii="Arial" w:eastAsia="Arial" w:hAnsi="Arial" w:cs="Arial"/>
          <w:b/>
          <w:bCs/>
        </w:rPr>
      </w:pPr>
      <w:r>
        <w:rPr>
          <w:rFonts w:ascii="Arial" w:eastAsia="Arial" w:hAnsi="Arial" w:cs="Arial"/>
          <w:b/>
          <w:bCs/>
        </w:rPr>
        <w:t>Student ID:</w:t>
      </w:r>
    </w:p>
    <w:p w:rsidR="001815C2" w:rsidRDefault="004C2125">
      <w:pPr>
        <w:jc w:val="center"/>
        <w:rPr>
          <w:rFonts w:ascii="Arial" w:eastAsia="Arial" w:hAnsi="Arial" w:cs="Arial"/>
          <w:b/>
          <w:bCs/>
          <w:lang w:val="en-US"/>
        </w:rPr>
      </w:pPr>
      <w:r>
        <w:rPr>
          <w:rFonts w:ascii="Arial" w:eastAsia="Arial" w:hAnsi="Arial" w:cs="Arial"/>
          <w:b/>
          <w:bCs/>
        </w:rPr>
        <w:t>Final Word Count:</w:t>
      </w:r>
      <w:r>
        <w:rPr>
          <w:rFonts w:ascii="Arial" w:eastAsia="Arial" w:hAnsi="Arial" w:cs="Arial"/>
          <w:b/>
          <w:bCs/>
          <w:lang w:val="en-US"/>
        </w:rPr>
        <w:t xml:space="preserve"> 2721</w:t>
      </w:r>
    </w:p>
    <w:p w:rsidR="001815C2" w:rsidRDefault="004C2125">
      <w:pPr>
        <w:jc w:val="center"/>
        <w:rPr>
          <w:rFonts w:ascii="Arial" w:eastAsia="Arial" w:hAnsi="Arial" w:cs="Arial"/>
          <w:b/>
          <w:bCs/>
        </w:rPr>
      </w:pPr>
      <w:r>
        <w:rPr>
          <w:rFonts w:ascii="Arial" w:eastAsia="Arial" w:hAnsi="Arial" w:cs="Arial"/>
          <w:b/>
          <w:bCs/>
        </w:rPr>
        <w:t>Submission Date: 22nd October 2026</w:t>
      </w:r>
      <w:r>
        <w:br w:type="page"/>
      </w:r>
    </w:p>
    <w:p w:rsidR="001815C2" w:rsidRDefault="004C2125">
      <w:pPr>
        <w:spacing w:after="0"/>
        <w:jc w:val="center"/>
        <w:rPr>
          <w:rFonts w:ascii="Arial" w:eastAsia="Arial" w:hAnsi="Arial" w:cs="Arial"/>
          <w:b/>
          <w:bCs/>
        </w:rPr>
      </w:pPr>
      <w:r>
        <w:rPr>
          <w:rFonts w:ascii="Arial" w:eastAsia="Arial" w:hAnsi="Arial" w:cs="Arial"/>
          <w:b/>
          <w:bCs/>
        </w:rPr>
        <w:lastRenderedPageBreak/>
        <w:t>Table of Contents</w:t>
      </w:r>
    </w:p>
    <w:sdt>
      <w:sdtPr>
        <w:id w:val="662430696"/>
        <w:docPartObj>
          <w:docPartGallery w:val="Table of Contents"/>
          <w:docPartUnique/>
        </w:docPartObj>
      </w:sdtPr>
      <w:sdtEndPr/>
      <w:sdtContent>
        <w:bookmarkStart w:id="0" w:name="_GoBack" w:displacedByCustomXml="prev"/>
        <w:bookmarkEnd w:id="0" w:displacedByCustomXml="prev"/>
        <w:p w:rsidR="001815C2" w:rsidRDefault="004C2125">
          <w:pPr>
            <w:widowControl w:val="0"/>
            <w:tabs>
              <w:tab w:val="right" w:pos="12000"/>
            </w:tabs>
            <w:spacing w:before="60" w:after="0" w:line="240" w:lineRule="auto"/>
            <w:jc w:val="left"/>
            <w:rPr>
              <w:rFonts w:ascii="Arial" w:hAnsi="Arial" w:cs="Arial"/>
              <w:noProof/>
            </w:rPr>
          </w:pPr>
          <w:r>
            <w:rPr>
              <w:rFonts w:ascii="Arial" w:hAnsi="Arial" w:cs="Arial"/>
            </w:rPr>
            <w:fldChar w:fldCharType="begin"/>
          </w:r>
          <w:r>
            <w:rPr>
              <w:rFonts w:ascii="Arial" w:hAnsi="Arial" w:cs="Arial"/>
            </w:rPr>
            <w:instrText xml:space="preserve"> TOC \h \u \z \t "Heading 1,1,Heading 2,2,Head</w:instrText>
          </w:r>
          <w:r>
            <w:rPr>
              <w:rFonts w:ascii="Arial" w:hAnsi="Arial" w:cs="Arial"/>
            </w:rPr>
            <w:instrText>ing 3,3,Heading 4,4,Heading 5,5,Heading 6,6,"</w:instrText>
          </w:r>
          <w:r>
            <w:rPr>
              <w:rFonts w:ascii="Arial" w:hAnsi="Arial" w:cs="Arial"/>
            </w:rPr>
            <w:fldChar w:fldCharType="separate"/>
          </w:r>
        </w:p>
        <w:p w:rsidR="001815C2" w:rsidRDefault="004C2125">
          <w:pPr>
            <w:pStyle w:val="TOC1"/>
            <w:tabs>
              <w:tab w:val="right" w:leader="dot" w:pos="9026"/>
            </w:tabs>
            <w:rPr>
              <w:noProof/>
            </w:rPr>
          </w:pPr>
          <w:hyperlink w:anchor="_Toc1918" w:history="1">
            <w:r>
              <w:rPr>
                <w:rFonts w:ascii="Arial" w:eastAsia="Arial" w:hAnsi="Arial" w:cs="Arial"/>
                <w:noProof/>
              </w:rPr>
              <w:t>Task 1: Marketing Environment Analysis</w:t>
            </w:r>
            <w:r>
              <w:rPr>
                <w:noProof/>
              </w:rPr>
              <w:tab/>
            </w:r>
            <w:r>
              <w:rPr>
                <w:noProof/>
              </w:rPr>
              <w:fldChar w:fldCharType="begin"/>
            </w:r>
            <w:r>
              <w:rPr>
                <w:noProof/>
              </w:rPr>
              <w:instrText xml:space="preserve"> PAGEREF _Toc1918 \h </w:instrText>
            </w:r>
            <w:r>
              <w:rPr>
                <w:noProof/>
              </w:rPr>
            </w:r>
            <w:r>
              <w:rPr>
                <w:noProof/>
              </w:rPr>
              <w:fldChar w:fldCharType="separate"/>
            </w:r>
            <w:r w:rsidR="00E46CA1">
              <w:rPr>
                <w:noProof/>
              </w:rPr>
              <w:t>1</w:t>
            </w:r>
            <w:r>
              <w:rPr>
                <w:noProof/>
              </w:rPr>
              <w:fldChar w:fldCharType="end"/>
            </w:r>
          </w:hyperlink>
        </w:p>
        <w:p w:rsidR="001815C2" w:rsidRDefault="004C2125">
          <w:pPr>
            <w:pStyle w:val="TOC2"/>
            <w:tabs>
              <w:tab w:val="right" w:leader="dot" w:pos="9026"/>
            </w:tabs>
            <w:rPr>
              <w:noProof/>
            </w:rPr>
          </w:pPr>
          <w:hyperlink w:anchor="_Toc24030" w:history="1">
            <w:r>
              <w:rPr>
                <w:rFonts w:ascii="Arial" w:eastAsia="Arial" w:hAnsi="Arial" w:cs="Arial"/>
                <w:noProof/>
              </w:rPr>
              <w:t>1.1 Overview of BHP's Marketing Env</w:t>
            </w:r>
            <w:r>
              <w:rPr>
                <w:rFonts w:ascii="Arial" w:eastAsia="Arial" w:hAnsi="Arial" w:cs="Arial"/>
                <w:noProof/>
              </w:rPr>
              <w:t>ironment</w:t>
            </w:r>
            <w:r>
              <w:rPr>
                <w:noProof/>
              </w:rPr>
              <w:tab/>
            </w:r>
            <w:r>
              <w:rPr>
                <w:noProof/>
              </w:rPr>
              <w:fldChar w:fldCharType="begin"/>
            </w:r>
            <w:r>
              <w:rPr>
                <w:noProof/>
              </w:rPr>
              <w:instrText xml:space="preserve"> PAGEREF _Toc24030 \h </w:instrText>
            </w:r>
            <w:r>
              <w:rPr>
                <w:noProof/>
              </w:rPr>
            </w:r>
            <w:r>
              <w:rPr>
                <w:noProof/>
              </w:rPr>
              <w:fldChar w:fldCharType="separate"/>
            </w:r>
            <w:r w:rsidR="00E46CA1">
              <w:rPr>
                <w:noProof/>
              </w:rPr>
              <w:t>1</w:t>
            </w:r>
            <w:r>
              <w:rPr>
                <w:noProof/>
              </w:rPr>
              <w:fldChar w:fldCharType="end"/>
            </w:r>
          </w:hyperlink>
        </w:p>
        <w:p w:rsidR="001815C2" w:rsidRDefault="004C2125">
          <w:pPr>
            <w:pStyle w:val="TOC2"/>
            <w:tabs>
              <w:tab w:val="right" w:leader="dot" w:pos="9026"/>
            </w:tabs>
            <w:rPr>
              <w:noProof/>
            </w:rPr>
          </w:pPr>
          <w:hyperlink w:anchor="_Toc28831" w:history="1">
            <w:r>
              <w:rPr>
                <w:rFonts w:ascii="Arial" w:eastAsia="Arial" w:hAnsi="Arial" w:cs="Arial"/>
                <w:noProof/>
              </w:rPr>
              <w:t>1.2 Environmental Actor: Natural Environment and Climate Change</w:t>
            </w:r>
            <w:r>
              <w:rPr>
                <w:noProof/>
              </w:rPr>
              <w:tab/>
            </w:r>
            <w:r>
              <w:rPr>
                <w:noProof/>
              </w:rPr>
              <w:fldChar w:fldCharType="begin"/>
            </w:r>
            <w:r>
              <w:rPr>
                <w:noProof/>
              </w:rPr>
              <w:instrText xml:space="preserve"> PAGEREF _Toc28831 \h </w:instrText>
            </w:r>
            <w:r>
              <w:rPr>
                <w:noProof/>
              </w:rPr>
            </w:r>
            <w:r>
              <w:rPr>
                <w:noProof/>
              </w:rPr>
              <w:fldChar w:fldCharType="separate"/>
            </w:r>
            <w:r w:rsidR="00E46CA1">
              <w:rPr>
                <w:noProof/>
              </w:rPr>
              <w:t>2</w:t>
            </w:r>
            <w:r>
              <w:rPr>
                <w:noProof/>
              </w:rPr>
              <w:fldChar w:fldCharType="end"/>
            </w:r>
          </w:hyperlink>
        </w:p>
        <w:p w:rsidR="001815C2" w:rsidRDefault="004C2125">
          <w:pPr>
            <w:pStyle w:val="TOC2"/>
            <w:tabs>
              <w:tab w:val="right" w:leader="dot" w:pos="9026"/>
            </w:tabs>
            <w:rPr>
              <w:noProof/>
            </w:rPr>
          </w:pPr>
          <w:hyperlink w:anchor="_Toc16364" w:history="1">
            <w:r>
              <w:rPr>
                <w:rFonts w:ascii="Arial" w:eastAsia="Arial" w:hAnsi="Arial" w:cs="Arial"/>
                <w:noProof/>
              </w:rPr>
              <w:t>1.3 Economic Actor: Customers and Business Buyers</w:t>
            </w:r>
            <w:r>
              <w:rPr>
                <w:noProof/>
              </w:rPr>
              <w:tab/>
            </w:r>
            <w:r>
              <w:rPr>
                <w:noProof/>
              </w:rPr>
              <w:fldChar w:fldCharType="begin"/>
            </w:r>
            <w:r>
              <w:rPr>
                <w:noProof/>
              </w:rPr>
              <w:instrText xml:space="preserve"> PAGEREF _Toc16364 \h </w:instrText>
            </w:r>
            <w:r>
              <w:rPr>
                <w:noProof/>
              </w:rPr>
            </w:r>
            <w:r>
              <w:rPr>
                <w:noProof/>
              </w:rPr>
              <w:fldChar w:fldCharType="separate"/>
            </w:r>
            <w:r w:rsidR="00E46CA1">
              <w:rPr>
                <w:noProof/>
              </w:rPr>
              <w:t>6</w:t>
            </w:r>
            <w:r>
              <w:rPr>
                <w:noProof/>
              </w:rPr>
              <w:fldChar w:fldCharType="end"/>
            </w:r>
          </w:hyperlink>
        </w:p>
        <w:p w:rsidR="001815C2" w:rsidRDefault="004C2125">
          <w:pPr>
            <w:pStyle w:val="TOC2"/>
            <w:tabs>
              <w:tab w:val="right" w:leader="dot" w:pos="9026"/>
            </w:tabs>
            <w:rPr>
              <w:noProof/>
            </w:rPr>
          </w:pPr>
          <w:hyperlink w:anchor="_Toc8138" w:history="1">
            <w:r>
              <w:rPr>
                <w:rFonts w:ascii="Arial" w:eastAsia="Arial" w:hAnsi="Arial" w:cs="Arial"/>
                <w:noProof/>
              </w:rPr>
              <w:t>1.4 P</w:t>
            </w:r>
            <w:r>
              <w:rPr>
                <w:rFonts w:ascii="Arial" w:eastAsia="Arial" w:hAnsi="Arial" w:cs="Arial"/>
                <w:noProof/>
              </w:rPr>
              <w:t>olitical Actor: Government, Regulators and Public Policy</w:t>
            </w:r>
            <w:r>
              <w:rPr>
                <w:noProof/>
              </w:rPr>
              <w:tab/>
            </w:r>
            <w:r>
              <w:rPr>
                <w:noProof/>
              </w:rPr>
              <w:fldChar w:fldCharType="begin"/>
            </w:r>
            <w:r>
              <w:rPr>
                <w:noProof/>
              </w:rPr>
              <w:instrText xml:space="preserve"> PAGEREF _Toc8138 \h </w:instrText>
            </w:r>
            <w:r>
              <w:rPr>
                <w:noProof/>
              </w:rPr>
            </w:r>
            <w:r>
              <w:rPr>
                <w:noProof/>
              </w:rPr>
              <w:fldChar w:fldCharType="separate"/>
            </w:r>
            <w:r w:rsidR="00E46CA1">
              <w:rPr>
                <w:noProof/>
              </w:rPr>
              <w:t>7</w:t>
            </w:r>
            <w:r>
              <w:rPr>
                <w:noProof/>
              </w:rPr>
              <w:fldChar w:fldCharType="end"/>
            </w:r>
          </w:hyperlink>
        </w:p>
        <w:p w:rsidR="001815C2" w:rsidRDefault="004C2125">
          <w:pPr>
            <w:pStyle w:val="TOC2"/>
            <w:tabs>
              <w:tab w:val="right" w:leader="dot" w:pos="9026"/>
            </w:tabs>
            <w:rPr>
              <w:noProof/>
            </w:rPr>
          </w:pPr>
          <w:hyperlink w:anchor="_Toc10641" w:history="1">
            <w:r>
              <w:rPr>
                <w:rFonts w:ascii="Arial" w:eastAsia="Arial" w:hAnsi="Arial" w:cs="Arial"/>
                <w:noProof/>
              </w:rPr>
              <w:t>1.5 Critical Interaction Between the Three Actors</w:t>
            </w:r>
            <w:r>
              <w:rPr>
                <w:noProof/>
              </w:rPr>
              <w:tab/>
            </w:r>
            <w:r>
              <w:rPr>
                <w:noProof/>
              </w:rPr>
              <w:fldChar w:fldCharType="begin"/>
            </w:r>
            <w:r>
              <w:rPr>
                <w:noProof/>
              </w:rPr>
              <w:instrText xml:space="preserve"> PAGEREF _Toc10641 \h </w:instrText>
            </w:r>
            <w:r>
              <w:rPr>
                <w:noProof/>
              </w:rPr>
            </w:r>
            <w:r>
              <w:rPr>
                <w:noProof/>
              </w:rPr>
              <w:fldChar w:fldCharType="separate"/>
            </w:r>
            <w:r w:rsidR="00E46CA1">
              <w:rPr>
                <w:noProof/>
              </w:rPr>
              <w:t>8</w:t>
            </w:r>
            <w:r>
              <w:rPr>
                <w:noProof/>
              </w:rPr>
              <w:fldChar w:fldCharType="end"/>
            </w:r>
          </w:hyperlink>
        </w:p>
        <w:p w:rsidR="001815C2" w:rsidRDefault="004C2125">
          <w:pPr>
            <w:pStyle w:val="TOC4"/>
            <w:tabs>
              <w:tab w:val="right" w:leader="dot" w:pos="9026"/>
            </w:tabs>
            <w:rPr>
              <w:noProof/>
            </w:rPr>
          </w:pPr>
          <w:hyperlink w:anchor="_Toc6152" w:history="1">
            <w:r>
              <w:rPr>
                <w:rFonts w:ascii="Arial" w:eastAsia="Arial" w:hAnsi="Arial" w:cs="Arial"/>
                <w:bCs/>
                <w:noProof/>
              </w:rPr>
              <w:t>Interdependence of the Actors</w:t>
            </w:r>
            <w:r>
              <w:rPr>
                <w:noProof/>
              </w:rPr>
              <w:tab/>
            </w:r>
            <w:r>
              <w:rPr>
                <w:noProof/>
              </w:rPr>
              <w:fldChar w:fldCharType="begin"/>
            </w:r>
            <w:r>
              <w:rPr>
                <w:noProof/>
              </w:rPr>
              <w:instrText xml:space="preserve"> PAGEREF _Toc6152 \h </w:instrText>
            </w:r>
            <w:r>
              <w:rPr>
                <w:noProof/>
              </w:rPr>
            </w:r>
            <w:r>
              <w:rPr>
                <w:noProof/>
              </w:rPr>
              <w:fldChar w:fldCharType="separate"/>
            </w:r>
            <w:r w:rsidR="00E46CA1">
              <w:rPr>
                <w:noProof/>
              </w:rPr>
              <w:t>9</w:t>
            </w:r>
            <w:r>
              <w:rPr>
                <w:noProof/>
              </w:rPr>
              <w:fldChar w:fldCharType="end"/>
            </w:r>
          </w:hyperlink>
        </w:p>
        <w:p w:rsidR="001815C2" w:rsidRDefault="004C2125">
          <w:pPr>
            <w:pStyle w:val="TOC4"/>
            <w:tabs>
              <w:tab w:val="right" w:leader="dot" w:pos="9026"/>
            </w:tabs>
            <w:rPr>
              <w:noProof/>
            </w:rPr>
          </w:pPr>
          <w:hyperlink w:anchor="_Toc20846" w:history="1">
            <w:r>
              <w:rPr>
                <w:rFonts w:ascii="Arial" w:eastAsia="Arial" w:hAnsi="Arial" w:cs="Arial"/>
                <w:bCs/>
                <w:noProof/>
              </w:rPr>
              <w:t xml:space="preserve">Regulation Accelerating Customer </w:t>
            </w:r>
            <w:r>
              <w:rPr>
                <w:rFonts w:ascii="Arial" w:eastAsia="Arial" w:hAnsi="Arial" w:cs="Arial"/>
                <w:bCs/>
                <w:noProof/>
              </w:rPr>
              <w:t>Demand</w:t>
            </w:r>
            <w:r>
              <w:rPr>
                <w:noProof/>
              </w:rPr>
              <w:tab/>
            </w:r>
            <w:r>
              <w:rPr>
                <w:noProof/>
              </w:rPr>
              <w:fldChar w:fldCharType="begin"/>
            </w:r>
            <w:r>
              <w:rPr>
                <w:noProof/>
              </w:rPr>
              <w:instrText xml:space="preserve"> PAGEREF _Toc20846 \h </w:instrText>
            </w:r>
            <w:r>
              <w:rPr>
                <w:noProof/>
              </w:rPr>
            </w:r>
            <w:r>
              <w:rPr>
                <w:noProof/>
              </w:rPr>
              <w:fldChar w:fldCharType="separate"/>
            </w:r>
            <w:r w:rsidR="00E46CA1">
              <w:rPr>
                <w:noProof/>
              </w:rPr>
              <w:t>9</w:t>
            </w:r>
            <w:r>
              <w:rPr>
                <w:noProof/>
              </w:rPr>
              <w:fldChar w:fldCharType="end"/>
            </w:r>
          </w:hyperlink>
        </w:p>
        <w:p w:rsidR="001815C2" w:rsidRDefault="004C2125">
          <w:pPr>
            <w:pStyle w:val="TOC4"/>
            <w:tabs>
              <w:tab w:val="right" w:leader="dot" w:pos="9026"/>
            </w:tabs>
            <w:rPr>
              <w:noProof/>
            </w:rPr>
          </w:pPr>
          <w:hyperlink w:anchor="_Toc24139" w:history="1">
            <w:r>
              <w:rPr>
                <w:rFonts w:ascii="Arial" w:eastAsia="Arial" w:hAnsi="Arial" w:cs="Arial"/>
                <w:bCs/>
                <w:noProof/>
              </w:rPr>
              <w:t>Rising Operational Costs</w:t>
            </w:r>
            <w:r>
              <w:rPr>
                <w:noProof/>
              </w:rPr>
              <w:tab/>
            </w:r>
            <w:r>
              <w:rPr>
                <w:noProof/>
              </w:rPr>
              <w:fldChar w:fldCharType="begin"/>
            </w:r>
            <w:r>
              <w:rPr>
                <w:noProof/>
              </w:rPr>
              <w:instrText xml:space="preserve"> PAGEREF _Toc24139 \h </w:instrText>
            </w:r>
            <w:r>
              <w:rPr>
                <w:noProof/>
              </w:rPr>
            </w:r>
            <w:r>
              <w:rPr>
                <w:noProof/>
              </w:rPr>
              <w:fldChar w:fldCharType="separate"/>
            </w:r>
            <w:r w:rsidR="00E46CA1">
              <w:rPr>
                <w:noProof/>
              </w:rPr>
              <w:t>9</w:t>
            </w:r>
            <w:r>
              <w:rPr>
                <w:noProof/>
              </w:rPr>
              <w:fldChar w:fldCharType="end"/>
            </w:r>
          </w:hyperlink>
        </w:p>
        <w:p w:rsidR="001815C2" w:rsidRDefault="004C2125">
          <w:pPr>
            <w:pStyle w:val="TOC4"/>
            <w:tabs>
              <w:tab w:val="right" w:leader="dot" w:pos="9026"/>
            </w:tabs>
            <w:rPr>
              <w:noProof/>
            </w:rPr>
          </w:pPr>
          <w:hyperlink w:anchor="_Toc30263" w:history="1">
            <w:r>
              <w:rPr>
                <w:rFonts w:ascii="Arial" w:eastAsia="Arial" w:hAnsi="Arial" w:cs="Arial"/>
                <w:bCs/>
                <w:noProof/>
              </w:rPr>
              <w:t>Implications for Competitive Position</w:t>
            </w:r>
            <w:r>
              <w:rPr>
                <w:noProof/>
              </w:rPr>
              <w:tab/>
            </w:r>
            <w:r>
              <w:rPr>
                <w:noProof/>
              </w:rPr>
              <w:fldChar w:fldCharType="begin"/>
            </w:r>
            <w:r>
              <w:rPr>
                <w:noProof/>
              </w:rPr>
              <w:instrText xml:space="preserve"> PAGEREF _Toc30263 \h </w:instrText>
            </w:r>
            <w:r>
              <w:rPr>
                <w:noProof/>
              </w:rPr>
            </w:r>
            <w:r>
              <w:rPr>
                <w:noProof/>
              </w:rPr>
              <w:fldChar w:fldCharType="separate"/>
            </w:r>
            <w:r w:rsidR="00E46CA1">
              <w:rPr>
                <w:noProof/>
              </w:rPr>
              <w:t>9</w:t>
            </w:r>
            <w:r>
              <w:rPr>
                <w:noProof/>
              </w:rPr>
              <w:fldChar w:fldCharType="end"/>
            </w:r>
          </w:hyperlink>
        </w:p>
        <w:p w:rsidR="001815C2" w:rsidRDefault="004C2125">
          <w:pPr>
            <w:pStyle w:val="TOC1"/>
            <w:tabs>
              <w:tab w:val="right" w:leader="dot" w:pos="9026"/>
            </w:tabs>
            <w:rPr>
              <w:noProof/>
            </w:rPr>
          </w:pPr>
          <w:hyperlink w:anchor="_Toc30168" w:history="1">
            <w:r>
              <w:rPr>
                <w:rFonts w:ascii="Arial" w:eastAsia="Arial" w:hAnsi="Arial" w:cs="Arial"/>
                <w:noProof/>
              </w:rPr>
              <w:t>Task 2: Strategic Growth and Competitive Positioning</w:t>
            </w:r>
            <w:r>
              <w:rPr>
                <w:noProof/>
              </w:rPr>
              <w:tab/>
            </w:r>
            <w:r>
              <w:rPr>
                <w:noProof/>
              </w:rPr>
              <w:fldChar w:fldCharType="begin"/>
            </w:r>
            <w:r>
              <w:rPr>
                <w:noProof/>
              </w:rPr>
              <w:instrText xml:space="preserve"> PAGEREF _Toc30168 \h </w:instrText>
            </w:r>
            <w:r>
              <w:rPr>
                <w:noProof/>
              </w:rPr>
            </w:r>
            <w:r>
              <w:rPr>
                <w:noProof/>
              </w:rPr>
              <w:fldChar w:fldCharType="separate"/>
            </w:r>
            <w:r w:rsidR="00E46CA1">
              <w:rPr>
                <w:noProof/>
              </w:rPr>
              <w:t>10</w:t>
            </w:r>
            <w:r>
              <w:rPr>
                <w:noProof/>
              </w:rPr>
              <w:fldChar w:fldCharType="end"/>
            </w:r>
          </w:hyperlink>
        </w:p>
        <w:p w:rsidR="001815C2" w:rsidRDefault="004C2125">
          <w:pPr>
            <w:pStyle w:val="TOC2"/>
            <w:tabs>
              <w:tab w:val="right" w:leader="dot" w:pos="9026"/>
            </w:tabs>
            <w:rPr>
              <w:noProof/>
            </w:rPr>
          </w:pPr>
          <w:hyperlink w:anchor="_Toc22520" w:history="1">
            <w:r>
              <w:rPr>
                <w:rFonts w:ascii="Arial" w:eastAsia="Arial" w:hAnsi="Arial" w:cs="Arial"/>
                <w:noProof/>
              </w:rPr>
              <w:t>2.1 Strategic Context for BHP's Growth</w:t>
            </w:r>
            <w:r>
              <w:rPr>
                <w:noProof/>
              </w:rPr>
              <w:tab/>
            </w:r>
            <w:r>
              <w:rPr>
                <w:noProof/>
              </w:rPr>
              <w:fldChar w:fldCharType="begin"/>
            </w:r>
            <w:r>
              <w:rPr>
                <w:noProof/>
              </w:rPr>
              <w:instrText xml:space="preserve"> PAGEREF _Toc22520 \h </w:instrText>
            </w:r>
            <w:r>
              <w:rPr>
                <w:noProof/>
              </w:rPr>
            </w:r>
            <w:r>
              <w:rPr>
                <w:noProof/>
              </w:rPr>
              <w:fldChar w:fldCharType="separate"/>
            </w:r>
            <w:r w:rsidR="00E46CA1">
              <w:rPr>
                <w:noProof/>
              </w:rPr>
              <w:t>10</w:t>
            </w:r>
            <w:r>
              <w:rPr>
                <w:noProof/>
              </w:rPr>
              <w:fldChar w:fldCharType="end"/>
            </w:r>
          </w:hyperlink>
        </w:p>
        <w:p w:rsidR="001815C2" w:rsidRDefault="004C2125">
          <w:pPr>
            <w:pStyle w:val="TOC2"/>
            <w:tabs>
              <w:tab w:val="right" w:leader="dot" w:pos="9026"/>
            </w:tabs>
            <w:rPr>
              <w:noProof/>
            </w:rPr>
          </w:pPr>
          <w:hyperlink w:anchor="_Toc10493" w:history="1">
            <w:r>
              <w:rPr>
                <w:rFonts w:ascii="Arial" w:eastAsia="Arial" w:hAnsi="Arial" w:cs="Arial"/>
                <w:noProof/>
              </w:rPr>
              <w:t>2.2 Applicatio</w:t>
            </w:r>
            <w:r>
              <w:rPr>
                <w:rFonts w:ascii="Arial" w:eastAsia="Arial" w:hAnsi="Arial" w:cs="Arial"/>
                <w:noProof/>
              </w:rPr>
              <w:t>n of the Ansoff Matrix to BHP</w:t>
            </w:r>
            <w:r>
              <w:rPr>
                <w:noProof/>
              </w:rPr>
              <w:tab/>
            </w:r>
            <w:r>
              <w:rPr>
                <w:noProof/>
              </w:rPr>
              <w:fldChar w:fldCharType="begin"/>
            </w:r>
            <w:r>
              <w:rPr>
                <w:noProof/>
              </w:rPr>
              <w:instrText xml:space="preserve"> PAGEREF _Toc10493 \h </w:instrText>
            </w:r>
            <w:r>
              <w:rPr>
                <w:noProof/>
              </w:rPr>
            </w:r>
            <w:r>
              <w:rPr>
                <w:noProof/>
              </w:rPr>
              <w:fldChar w:fldCharType="separate"/>
            </w:r>
            <w:r w:rsidR="00E46CA1">
              <w:rPr>
                <w:noProof/>
              </w:rPr>
              <w:t>11</w:t>
            </w:r>
            <w:r>
              <w:rPr>
                <w:noProof/>
              </w:rPr>
              <w:fldChar w:fldCharType="end"/>
            </w:r>
          </w:hyperlink>
        </w:p>
        <w:p w:rsidR="001815C2" w:rsidRDefault="004C2125">
          <w:pPr>
            <w:pStyle w:val="TOC2"/>
            <w:tabs>
              <w:tab w:val="right" w:leader="dot" w:pos="9026"/>
            </w:tabs>
            <w:rPr>
              <w:noProof/>
            </w:rPr>
          </w:pPr>
          <w:hyperlink w:anchor="_Toc16497" w:history="1">
            <w:r>
              <w:rPr>
                <w:rFonts w:ascii="Arial" w:eastAsia="Arial" w:hAnsi="Arial" w:cs="Arial"/>
                <w:noProof/>
              </w:rPr>
              <w:t>2.3 Recommended Ansoff Growth Approach</w:t>
            </w:r>
            <w:r>
              <w:rPr>
                <w:noProof/>
              </w:rPr>
              <w:tab/>
            </w:r>
            <w:r>
              <w:rPr>
                <w:noProof/>
              </w:rPr>
              <w:fldChar w:fldCharType="begin"/>
            </w:r>
            <w:r>
              <w:rPr>
                <w:noProof/>
              </w:rPr>
              <w:instrText xml:space="preserve"> PAGEREF _Toc16497 \h </w:instrText>
            </w:r>
            <w:r>
              <w:rPr>
                <w:noProof/>
              </w:rPr>
            </w:r>
            <w:r>
              <w:rPr>
                <w:noProof/>
              </w:rPr>
              <w:fldChar w:fldCharType="separate"/>
            </w:r>
            <w:r w:rsidR="00E46CA1">
              <w:rPr>
                <w:noProof/>
              </w:rPr>
              <w:t>12</w:t>
            </w:r>
            <w:r>
              <w:rPr>
                <w:noProof/>
              </w:rPr>
              <w:fldChar w:fldCharType="end"/>
            </w:r>
          </w:hyperlink>
        </w:p>
        <w:p w:rsidR="001815C2" w:rsidRDefault="004C2125">
          <w:pPr>
            <w:pStyle w:val="TOC2"/>
            <w:tabs>
              <w:tab w:val="right" w:leader="dot" w:pos="9026"/>
            </w:tabs>
            <w:rPr>
              <w:noProof/>
            </w:rPr>
          </w:pPr>
          <w:hyperlink w:anchor="_Toc18557" w:history="1">
            <w:r>
              <w:rPr>
                <w:rFonts w:ascii="Arial" w:eastAsia="Arial" w:hAnsi="Arial" w:cs="Arial"/>
                <w:noProof/>
              </w:rPr>
              <w:t>2.4 Building Competitive Advantage Through Lower-Carbon Products (Porter’s Generic Forces)</w:t>
            </w:r>
            <w:r>
              <w:rPr>
                <w:noProof/>
              </w:rPr>
              <w:tab/>
            </w:r>
            <w:r>
              <w:rPr>
                <w:noProof/>
              </w:rPr>
              <w:fldChar w:fldCharType="begin"/>
            </w:r>
            <w:r>
              <w:rPr>
                <w:noProof/>
              </w:rPr>
              <w:instrText xml:space="preserve"> PAGEREF _Toc18557 \h </w:instrText>
            </w:r>
            <w:r>
              <w:rPr>
                <w:noProof/>
              </w:rPr>
            </w:r>
            <w:r>
              <w:rPr>
                <w:noProof/>
              </w:rPr>
              <w:fldChar w:fldCharType="separate"/>
            </w:r>
            <w:r w:rsidR="00E46CA1">
              <w:rPr>
                <w:noProof/>
              </w:rPr>
              <w:t>13</w:t>
            </w:r>
            <w:r>
              <w:rPr>
                <w:noProof/>
              </w:rPr>
              <w:fldChar w:fldCharType="end"/>
            </w:r>
          </w:hyperlink>
        </w:p>
        <w:p w:rsidR="001815C2" w:rsidRDefault="004C2125">
          <w:pPr>
            <w:pStyle w:val="TOC1"/>
            <w:tabs>
              <w:tab w:val="right" w:leader="dot" w:pos="9026"/>
            </w:tabs>
            <w:rPr>
              <w:noProof/>
            </w:rPr>
          </w:pPr>
          <w:hyperlink w:anchor="_Toc15186" w:history="1">
            <w:r>
              <w:rPr>
                <w:rFonts w:ascii="Arial" w:eastAsia="Arial" w:hAnsi="Arial" w:cs="Arial"/>
                <w:noProof/>
              </w:rPr>
              <w:t>Task 3</w:t>
            </w:r>
            <w:r>
              <w:rPr>
                <w:rFonts w:ascii="Arial" w:eastAsia="Arial" w:hAnsi="Arial" w:cs="Arial"/>
                <w:noProof/>
              </w:rPr>
              <w:t>: Managerial and Professional Reflection</w:t>
            </w:r>
            <w:r>
              <w:rPr>
                <w:noProof/>
              </w:rPr>
              <w:tab/>
            </w:r>
            <w:r>
              <w:rPr>
                <w:noProof/>
              </w:rPr>
              <w:fldChar w:fldCharType="begin"/>
            </w:r>
            <w:r>
              <w:rPr>
                <w:noProof/>
              </w:rPr>
              <w:instrText xml:space="preserve"> PAGEREF _Toc15186 \h </w:instrText>
            </w:r>
            <w:r>
              <w:rPr>
                <w:noProof/>
              </w:rPr>
            </w:r>
            <w:r>
              <w:rPr>
                <w:noProof/>
              </w:rPr>
              <w:fldChar w:fldCharType="separate"/>
            </w:r>
            <w:r w:rsidR="00E46CA1">
              <w:rPr>
                <w:noProof/>
              </w:rPr>
              <w:t>15</w:t>
            </w:r>
            <w:r>
              <w:rPr>
                <w:noProof/>
              </w:rPr>
              <w:fldChar w:fldCharType="end"/>
            </w:r>
          </w:hyperlink>
        </w:p>
        <w:p w:rsidR="001815C2" w:rsidRDefault="004C2125">
          <w:pPr>
            <w:pStyle w:val="TOC2"/>
            <w:tabs>
              <w:tab w:val="right" w:leader="dot" w:pos="9026"/>
            </w:tabs>
            <w:rPr>
              <w:noProof/>
            </w:rPr>
          </w:pPr>
          <w:hyperlink w:anchor="_Toc8025" w:history="1">
            <w:r>
              <w:rPr>
                <w:rFonts w:ascii="Arial" w:eastAsia="Arial" w:hAnsi="Arial" w:cs="Arial"/>
                <w:noProof/>
              </w:rPr>
              <w:t>3.1 Rationale for Selecting BHP</w:t>
            </w:r>
            <w:r>
              <w:rPr>
                <w:noProof/>
              </w:rPr>
              <w:tab/>
            </w:r>
            <w:r>
              <w:rPr>
                <w:noProof/>
              </w:rPr>
              <w:fldChar w:fldCharType="begin"/>
            </w:r>
            <w:r>
              <w:rPr>
                <w:noProof/>
              </w:rPr>
              <w:instrText xml:space="preserve"> PAGEREF _Toc8025 \h </w:instrText>
            </w:r>
            <w:r>
              <w:rPr>
                <w:noProof/>
              </w:rPr>
            </w:r>
            <w:r>
              <w:rPr>
                <w:noProof/>
              </w:rPr>
              <w:fldChar w:fldCharType="separate"/>
            </w:r>
            <w:r w:rsidR="00E46CA1">
              <w:rPr>
                <w:noProof/>
              </w:rPr>
              <w:t>15</w:t>
            </w:r>
            <w:r>
              <w:rPr>
                <w:noProof/>
              </w:rPr>
              <w:fldChar w:fldCharType="end"/>
            </w:r>
          </w:hyperlink>
        </w:p>
        <w:p w:rsidR="001815C2" w:rsidRDefault="004C2125">
          <w:pPr>
            <w:pStyle w:val="TOC2"/>
            <w:tabs>
              <w:tab w:val="right" w:leader="dot" w:pos="9026"/>
            </w:tabs>
            <w:rPr>
              <w:noProof/>
            </w:rPr>
          </w:pPr>
          <w:hyperlink w:anchor="_Toc25954" w:history="1">
            <w:r>
              <w:rPr>
                <w:rFonts w:ascii="Arial" w:eastAsia="Arial" w:hAnsi="Arial" w:cs="Arial"/>
                <w:noProof/>
              </w:rPr>
              <w:t>3.2 Rationale for Selecting the Three Macro-Environmental Actors</w:t>
            </w:r>
            <w:r>
              <w:rPr>
                <w:noProof/>
              </w:rPr>
              <w:tab/>
            </w:r>
            <w:r>
              <w:rPr>
                <w:noProof/>
              </w:rPr>
              <w:fldChar w:fldCharType="begin"/>
            </w:r>
            <w:r>
              <w:rPr>
                <w:noProof/>
              </w:rPr>
              <w:instrText xml:space="preserve"> PAGEREF _Toc25954 \h </w:instrText>
            </w:r>
            <w:r>
              <w:rPr>
                <w:noProof/>
              </w:rPr>
            </w:r>
            <w:r>
              <w:rPr>
                <w:noProof/>
              </w:rPr>
              <w:fldChar w:fldCharType="separate"/>
            </w:r>
            <w:r w:rsidR="00E46CA1">
              <w:rPr>
                <w:noProof/>
              </w:rPr>
              <w:t>15</w:t>
            </w:r>
            <w:r>
              <w:rPr>
                <w:noProof/>
              </w:rPr>
              <w:fldChar w:fldCharType="end"/>
            </w:r>
          </w:hyperlink>
        </w:p>
        <w:p w:rsidR="001815C2" w:rsidRDefault="004C2125">
          <w:pPr>
            <w:pStyle w:val="TOC2"/>
            <w:tabs>
              <w:tab w:val="right" w:leader="dot" w:pos="9026"/>
            </w:tabs>
            <w:rPr>
              <w:noProof/>
            </w:rPr>
          </w:pPr>
          <w:hyperlink w:anchor="_Toc1501" w:history="1">
            <w:r>
              <w:rPr>
                <w:rFonts w:ascii="Arial" w:eastAsia="Arial" w:hAnsi="Arial" w:cs="Arial"/>
                <w:noProof/>
              </w:rPr>
              <w:t>3.3 Reflection on the Strategic</w:t>
            </w:r>
            <w:r>
              <w:rPr>
                <w:rFonts w:ascii="Arial" w:eastAsia="Arial" w:hAnsi="Arial" w:cs="Arial"/>
                <w:noProof/>
              </w:rPr>
              <w:t xml:space="preserve"> Growth Decision</w:t>
            </w:r>
            <w:r>
              <w:rPr>
                <w:noProof/>
              </w:rPr>
              <w:tab/>
            </w:r>
            <w:r>
              <w:rPr>
                <w:noProof/>
              </w:rPr>
              <w:fldChar w:fldCharType="begin"/>
            </w:r>
            <w:r>
              <w:rPr>
                <w:noProof/>
              </w:rPr>
              <w:instrText xml:space="preserve"> PAGEREF _Toc1501 \h </w:instrText>
            </w:r>
            <w:r>
              <w:rPr>
                <w:noProof/>
              </w:rPr>
            </w:r>
            <w:r>
              <w:rPr>
                <w:noProof/>
              </w:rPr>
              <w:fldChar w:fldCharType="separate"/>
            </w:r>
            <w:r w:rsidR="00E46CA1">
              <w:rPr>
                <w:noProof/>
              </w:rPr>
              <w:t>15</w:t>
            </w:r>
            <w:r>
              <w:rPr>
                <w:noProof/>
              </w:rPr>
              <w:fldChar w:fldCharType="end"/>
            </w:r>
          </w:hyperlink>
        </w:p>
        <w:p w:rsidR="001815C2" w:rsidRDefault="004C2125">
          <w:pPr>
            <w:pStyle w:val="TOC2"/>
            <w:tabs>
              <w:tab w:val="right" w:leader="dot" w:pos="9026"/>
            </w:tabs>
            <w:rPr>
              <w:noProof/>
            </w:rPr>
          </w:pPr>
          <w:hyperlink w:anchor="_Toc12759" w:history="1">
            <w:r>
              <w:rPr>
                <w:rFonts w:ascii="Arial" w:eastAsia="Arial" w:hAnsi="Arial" w:cs="Arial"/>
                <w:noProof/>
              </w:rPr>
              <w:t>3.4 Critical Reflection on the gaps in the Analysis</w:t>
            </w:r>
            <w:r>
              <w:rPr>
                <w:noProof/>
              </w:rPr>
              <w:tab/>
            </w:r>
            <w:r>
              <w:rPr>
                <w:noProof/>
              </w:rPr>
              <w:fldChar w:fldCharType="begin"/>
            </w:r>
            <w:r>
              <w:rPr>
                <w:noProof/>
              </w:rPr>
              <w:instrText xml:space="preserve"> PAGEREF _Toc12759 \h </w:instrText>
            </w:r>
            <w:r>
              <w:rPr>
                <w:noProof/>
              </w:rPr>
            </w:r>
            <w:r>
              <w:rPr>
                <w:noProof/>
              </w:rPr>
              <w:fldChar w:fldCharType="separate"/>
            </w:r>
            <w:r w:rsidR="00E46CA1">
              <w:rPr>
                <w:noProof/>
              </w:rPr>
              <w:t>16</w:t>
            </w:r>
            <w:r>
              <w:rPr>
                <w:noProof/>
              </w:rPr>
              <w:fldChar w:fldCharType="end"/>
            </w:r>
          </w:hyperlink>
        </w:p>
        <w:p w:rsidR="001815C2" w:rsidRDefault="004C2125">
          <w:pPr>
            <w:pStyle w:val="TOC2"/>
            <w:tabs>
              <w:tab w:val="right" w:leader="dot" w:pos="9026"/>
            </w:tabs>
            <w:rPr>
              <w:noProof/>
            </w:rPr>
          </w:pPr>
          <w:hyperlink w:anchor="_Toc5659" w:history="1">
            <w:r>
              <w:rPr>
                <w:rFonts w:ascii="Arial" w:eastAsia="Arial" w:hAnsi="Arial" w:cs="Arial"/>
                <w:noProof/>
              </w:rPr>
              <w:t>3.5 Additional Information Required by a Real Consultant</w:t>
            </w:r>
            <w:r>
              <w:rPr>
                <w:noProof/>
              </w:rPr>
              <w:tab/>
            </w:r>
            <w:r>
              <w:rPr>
                <w:noProof/>
              </w:rPr>
              <w:fldChar w:fldCharType="begin"/>
            </w:r>
            <w:r>
              <w:rPr>
                <w:noProof/>
              </w:rPr>
              <w:instrText xml:space="preserve"> PAGEREF _Toc5659 \h </w:instrText>
            </w:r>
            <w:r>
              <w:rPr>
                <w:noProof/>
              </w:rPr>
            </w:r>
            <w:r>
              <w:rPr>
                <w:noProof/>
              </w:rPr>
              <w:fldChar w:fldCharType="separate"/>
            </w:r>
            <w:r w:rsidR="00E46CA1">
              <w:rPr>
                <w:noProof/>
              </w:rPr>
              <w:t>16</w:t>
            </w:r>
            <w:r>
              <w:rPr>
                <w:noProof/>
              </w:rPr>
              <w:fldChar w:fldCharType="end"/>
            </w:r>
          </w:hyperlink>
        </w:p>
        <w:p w:rsidR="001815C2" w:rsidRDefault="004C2125">
          <w:pPr>
            <w:pStyle w:val="TOC2"/>
            <w:tabs>
              <w:tab w:val="right" w:leader="dot" w:pos="9026"/>
            </w:tabs>
            <w:rPr>
              <w:noProof/>
            </w:rPr>
          </w:pPr>
          <w:hyperlink w:anchor="_Toc16228" w:history="1">
            <w:r>
              <w:rPr>
                <w:rFonts w:ascii="Arial" w:eastAsia="Arial" w:hAnsi="Arial" w:cs="Arial"/>
                <w:noProof/>
              </w:rPr>
              <w:t>3.6 Professional Learning and Implications fo</w:t>
            </w:r>
            <w:r>
              <w:rPr>
                <w:rFonts w:ascii="Arial" w:eastAsia="Arial" w:hAnsi="Arial" w:cs="Arial"/>
                <w:noProof/>
              </w:rPr>
              <w:t>r Senior Leadership</w:t>
            </w:r>
            <w:r>
              <w:rPr>
                <w:noProof/>
              </w:rPr>
              <w:tab/>
            </w:r>
            <w:r>
              <w:rPr>
                <w:noProof/>
              </w:rPr>
              <w:fldChar w:fldCharType="begin"/>
            </w:r>
            <w:r>
              <w:rPr>
                <w:noProof/>
              </w:rPr>
              <w:instrText xml:space="preserve"> PAGEREF _Toc16228 \h </w:instrText>
            </w:r>
            <w:r>
              <w:rPr>
                <w:noProof/>
              </w:rPr>
            </w:r>
            <w:r>
              <w:rPr>
                <w:noProof/>
              </w:rPr>
              <w:fldChar w:fldCharType="separate"/>
            </w:r>
            <w:r w:rsidR="00E46CA1">
              <w:rPr>
                <w:noProof/>
              </w:rPr>
              <w:t>16</w:t>
            </w:r>
            <w:r>
              <w:rPr>
                <w:noProof/>
              </w:rPr>
              <w:fldChar w:fldCharType="end"/>
            </w:r>
          </w:hyperlink>
        </w:p>
        <w:p w:rsidR="001815C2" w:rsidRDefault="004C2125">
          <w:pPr>
            <w:pStyle w:val="TOC1"/>
            <w:tabs>
              <w:tab w:val="right" w:leader="dot" w:pos="9026"/>
            </w:tabs>
            <w:rPr>
              <w:noProof/>
            </w:rPr>
          </w:pPr>
          <w:hyperlink w:anchor="_Toc21819" w:history="1">
            <w:r>
              <w:rPr>
                <w:rFonts w:ascii="Arial" w:eastAsia="Arial" w:hAnsi="Arial" w:cs="Arial"/>
                <w:noProof/>
              </w:rPr>
              <w:t>Reference List</w:t>
            </w:r>
            <w:r>
              <w:rPr>
                <w:noProof/>
              </w:rPr>
              <w:tab/>
            </w:r>
            <w:r>
              <w:rPr>
                <w:noProof/>
              </w:rPr>
              <w:fldChar w:fldCharType="begin"/>
            </w:r>
            <w:r>
              <w:rPr>
                <w:noProof/>
              </w:rPr>
              <w:instrText xml:space="preserve"> PAGEREF _Toc21819 \h </w:instrText>
            </w:r>
            <w:r>
              <w:rPr>
                <w:noProof/>
              </w:rPr>
            </w:r>
            <w:r>
              <w:rPr>
                <w:noProof/>
              </w:rPr>
              <w:fldChar w:fldCharType="separate"/>
            </w:r>
            <w:r w:rsidR="00E46CA1">
              <w:rPr>
                <w:noProof/>
              </w:rPr>
              <w:t>17</w:t>
            </w:r>
            <w:r>
              <w:rPr>
                <w:noProof/>
              </w:rPr>
              <w:fldChar w:fldCharType="end"/>
            </w:r>
          </w:hyperlink>
        </w:p>
        <w:p w:rsidR="001815C2" w:rsidRDefault="004C2125">
          <w:pPr>
            <w:pStyle w:val="TOC1"/>
            <w:widowControl w:val="0"/>
            <w:tabs>
              <w:tab w:val="right" w:pos="9016"/>
            </w:tabs>
            <w:spacing w:before="60" w:after="0" w:line="240" w:lineRule="auto"/>
            <w:jc w:val="left"/>
            <w:rPr>
              <w:rFonts w:ascii="Arial" w:eastAsia="Arial" w:hAnsi="Arial" w:cs="Arial"/>
              <w:b/>
              <w:bCs/>
              <w:color w:val="000000"/>
              <w:sz w:val="22"/>
              <w:szCs w:val="22"/>
            </w:rPr>
          </w:pPr>
          <w:r>
            <w:rPr>
              <w:rFonts w:ascii="Arial" w:hAnsi="Arial" w:cs="Arial"/>
            </w:rPr>
            <w:fldChar w:fldCharType="end"/>
          </w:r>
        </w:p>
      </w:sdtContent>
    </w:sdt>
    <w:p w:rsidR="001815C2" w:rsidRDefault="001815C2">
      <w:pPr>
        <w:widowControl w:val="0"/>
        <w:tabs>
          <w:tab w:val="right" w:pos="9025"/>
        </w:tabs>
        <w:spacing w:before="60" w:after="0"/>
        <w:jc w:val="left"/>
        <w:rPr>
          <w:rFonts w:ascii="Arial" w:eastAsia="Arial" w:hAnsi="Arial" w:cs="Arial"/>
          <w:b/>
          <w:bCs/>
          <w:color w:val="000000"/>
        </w:rPr>
      </w:pPr>
    </w:p>
    <w:p w:rsidR="001815C2" w:rsidRDefault="001815C2">
      <w:pPr>
        <w:pStyle w:val="Heading1"/>
        <w:rPr>
          <w:rFonts w:ascii="Arial" w:eastAsia="Arial" w:hAnsi="Arial" w:cs="Arial"/>
          <w:sz w:val="24"/>
          <w:szCs w:val="24"/>
        </w:rPr>
        <w:sectPr w:rsidR="001815C2">
          <w:headerReference w:type="even" r:id="rId10"/>
          <w:headerReference w:type="default" r:id="rId11"/>
          <w:footerReference w:type="even" r:id="rId1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p>
    <w:p w:rsidR="001815C2" w:rsidRDefault="004C2125">
      <w:pPr>
        <w:pStyle w:val="Heading1"/>
        <w:rPr>
          <w:rFonts w:ascii="Arial" w:eastAsia="Arial" w:hAnsi="Arial" w:cs="Arial"/>
          <w:sz w:val="24"/>
          <w:szCs w:val="24"/>
        </w:rPr>
      </w:pPr>
      <w:bookmarkStart w:id="1" w:name="_Toc1918"/>
      <w:r>
        <w:rPr>
          <w:rFonts w:ascii="Arial" w:eastAsia="Arial" w:hAnsi="Arial" w:cs="Arial"/>
          <w:sz w:val="24"/>
          <w:szCs w:val="24"/>
        </w:rPr>
        <w:lastRenderedPageBreak/>
        <w:t>Task 1: Marketing Environment Analysis</w:t>
      </w:r>
      <w:bookmarkEnd w:id="1"/>
    </w:p>
    <w:p w:rsidR="001815C2" w:rsidRDefault="004C2125">
      <w:pPr>
        <w:pStyle w:val="Heading2"/>
        <w:keepNext w:val="0"/>
        <w:keepLines w:val="0"/>
        <w:spacing w:before="280" w:after="80"/>
        <w:rPr>
          <w:rFonts w:ascii="Arial" w:eastAsia="Arial" w:hAnsi="Arial" w:cs="Arial"/>
        </w:rPr>
      </w:pPr>
      <w:bookmarkStart w:id="2" w:name="_Toc24030"/>
      <w:r>
        <w:rPr>
          <w:rFonts w:ascii="Arial" w:eastAsia="Arial" w:hAnsi="Arial" w:cs="Arial"/>
        </w:rPr>
        <w:t>1.1 Overview of BHP's Marketing Environment</w:t>
      </w:r>
      <w:bookmarkEnd w:id="2"/>
    </w:p>
    <w:p w:rsidR="001815C2" w:rsidRDefault="004C2125">
      <w:pPr>
        <w:rPr>
          <w:rFonts w:ascii="Arial" w:eastAsia="Arial" w:hAnsi="Arial" w:cs="Arial"/>
        </w:rPr>
      </w:pPr>
      <w:r>
        <w:rPr>
          <w:rFonts w:ascii="Arial" w:eastAsia="Arial" w:hAnsi="Arial" w:cs="Arial"/>
        </w:rPr>
        <w:t xml:space="preserve">The BHP Group (Broken Hill Proprietary Company) is </w:t>
      </w:r>
      <w:r>
        <w:rPr>
          <w:rFonts w:ascii="Arial" w:eastAsia="Arial" w:hAnsi="Arial" w:cs="Arial"/>
        </w:rPr>
        <w:t>currently the largest and most diversified mining company in the world and amongst the largest corporate taxpayers in Australia with a revenue of $51.3 billion and an underlying EBITDA of $26 billion at a 53% margin in FY 2025 (Proactive, 2026). Its portfo</w:t>
      </w:r>
      <w:r>
        <w:rPr>
          <w:rFonts w:ascii="Arial" w:eastAsia="Arial" w:hAnsi="Arial" w:cs="Arial"/>
        </w:rPr>
        <w:t xml:space="preserve">lio focuses on copper, iron ore, </w:t>
      </w:r>
      <w:r>
        <w:rPr>
          <w:rFonts w:ascii="Arial" w:eastAsia="Arial" w:hAnsi="Arial" w:cs="Arial"/>
          <w:lang w:val="en-US"/>
        </w:rPr>
        <w:t>steel making</w:t>
      </w:r>
      <w:r>
        <w:rPr>
          <w:rFonts w:ascii="Arial" w:eastAsia="Arial" w:hAnsi="Arial" w:cs="Arial"/>
        </w:rPr>
        <w:t xml:space="preserve"> coal and potash - which the world is urbanising around and towards an energy transition. </w:t>
      </w:r>
    </w:p>
    <w:p w:rsidR="001815C2" w:rsidRDefault="004C2125">
      <w:pPr>
        <w:jc w:val="center"/>
        <w:rPr>
          <w:rFonts w:ascii="Arial" w:eastAsia="Arial" w:hAnsi="Arial" w:cs="Arial"/>
        </w:rPr>
      </w:pPr>
      <w:r>
        <w:rPr>
          <w:rFonts w:ascii="Arial" w:eastAsia="Arial" w:hAnsi="Arial" w:cs="Arial"/>
          <w:noProof/>
          <w:lang w:val="en-US" w:eastAsia="en-US" w:bidi="gu-IN"/>
        </w:rPr>
        <w:drawing>
          <wp:inline distT="114300" distB="114300" distL="114300" distR="114300">
            <wp:extent cx="2068969" cy="2984500"/>
            <wp:effectExtent l="19050" t="19050" r="26670" b="25400"/>
            <wp:docPr id="37" name="image1.png"/>
            <wp:cNvGraphicFramePr/>
            <a:graphic xmlns:a="http://schemas.openxmlformats.org/drawingml/2006/main">
              <a:graphicData uri="http://schemas.openxmlformats.org/drawingml/2006/picture">
                <pic:pic xmlns:pic="http://schemas.openxmlformats.org/drawingml/2006/picture">
                  <pic:nvPicPr>
                    <pic:cNvPr id="37" name="image1.png"/>
                    <pic:cNvPicPr preferRelativeResize="0"/>
                  </pic:nvPicPr>
                  <pic:blipFill>
                    <a:blip r:embed="rId13"/>
                    <a:srcRect/>
                    <a:stretch>
                      <a:fillRect/>
                    </a:stretch>
                  </pic:blipFill>
                  <pic:spPr>
                    <a:xfrm>
                      <a:off x="0" y="0"/>
                      <a:ext cx="2066925" cy="2981551"/>
                    </a:xfrm>
                    <a:prstGeom prst="rect">
                      <a:avLst/>
                    </a:prstGeom>
                    <a:ln w="25400">
                      <a:solidFill>
                        <a:srgbClr val="000000"/>
                      </a:solidFill>
                      <a:prstDash val="solid"/>
                    </a:ln>
                  </pic:spPr>
                </pic:pic>
              </a:graphicData>
            </a:graphic>
          </wp:inline>
        </w:drawing>
      </w:r>
    </w:p>
    <w:p w:rsidR="001815C2" w:rsidRDefault="004C2125">
      <w:pPr>
        <w:jc w:val="center"/>
        <w:rPr>
          <w:rFonts w:ascii="Arial" w:eastAsia="Arial" w:hAnsi="Arial" w:cs="Arial"/>
          <w:b/>
          <w:bCs/>
        </w:rPr>
      </w:pPr>
      <w:r>
        <w:rPr>
          <w:rFonts w:ascii="Arial" w:eastAsia="Arial" w:hAnsi="Arial" w:cs="Arial"/>
          <w:b/>
          <w:bCs/>
        </w:rPr>
        <w:t>Figure 1: BHP Financial Highlights</w:t>
      </w:r>
    </w:p>
    <w:p w:rsidR="001815C2" w:rsidRDefault="004C2125">
      <w:pPr>
        <w:jc w:val="center"/>
        <w:rPr>
          <w:rFonts w:ascii="Arial" w:eastAsia="Arial" w:hAnsi="Arial" w:cs="Arial"/>
        </w:rPr>
      </w:pPr>
      <w:r>
        <w:rPr>
          <w:rFonts w:ascii="Arial" w:eastAsia="Arial" w:hAnsi="Arial" w:cs="Arial"/>
        </w:rPr>
        <w:t>(Source: BHP Group, 2025)</w:t>
      </w:r>
    </w:p>
    <w:p w:rsidR="001815C2" w:rsidRDefault="004C2125">
      <w:pPr>
        <w:rPr>
          <w:rFonts w:ascii="Arial" w:eastAsia="Arial" w:hAnsi="Arial" w:cs="Arial"/>
        </w:rPr>
      </w:pPr>
      <w:r>
        <w:rPr>
          <w:rFonts w:ascii="Arial" w:eastAsia="Arial" w:hAnsi="Arial" w:cs="Arial"/>
        </w:rPr>
        <w:t>This momentum went into</w:t>
      </w:r>
      <w:r>
        <w:rPr>
          <w:rFonts w:ascii="Arial" w:eastAsia="Arial" w:hAnsi="Arial" w:cs="Arial"/>
          <w:lang w:val="en-US"/>
        </w:rPr>
        <w:t xml:space="preserve"> </w:t>
      </w:r>
      <w:r>
        <w:rPr>
          <w:rFonts w:ascii="Arial" w:eastAsia="Arial" w:hAnsi="Arial" w:cs="Arial"/>
        </w:rPr>
        <w:t xml:space="preserve">2026, and underlying EBITDA on a </w:t>
      </w:r>
      <w:r>
        <w:rPr>
          <w:rFonts w:ascii="Arial" w:eastAsia="Arial" w:hAnsi="Arial" w:cs="Arial"/>
        </w:rPr>
        <w:t xml:space="preserve">first-half basis increased 25% of US$15.5 billion at a 58% margin. However, BHP is operating in a rapidly changing marketing environment where sustainability is making demand, competition and regulation simultaneously interrelated (BHP Group, 2025). Based </w:t>
      </w:r>
      <w:r>
        <w:rPr>
          <w:rFonts w:ascii="Arial" w:eastAsia="Arial" w:hAnsi="Arial" w:cs="Arial"/>
        </w:rPr>
        <w:t xml:space="preserve">on the framework created by </w:t>
      </w:r>
      <w:proofErr w:type="spellStart"/>
      <w:r>
        <w:rPr>
          <w:rFonts w:ascii="Arial" w:eastAsia="Arial" w:hAnsi="Arial" w:cs="Arial"/>
        </w:rPr>
        <w:t>Kotler</w:t>
      </w:r>
      <w:proofErr w:type="spellEnd"/>
      <w:r>
        <w:rPr>
          <w:rFonts w:ascii="Arial" w:eastAsia="Arial" w:hAnsi="Arial" w:cs="Arial"/>
        </w:rPr>
        <w:t xml:space="preserve"> </w:t>
      </w:r>
      <w:r>
        <w:rPr>
          <w:rFonts w:ascii="Arial" w:eastAsia="Arial" w:hAnsi="Arial" w:cs="Arial"/>
          <w:i/>
          <w:iCs/>
        </w:rPr>
        <w:t>et al.</w:t>
      </w:r>
      <w:r>
        <w:rPr>
          <w:rFonts w:ascii="Arial" w:eastAsia="Arial" w:hAnsi="Arial" w:cs="Arial"/>
        </w:rPr>
        <w:t xml:space="preserve"> (2024) this paper discusses three external agents that influence BHP in its direction towards lower-carbon products: the natural environment (the most dominant force), customers and business buyers, and government </w:t>
      </w:r>
      <w:r>
        <w:rPr>
          <w:rFonts w:ascii="Arial" w:eastAsia="Arial" w:hAnsi="Arial" w:cs="Arial"/>
        </w:rPr>
        <w:t>and regulators. Collectively these players dictate how BHP needs to position its products and convey its changing environmental strategy.</w:t>
      </w:r>
    </w:p>
    <w:p w:rsidR="001815C2" w:rsidRDefault="004C2125">
      <w:pPr>
        <w:pStyle w:val="Heading2"/>
        <w:keepNext w:val="0"/>
        <w:keepLines w:val="0"/>
        <w:spacing w:before="280" w:after="80"/>
        <w:rPr>
          <w:rFonts w:ascii="Arial" w:eastAsia="Arial" w:hAnsi="Arial" w:cs="Arial"/>
        </w:rPr>
      </w:pPr>
      <w:bookmarkStart w:id="3" w:name="_Toc28831"/>
      <w:r>
        <w:rPr>
          <w:rFonts w:ascii="Arial" w:eastAsia="Arial" w:hAnsi="Arial" w:cs="Arial"/>
        </w:rPr>
        <w:lastRenderedPageBreak/>
        <w:t>1.2 Environmental Actor: Natural Environment and Climate Change</w:t>
      </w:r>
      <w:bookmarkEnd w:id="3"/>
    </w:p>
    <w:p w:rsidR="001815C2" w:rsidRDefault="004C2125">
      <w:pPr>
        <w:rPr>
          <w:rFonts w:ascii="Arial" w:eastAsia="Arial" w:hAnsi="Arial" w:cs="Arial"/>
        </w:rPr>
      </w:pPr>
      <w:r>
        <w:rPr>
          <w:rFonts w:ascii="Arial" w:eastAsia="Arial" w:hAnsi="Arial" w:cs="Arial"/>
          <w:noProof/>
          <w:lang w:val="en-US" w:eastAsia="en-US" w:bidi="gu-IN"/>
        </w:rPr>
        <w:drawing>
          <wp:inline distT="114300" distB="114300" distL="114300" distR="114300">
            <wp:extent cx="5727700" cy="4394200"/>
            <wp:effectExtent l="19050" t="19050" r="25400" b="25400"/>
            <wp:docPr id="40" name="image3.png"/>
            <wp:cNvGraphicFramePr/>
            <a:graphic xmlns:a="http://schemas.openxmlformats.org/drawingml/2006/main">
              <a:graphicData uri="http://schemas.openxmlformats.org/drawingml/2006/picture">
                <pic:pic xmlns:pic="http://schemas.openxmlformats.org/drawingml/2006/picture">
                  <pic:nvPicPr>
                    <pic:cNvPr id="40" name="image3.png"/>
                    <pic:cNvPicPr preferRelativeResize="0"/>
                  </pic:nvPicPr>
                  <pic:blipFill>
                    <a:blip r:embed="rId14"/>
                    <a:srcRect/>
                    <a:stretch>
                      <a:fillRect/>
                    </a:stretch>
                  </pic:blipFill>
                  <pic:spPr>
                    <a:xfrm>
                      <a:off x="0" y="0"/>
                      <a:ext cx="5731200" cy="4396885"/>
                    </a:xfrm>
                    <a:prstGeom prst="rect">
                      <a:avLst/>
                    </a:prstGeom>
                    <a:ln w="25400">
                      <a:solidFill>
                        <a:srgbClr val="000000"/>
                      </a:solidFill>
                      <a:prstDash val="solid"/>
                    </a:ln>
                  </pic:spPr>
                </pic:pic>
              </a:graphicData>
            </a:graphic>
          </wp:inline>
        </w:drawing>
      </w:r>
    </w:p>
    <w:p w:rsidR="001815C2" w:rsidRDefault="004C2125">
      <w:pPr>
        <w:jc w:val="center"/>
        <w:rPr>
          <w:rFonts w:ascii="Arial" w:eastAsia="Arial" w:hAnsi="Arial" w:cs="Arial"/>
          <w:b/>
          <w:bCs/>
        </w:rPr>
      </w:pPr>
      <w:r>
        <w:rPr>
          <w:rFonts w:ascii="Arial" w:eastAsia="Arial" w:hAnsi="Arial" w:cs="Arial"/>
          <w:b/>
          <w:bCs/>
        </w:rPr>
        <w:t>Figure 2: Scope 1, Scope 2 emissions</w:t>
      </w:r>
    </w:p>
    <w:p w:rsidR="001815C2" w:rsidRDefault="004C2125">
      <w:pPr>
        <w:jc w:val="center"/>
        <w:rPr>
          <w:rFonts w:ascii="Arial" w:eastAsia="Arial" w:hAnsi="Arial" w:cs="Arial"/>
        </w:rPr>
      </w:pPr>
      <w:r>
        <w:rPr>
          <w:rFonts w:ascii="Arial" w:eastAsia="Arial" w:hAnsi="Arial" w:cs="Arial"/>
        </w:rPr>
        <w:t>(Source: Self-C</w:t>
      </w:r>
      <w:r>
        <w:rPr>
          <w:rFonts w:ascii="Arial" w:eastAsia="Arial" w:hAnsi="Arial" w:cs="Arial"/>
        </w:rPr>
        <w:t>reated using data from BHP group, 2026)</w:t>
      </w:r>
    </w:p>
    <w:p w:rsidR="001815C2" w:rsidRDefault="004C2125">
      <w:pPr>
        <w:rPr>
          <w:rFonts w:ascii="Arial" w:eastAsia="Arial" w:hAnsi="Arial" w:cs="Arial"/>
        </w:rPr>
      </w:pPr>
      <w:r>
        <w:rPr>
          <w:rFonts w:ascii="Arial" w:eastAsia="Arial" w:hAnsi="Arial" w:cs="Arial"/>
        </w:rPr>
        <w:t>The strongest of the external forces that influence BHP marketing strategy is the natural environment. Being a non-easy-to-abate, emissions-intensive producer, BHP is increasingly under pressure of decarbonisation th</w:t>
      </w:r>
      <w:r>
        <w:rPr>
          <w:rFonts w:ascii="Arial" w:eastAsia="Arial" w:hAnsi="Arial" w:cs="Arial"/>
        </w:rPr>
        <w:t>roughout its entire value chain (BHP, 2025). It aims to reduce operational (Scope 1 and 2) emitting levels by at least 30% of its FY2020 emissions by FY2030 and to be net zero by 2050 and in the meantime by FY2026 had reduced adjusted operational emissions</w:t>
      </w:r>
      <w:r>
        <w:rPr>
          <w:rFonts w:ascii="Arial" w:eastAsia="Arial" w:hAnsi="Arial" w:cs="Arial"/>
        </w:rPr>
        <w:t xml:space="preserve"> to 9.4 MtCO2-e, a lower number than its FY2020 level of 14.1 </w:t>
      </w:r>
      <w:proofErr w:type="spellStart"/>
      <w:r>
        <w:rPr>
          <w:rFonts w:ascii="Arial" w:eastAsia="Arial" w:hAnsi="Arial" w:cs="Arial"/>
        </w:rPr>
        <w:t>MtCO</w:t>
      </w:r>
      <w:proofErr w:type="spellEnd"/>
      <w:r>
        <w:rPr>
          <w:rFonts w:ascii="Arial" w:eastAsia="Arial" w:hAnsi="Arial" w:cs="Arial"/>
        </w:rPr>
        <w:t xml:space="preserve"> 2-e. </w:t>
      </w:r>
    </w:p>
    <w:p w:rsidR="001815C2" w:rsidRDefault="004C2125">
      <w:pPr>
        <w:jc w:val="center"/>
        <w:rPr>
          <w:rFonts w:ascii="Arial" w:eastAsia="Arial" w:hAnsi="Arial" w:cs="Arial"/>
        </w:rPr>
      </w:pPr>
      <w:r>
        <w:rPr>
          <w:rFonts w:ascii="Arial" w:eastAsia="Arial" w:hAnsi="Arial" w:cs="Arial"/>
          <w:noProof/>
          <w:lang w:val="en-US" w:eastAsia="en-US" w:bidi="gu-IN"/>
        </w:rPr>
        <w:lastRenderedPageBreak/>
        <w:drawing>
          <wp:inline distT="114300" distB="114300" distL="114300" distR="114300">
            <wp:extent cx="5727700" cy="4914900"/>
            <wp:effectExtent l="0" t="0" r="6350" b="0"/>
            <wp:docPr id="39" name="image7.png"/>
            <wp:cNvGraphicFramePr/>
            <a:graphic xmlns:a="http://schemas.openxmlformats.org/drawingml/2006/main">
              <a:graphicData uri="http://schemas.openxmlformats.org/drawingml/2006/picture">
                <pic:pic xmlns:pic="http://schemas.openxmlformats.org/drawingml/2006/picture">
                  <pic:nvPicPr>
                    <pic:cNvPr id="39" name="image7.png"/>
                    <pic:cNvPicPr preferRelativeResize="0"/>
                  </pic:nvPicPr>
                  <pic:blipFill>
                    <a:blip r:embed="rId15"/>
                    <a:srcRect/>
                    <a:stretch>
                      <a:fillRect/>
                    </a:stretch>
                  </pic:blipFill>
                  <pic:spPr>
                    <a:xfrm>
                      <a:off x="0" y="0"/>
                      <a:ext cx="5731200" cy="4917903"/>
                    </a:xfrm>
                    <a:prstGeom prst="rect">
                      <a:avLst/>
                    </a:prstGeom>
                  </pic:spPr>
                </pic:pic>
              </a:graphicData>
            </a:graphic>
          </wp:inline>
        </w:drawing>
      </w:r>
    </w:p>
    <w:p w:rsidR="001815C2" w:rsidRDefault="004C2125">
      <w:pPr>
        <w:jc w:val="center"/>
        <w:rPr>
          <w:rFonts w:ascii="Arial" w:eastAsia="Arial" w:hAnsi="Arial" w:cs="Arial"/>
        </w:rPr>
      </w:pPr>
      <w:r>
        <w:rPr>
          <w:rFonts w:ascii="Arial" w:eastAsia="Arial" w:hAnsi="Arial" w:cs="Arial"/>
          <w:b/>
          <w:bCs/>
        </w:rPr>
        <w:t>Figure 3: Scope 3 emissions</w:t>
      </w:r>
    </w:p>
    <w:p w:rsidR="001815C2" w:rsidRDefault="004C2125">
      <w:pPr>
        <w:jc w:val="center"/>
        <w:rPr>
          <w:rFonts w:ascii="Arial" w:eastAsia="Arial" w:hAnsi="Arial" w:cs="Arial"/>
        </w:rPr>
      </w:pPr>
      <w:r>
        <w:rPr>
          <w:rFonts w:ascii="Arial" w:eastAsia="Arial" w:hAnsi="Arial" w:cs="Arial"/>
        </w:rPr>
        <w:t>(Source: Self-Created using data from BHP group, 2026)</w:t>
      </w:r>
    </w:p>
    <w:p w:rsidR="001815C2" w:rsidRDefault="004C2125">
      <w:pPr>
        <w:rPr>
          <w:rFonts w:ascii="Arial" w:eastAsia="Arial" w:hAnsi="Arial" w:cs="Arial"/>
        </w:rPr>
      </w:pPr>
      <w:r>
        <w:rPr>
          <w:rFonts w:ascii="Arial" w:eastAsia="Arial" w:hAnsi="Arial" w:cs="Arial"/>
        </w:rPr>
        <w:t>The more difficult part is down the supply chain: Scope 3 emissions that BHP reported in FY2026 we</w:t>
      </w:r>
      <w:r>
        <w:rPr>
          <w:rFonts w:ascii="Arial" w:eastAsia="Arial" w:hAnsi="Arial" w:cs="Arial"/>
        </w:rPr>
        <w:t>re 429.0 Metric ton CO₂-e, approximately 9% more than in FY 2020, which customers who process its iron ore and steelmaking coal contributed immensely (BHP group, 2026).</w:t>
      </w:r>
    </w:p>
    <w:p w:rsidR="001815C2" w:rsidRDefault="004C2125">
      <w:pPr>
        <w:jc w:val="center"/>
        <w:rPr>
          <w:rFonts w:ascii="Arial" w:eastAsia="Arial" w:hAnsi="Arial" w:cs="Arial"/>
        </w:rPr>
      </w:pPr>
      <w:r>
        <w:rPr>
          <w:rFonts w:ascii="Arial" w:eastAsia="Arial" w:hAnsi="Arial" w:cs="Arial"/>
          <w:noProof/>
          <w:lang w:val="en-US" w:eastAsia="en-US" w:bidi="gu-IN"/>
        </w:rPr>
        <w:lastRenderedPageBreak/>
        <w:drawing>
          <wp:inline distT="114300" distB="114300" distL="114300" distR="114300">
            <wp:extent cx="5473700" cy="5257800"/>
            <wp:effectExtent l="19050" t="19050" r="12700" b="19050"/>
            <wp:docPr id="42" name="image5.png"/>
            <wp:cNvGraphicFramePr/>
            <a:graphic xmlns:a="http://schemas.openxmlformats.org/drawingml/2006/main">
              <a:graphicData uri="http://schemas.openxmlformats.org/drawingml/2006/picture">
                <pic:pic xmlns:pic="http://schemas.openxmlformats.org/drawingml/2006/picture">
                  <pic:nvPicPr>
                    <pic:cNvPr id="42" name="image5.png"/>
                    <pic:cNvPicPr preferRelativeResize="0"/>
                  </pic:nvPicPr>
                  <pic:blipFill>
                    <a:blip r:embed="rId16"/>
                    <a:srcRect/>
                    <a:stretch>
                      <a:fillRect/>
                    </a:stretch>
                  </pic:blipFill>
                  <pic:spPr>
                    <a:xfrm>
                      <a:off x="0" y="0"/>
                      <a:ext cx="5476875" cy="5260850"/>
                    </a:xfrm>
                    <a:prstGeom prst="rect">
                      <a:avLst/>
                    </a:prstGeom>
                    <a:ln w="25400">
                      <a:solidFill>
                        <a:srgbClr val="000000"/>
                      </a:solidFill>
                      <a:prstDash val="solid"/>
                    </a:ln>
                  </pic:spPr>
                </pic:pic>
              </a:graphicData>
            </a:graphic>
          </wp:inline>
        </w:drawing>
      </w:r>
    </w:p>
    <w:p w:rsidR="001815C2" w:rsidRDefault="004C2125">
      <w:pPr>
        <w:jc w:val="center"/>
        <w:rPr>
          <w:rFonts w:ascii="Arial" w:eastAsia="Arial" w:hAnsi="Arial" w:cs="Arial"/>
          <w:b/>
          <w:bCs/>
        </w:rPr>
      </w:pPr>
      <w:r>
        <w:rPr>
          <w:rFonts w:ascii="Arial" w:eastAsia="Arial" w:hAnsi="Arial" w:cs="Arial"/>
          <w:b/>
          <w:bCs/>
        </w:rPr>
        <w:t>Figure 4: Impact of Pilbara in iron ore industry</w:t>
      </w:r>
    </w:p>
    <w:p w:rsidR="001815C2" w:rsidRDefault="004C2125">
      <w:pPr>
        <w:jc w:val="center"/>
        <w:rPr>
          <w:rFonts w:ascii="Arial" w:eastAsia="Arial" w:hAnsi="Arial" w:cs="Arial"/>
        </w:rPr>
      </w:pPr>
      <w:r>
        <w:rPr>
          <w:rFonts w:ascii="Arial" w:eastAsia="Arial" w:hAnsi="Arial" w:cs="Arial"/>
        </w:rPr>
        <w:t>(Source: S&amp;P Global Energy, 2026)</w:t>
      </w:r>
    </w:p>
    <w:p w:rsidR="001815C2" w:rsidRDefault="004C2125">
      <w:pPr>
        <w:rPr>
          <w:rFonts w:ascii="Arial" w:eastAsia="Arial" w:hAnsi="Arial" w:cs="Arial"/>
        </w:rPr>
      </w:pPr>
      <w:r>
        <w:rPr>
          <w:rFonts w:ascii="Arial" w:eastAsia="Arial" w:hAnsi="Arial" w:cs="Arial"/>
        </w:rPr>
        <w:t>This pressure is compounded by the lack of resources and deterioration of the environment. Decreasing ore grades, water stress and increased energy have escalated the environmental footprint of extraction, and BHP itself admits much of the energy-cutting a</w:t>
      </w:r>
      <w:r>
        <w:rPr>
          <w:rFonts w:ascii="Arial" w:eastAsia="Arial" w:hAnsi="Arial" w:cs="Arial"/>
        </w:rPr>
        <w:t xml:space="preserve">nd methane abatement technologies they have been fast tracking </w:t>
      </w:r>
      <w:proofErr w:type="gramStart"/>
      <w:r>
        <w:rPr>
          <w:rFonts w:ascii="Arial" w:eastAsia="Arial" w:hAnsi="Arial" w:cs="Arial"/>
        </w:rPr>
        <w:t>has</w:t>
      </w:r>
      <w:proofErr w:type="gramEnd"/>
      <w:r>
        <w:rPr>
          <w:rFonts w:ascii="Arial" w:eastAsia="Arial" w:hAnsi="Arial" w:cs="Arial"/>
        </w:rPr>
        <w:t xml:space="preserve"> been slowed. These physical realities present threats, and opportunities (Pollard and Buckley, 2026). Chinese standard Pilbara ore demand is structurally hit, and the competitors raise the </w:t>
      </w:r>
      <w:r>
        <w:rPr>
          <w:rFonts w:ascii="Arial" w:eastAsia="Arial" w:hAnsi="Arial" w:cs="Arial"/>
        </w:rPr>
        <w:t xml:space="preserve">grade to more than typical sorts, like the </w:t>
      </w:r>
      <w:proofErr w:type="spellStart"/>
      <w:r>
        <w:rPr>
          <w:rFonts w:ascii="Arial" w:eastAsia="Arial" w:hAnsi="Arial" w:cs="Arial"/>
        </w:rPr>
        <w:t>Simandou</w:t>
      </w:r>
      <w:proofErr w:type="spellEnd"/>
      <w:r>
        <w:rPr>
          <w:rFonts w:ascii="Arial" w:eastAsia="Arial" w:hAnsi="Arial" w:cs="Arial"/>
        </w:rPr>
        <w:t xml:space="preserve">, delivered their first cargoes to China in late 2025 (S&amp;P Global Energy, 2026). </w:t>
      </w:r>
    </w:p>
    <w:p w:rsidR="001815C2" w:rsidRDefault="004C2125">
      <w:pPr>
        <w:jc w:val="center"/>
        <w:rPr>
          <w:rFonts w:ascii="Arial" w:eastAsia="Arial" w:hAnsi="Arial" w:cs="Arial"/>
        </w:rPr>
      </w:pPr>
      <w:r>
        <w:rPr>
          <w:rFonts w:ascii="Arial" w:eastAsia="Arial" w:hAnsi="Arial" w:cs="Arial"/>
          <w:noProof/>
          <w:lang w:val="en-US" w:eastAsia="en-US" w:bidi="gu-IN"/>
        </w:rPr>
        <w:lastRenderedPageBreak/>
        <w:drawing>
          <wp:inline distT="114300" distB="114300" distL="114300" distR="114300">
            <wp:extent cx="5727699" cy="4152900"/>
            <wp:effectExtent l="19050" t="19050" r="26035" b="19050"/>
            <wp:docPr id="41" name="image6.png"/>
            <wp:cNvGraphicFramePr/>
            <a:graphic xmlns:a="http://schemas.openxmlformats.org/drawingml/2006/main">
              <a:graphicData uri="http://schemas.openxmlformats.org/drawingml/2006/picture">
                <pic:pic xmlns:pic="http://schemas.openxmlformats.org/drawingml/2006/picture">
                  <pic:nvPicPr>
                    <pic:cNvPr id="41" name="image6.png"/>
                    <pic:cNvPicPr preferRelativeResize="0"/>
                  </pic:nvPicPr>
                  <pic:blipFill>
                    <a:blip r:embed="rId17"/>
                    <a:srcRect/>
                    <a:stretch>
                      <a:fillRect/>
                    </a:stretch>
                  </pic:blipFill>
                  <pic:spPr>
                    <a:xfrm>
                      <a:off x="0" y="0"/>
                      <a:ext cx="5731200" cy="4155438"/>
                    </a:xfrm>
                    <a:prstGeom prst="rect">
                      <a:avLst/>
                    </a:prstGeom>
                    <a:ln w="25400">
                      <a:solidFill>
                        <a:srgbClr val="000000"/>
                      </a:solidFill>
                      <a:prstDash val="solid"/>
                    </a:ln>
                  </pic:spPr>
                </pic:pic>
              </a:graphicData>
            </a:graphic>
          </wp:inline>
        </w:drawing>
      </w:r>
    </w:p>
    <w:p w:rsidR="001815C2" w:rsidRDefault="004C2125">
      <w:pPr>
        <w:jc w:val="center"/>
        <w:rPr>
          <w:rFonts w:ascii="Arial" w:eastAsia="Arial" w:hAnsi="Arial" w:cs="Arial"/>
          <w:b/>
          <w:bCs/>
        </w:rPr>
      </w:pPr>
      <w:r>
        <w:rPr>
          <w:rFonts w:ascii="Arial" w:eastAsia="Arial" w:hAnsi="Arial" w:cs="Arial"/>
          <w:b/>
          <w:bCs/>
        </w:rPr>
        <w:t>Figure 5: Winning Strategy of BHP</w:t>
      </w:r>
    </w:p>
    <w:p w:rsidR="001815C2" w:rsidRDefault="004C2125">
      <w:pPr>
        <w:jc w:val="center"/>
        <w:rPr>
          <w:rFonts w:ascii="Arial" w:eastAsia="Arial" w:hAnsi="Arial" w:cs="Arial"/>
        </w:rPr>
      </w:pPr>
      <w:r>
        <w:rPr>
          <w:rFonts w:ascii="Arial" w:eastAsia="Arial" w:hAnsi="Arial" w:cs="Arial"/>
        </w:rPr>
        <w:t>(Source: BHP Group, 2025a)</w:t>
      </w:r>
    </w:p>
    <w:p w:rsidR="001815C2" w:rsidRDefault="004C2125">
      <w:pPr>
        <w:rPr>
          <w:rFonts w:ascii="Arial" w:eastAsia="Arial" w:hAnsi="Arial" w:cs="Arial"/>
        </w:rPr>
      </w:pPr>
      <w:r>
        <w:rPr>
          <w:rFonts w:ascii="Arial" w:eastAsia="Arial" w:hAnsi="Arial" w:cs="Arial"/>
        </w:rPr>
        <w:t>The prospect is an expanding market of the green-enabling ir</w:t>
      </w:r>
      <w:r>
        <w:rPr>
          <w:rFonts w:ascii="Arial" w:eastAsia="Arial" w:hAnsi="Arial" w:cs="Arial"/>
        </w:rPr>
        <w:t xml:space="preserve">on ore and future near-zero steel </w:t>
      </w:r>
      <w:proofErr w:type="spellStart"/>
      <w:r>
        <w:rPr>
          <w:rFonts w:ascii="Arial" w:eastAsia="Arial" w:hAnsi="Arial" w:cs="Arial"/>
        </w:rPr>
        <w:t>feedstocks</w:t>
      </w:r>
      <w:proofErr w:type="spellEnd"/>
      <w:r>
        <w:rPr>
          <w:rFonts w:ascii="Arial" w:eastAsia="Arial" w:hAnsi="Arial" w:cs="Arial"/>
        </w:rPr>
        <w:t>, and copper to enable electricity flow, as BHP topped 2 Mt of copper output during FY2025 the first time since 1973. Promoting BHP as a maker of transition-important minerals is hence a protectionist requirement</w:t>
      </w:r>
      <w:r>
        <w:rPr>
          <w:rFonts w:ascii="Arial" w:eastAsia="Arial" w:hAnsi="Arial" w:cs="Arial"/>
        </w:rPr>
        <w:t xml:space="preserve"> as well as a real growth basis (BHP Group, 2025a).</w:t>
      </w:r>
    </w:p>
    <w:p w:rsidR="001815C2" w:rsidRDefault="004C2125">
      <w:pPr>
        <w:pStyle w:val="Heading2"/>
        <w:keepNext w:val="0"/>
        <w:keepLines w:val="0"/>
        <w:spacing w:before="280" w:after="80"/>
        <w:rPr>
          <w:rFonts w:ascii="Arial" w:eastAsia="Arial" w:hAnsi="Arial" w:cs="Arial"/>
        </w:rPr>
      </w:pPr>
      <w:bookmarkStart w:id="4" w:name="_heading=h.2kubpqfzu56f" w:colFirst="0" w:colLast="0"/>
      <w:bookmarkEnd w:id="4"/>
      <w:r>
        <w:br w:type="page"/>
      </w:r>
    </w:p>
    <w:p w:rsidR="001815C2" w:rsidRDefault="004C2125">
      <w:pPr>
        <w:pStyle w:val="Heading2"/>
        <w:keepNext w:val="0"/>
        <w:keepLines w:val="0"/>
        <w:spacing w:before="280" w:after="80"/>
        <w:rPr>
          <w:rFonts w:ascii="Arial" w:eastAsia="Arial" w:hAnsi="Arial" w:cs="Arial"/>
        </w:rPr>
      </w:pPr>
      <w:bookmarkStart w:id="5" w:name="_Toc16364"/>
      <w:r>
        <w:rPr>
          <w:rFonts w:ascii="Arial" w:eastAsia="Arial" w:hAnsi="Arial" w:cs="Arial"/>
        </w:rPr>
        <w:lastRenderedPageBreak/>
        <w:t>1.3 Economic Actor: Customers and Business Buyers</w:t>
      </w:r>
      <w:bookmarkEnd w:id="5"/>
    </w:p>
    <w:p w:rsidR="001815C2" w:rsidRDefault="004C2125">
      <w:pPr>
        <w:jc w:val="center"/>
        <w:rPr>
          <w:rFonts w:ascii="Arial" w:eastAsia="Arial" w:hAnsi="Arial" w:cs="Arial"/>
        </w:rPr>
      </w:pPr>
      <w:r>
        <w:rPr>
          <w:rFonts w:ascii="Arial" w:eastAsia="Arial" w:hAnsi="Arial" w:cs="Arial"/>
          <w:noProof/>
          <w:lang w:val="en-US" w:eastAsia="en-US" w:bidi="gu-IN"/>
        </w:rPr>
        <w:drawing>
          <wp:inline distT="114300" distB="114300" distL="114300" distR="114300">
            <wp:extent cx="5702300" cy="5384800"/>
            <wp:effectExtent l="19050" t="19050" r="12700" b="25400"/>
            <wp:docPr id="44" name="image10.png"/>
            <wp:cNvGraphicFramePr/>
            <a:graphic xmlns:a="http://schemas.openxmlformats.org/drawingml/2006/main">
              <a:graphicData uri="http://schemas.openxmlformats.org/drawingml/2006/picture">
                <pic:pic xmlns:pic="http://schemas.openxmlformats.org/drawingml/2006/picture">
                  <pic:nvPicPr>
                    <pic:cNvPr id="44" name="image10.png"/>
                    <pic:cNvPicPr preferRelativeResize="0"/>
                  </pic:nvPicPr>
                  <pic:blipFill>
                    <a:blip r:embed="rId18"/>
                    <a:srcRect/>
                    <a:stretch>
                      <a:fillRect/>
                    </a:stretch>
                  </pic:blipFill>
                  <pic:spPr>
                    <a:xfrm>
                      <a:off x="0" y="0"/>
                      <a:ext cx="5731200" cy="5412091"/>
                    </a:xfrm>
                    <a:prstGeom prst="rect">
                      <a:avLst/>
                    </a:prstGeom>
                    <a:ln w="25400">
                      <a:solidFill>
                        <a:srgbClr val="000000"/>
                      </a:solidFill>
                      <a:prstDash val="solid"/>
                    </a:ln>
                  </pic:spPr>
                </pic:pic>
              </a:graphicData>
            </a:graphic>
          </wp:inline>
        </w:drawing>
      </w:r>
    </w:p>
    <w:p w:rsidR="001815C2" w:rsidRDefault="004C2125">
      <w:pPr>
        <w:jc w:val="center"/>
        <w:rPr>
          <w:rFonts w:ascii="Arial" w:eastAsia="Arial" w:hAnsi="Arial" w:cs="Arial"/>
          <w:b/>
          <w:bCs/>
        </w:rPr>
      </w:pPr>
      <w:r>
        <w:rPr>
          <w:rFonts w:ascii="Arial" w:eastAsia="Arial" w:hAnsi="Arial" w:cs="Arial"/>
          <w:b/>
          <w:bCs/>
        </w:rPr>
        <w:t>Figure 6: Estimates of typical greenhouse gas emissions intensity in the end state for the four technology pathways in BHP’s steel decarbonisation fra</w:t>
      </w:r>
      <w:r>
        <w:rPr>
          <w:rFonts w:ascii="Arial" w:eastAsia="Arial" w:hAnsi="Arial" w:cs="Arial"/>
          <w:b/>
          <w:bCs/>
        </w:rPr>
        <w:t>mework</w:t>
      </w:r>
    </w:p>
    <w:p w:rsidR="001815C2" w:rsidRDefault="004C2125">
      <w:pPr>
        <w:jc w:val="center"/>
        <w:rPr>
          <w:rFonts w:ascii="Arial" w:eastAsia="Arial" w:hAnsi="Arial" w:cs="Arial"/>
        </w:rPr>
      </w:pPr>
      <w:r>
        <w:rPr>
          <w:rFonts w:ascii="Arial" w:eastAsia="Arial" w:hAnsi="Arial" w:cs="Arial"/>
        </w:rPr>
        <w:t>(Source: BHP Group, 2025d)</w:t>
      </w:r>
    </w:p>
    <w:p w:rsidR="001815C2" w:rsidRPr="00E46CA1" w:rsidRDefault="004C2125">
      <w:pPr>
        <w:rPr>
          <w:rFonts w:ascii="Arial" w:eastAsia="Arial" w:hAnsi="Arial" w:cs="Arial"/>
        </w:rPr>
      </w:pPr>
      <w:r w:rsidRPr="00E46CA1">
        <w:rPr>
          <w:rFonts w:ascii="Arial" w:eastAsia="Arial" w:hAnsi="Arial" w:cs="Arial"/>
        </w:rPr>
        <w:t>The economics of the downstream customer base, namely mainly Asian steelmakers operating the blast furnace-basic oxygen furnace (BF-BOF) route whose buying decisions shape the amount and price that BHP can achieve on its i</w:t>
      </w:r>
      <w:r w:rsidRPr="00E46CA1">
        <w:rPr>
          <w:rFonts w:ascii="Arial" w:eastAsia="Arial" w:hAnsi="Arial" w:cs="Arial"/>
        </w:rPr>
        <w:t xml:space="preserve">ron ore and coking coal, are the highest influence on the commercial exposure of BHP. Such consumers are re-pricing their input mix as carbon costs flow into their own cost base: direct-reduced-iron (DRI) ready capacity is scaling and readiness to pay a </w:t>
      </w:r>
      <w:r w:rsidRPr="00E46CA1">
        <w:rPr>
          <w:rFonts w:ascii="Arial" w:eastAsia="Arial" w:hAnsi="Arial" w:cs="Arial"/>
        </w:rPr>
        <w:lastRenderedPageBreak/>
        <w:t>gr</w:t>
      </w:r>
      <w:r w:rsidRPr="00E46CA1">
        <w:rPr>
          <w:rFonts w:ascii="Arial" w:eastAsia="Arial" w:hAnsi="Arial" w:cs="Arial"/>
        </w:rPr>
        <w:t>ade premium on cleaner feedstock is increasing, turning sustainable sourcing into a price offering, rather than a price condition (BHP Group, 2025d). BHP has commercialized through this change with an investment of $140 million in steel decarbonisation ove</w:t>
      </w:r>
      <w:r w:rsidRPr="00E46CA1">
        <w:rPr>
          <w:rFonts w:ascii="Arial" w:eastAsia="Arial" w:hAnsi="Arial" w:cs="Arial"/>
        </w:rPr>
        <w:t>r FY2024 and collaboration with 48 organisations, including nine steelmakers representing about 20% of global steel production (</w:t>
      </w:r>
      <w:proofErr w:type="spellStart"/>
      <w:r w:rsidRPr="00E46CA1">
        <w:rPr>
          <w:rFonts w:ascii="Arial" w:eastAsia="Arial" w:hAnsi="Arial" w:cs="Arial"/>
        </w:rPr>
        <w:t>Elif</w:t>
      </w:r>
      <w:proofErr w:type="spellEnd"/>
      <w:r w:rsidRPr="00E46CA1">
        <w:rPr>
          <w:rFonts w:ascii="Arial" w:eastAsia="Arial" w:hAnsi="Arial" w:cs="Arial"/>
        </w:rPr>
        <w:t xml:space="preserve"> </w:t>
      </w:r>
      <w:proofErr w:type="spellStart"/>
      <w:r w:rsidRPr="00E46CA1">
        <w:rPr>
          <w:rFonts w:ascii="Arial" w:eastAsia="Arial" w:hAnsi="Arial" w:cs="Arial"/>
        </w:rPr>
        <w:t>Kefeli</w:t>
      </w:r>
      <w:proofErr w:type="spellEnd"/>
      <w:r w:rsidRPr="00E46CA1">
        <w:rPr>
          <w:rFonts w:ascii="Arial" w:eastAsia="Arial" w:hAnsi="Arial" w:cs="Arial"/>
        </w:rPr>
        <w:t xml:space="preserve">, 2026). The </w:t>
      </w:r>
      <w:proofErr w:type="spellStart"/>
      <w:r w:rsidRPr="00E46CA1">
        <w:rPr>
          <w:rFonts w:ascii="Arial" w:eastAsia="Arial" w:hAnsi="Arial" w:cs="Arial"/>
        </w:rPr>
        <w:t>NeoSmelt</w:t>
      </w:r>
      <w:proofErr w:type="spellEnd"/>
      <w:r w:rsidRPr="00E46CA1">
        <w:rPr>
          <w:rFonts w:ascii="Arial" w:eastAsia="Arial" w:hAnsi="Arial" w:cs="Arial"/>
        </w:rPr>
        <w:t xml:space="preserve"> pilot with Pilbara ore using anchor BHP as a tier-one supplier in their customer net-zero roadm</w:t>
      </w:r>
      <w:r w:rsidRPr="00E46CA1">
        <w:rPr>
          <w:rFonts w:ascii="Arial" w:eastAsia="Arial" w:hAnsi="Arial" w:cs="Arial"/>
        </w:rPr>
        <w:t xml:space="preserve">aps, enhancing long-term </w:t>
      </w:r>
      <w:proofErr w:type="spellStart"/>
      <w:r w:rsidRPr="00E46CA1">
        <w:rPr>
          <w:rFonts w:ascii="Arial" w:eastAsia="Arial" w:hAnsi="Arial" w:cs="Arial"/>
        </w:rPr>
        <w:t>offtake</w:t>
      </w:r>
      <w:proofErr w:type="spellEnd"/>
      <w:r w:rsidRPr="00E46CA1">
        <w:rPr>
          <w:rFonts w:ascii="Arial" w:eastAsia="Arial" w:hAnsi="Arial" w:cs="Arial"/>
        </w:rPr>
        <w:t xml:space="preserve"> pricing power and increasing costs to switch customers (BHP Group, 2025a; BHP, 2025b).</w:t>
      </w:r>
    </w:p>
    <w:p w:rsidR="001815C2" w:rsidRPr="00E46CA1" w:rsidRDefault="004C2125">
      <w:pPr>
        <w:pStyle w:val="Heading2"/>
        <w:keepNext w:val="0"/>
        <w:keepLines w:val="0"/>
        <w:spacing w:before="280" w:after="80"/>
        <w:rPr>
          <w:rFonts w:ascii="Arial" w:eastAsia="Arial" w:hAnsi="Arial" w:cs="Arial"/>
        </w:rPr>
      </w:pPr>
      <w:bookmarkStart w:id="6" w:name="_Toc8138"/>
      <w:r w:rsidRPr="00E46CA1">
        <w:rPr>
          <w:rFonts w:ascii="Arial" w:eastAsia="Arial" w:hAnsi="Arial" w:cs="Arial"/>
        </w:rPr>
        <w:t>1.4 Political Actor: Government, Regulators and Public Policy</w:t>
      </w:r>
      <w:bookmarkEnd w:id="6"/>
    </w:p>
    <w:p w:rsidR="001815C2" w:rsidRPr="00E46CA1" w:rsidRDefault="004C2125">
      <w:pPr>
        <w:spacing w:before="240" w:after="240"/>
        <w:rPr>
          <w:rFonts w:ascii="Arial" w:eastAsia="Arial" w:hAnsi="Arial" w:cs="Arial"/>
        </w:rPr>
      </w:pPr>
      <w:r w:rsidRPr="00E46CA1">
        <w:rPr>
          <w:rFonts w:ascii="Arial" w:eastAsia="Arial" w:hAnsi="Arial" w:cs="Arial"/>
          <w:b/>
          <w:bCs/>
        </w:rPr>
        <w:t xml:space="preserve">1. Australia’s Safeguard Mechanism: </w:t>
      </w:r>
      <w:r w:rsidRPr="00E46CA1">
        <w:rPr>
          <w:rFonts w:ascii="Arial" w:eastAsia="Arial" w:hAnsi="Arial" w:cs="Arial"/>
        </w:rPr>
        <w:t>Approximately 215 largest emitting fac</w:t>
      </w:r>
      <w:r w:rsidRPr="00E46CA1">
        <w:rPr>
          <w:rFonts w:ascii="Arial" w:eastAsia="Arial" w:hAnsi="Arial" w:cs="Arial"/>
        </w:rPr>
        <w:t>ilities in Australia are now under a legislated set of obligations, to reduce baseline emissions by 4.9% annually to 2030, which capture approximately 28% of the national emissions (DCCEEW, 2025). In case of BHP, political-economy cost would be in the incr</w:t>
      </w:r>
      <w:r w:rsidRPr="00E46CA1">
        <w:rPr>
          <w:rFonts w:ascii="Arial" w:eastAsia="Arial" w:hAnsi="Arial" w:cs="Arial"/>
        </w:rPr>
        <w:t>easing cost of compliances and carbon-credit purchases, and the cost-containment ceiling should start at A$75 in 2023-24 and increase at CPI 2%/year, a direct policy instrument on operating economics.</w:t>
      </w:r>
    </w:p>
    <w:p w:rsidR="001815C2" w:rsidRDefault="004C2125">
      <w:pPr>
        <w:jc w:val="center"/>
        <w:rPr>
          <w:rFonts w:ascii="Arial" w:eastAsia="Arial" w:hAnsi="Arial" w:cs="Arial"/>
        </w:rPr>
      </w:pPr>
      <w:r>
        <w:rPr>
          <w:rFonts w:ascii="Arial" w:eastAsia="Arial" w:hAnsi="Arial" w:cs="Arial"/>
          <w:noProof/>
          <w:lang w:val="en-US" w:eastAsia="en-US" w:bidi="gu-IN"/>
        </w:rPr>
        <w:drawing>
          <wp:inline distT="114300" distB="114300" distL="114300" distR="114300">
            <wp:extent cx="5727700" cy="2857500"/>
            <wp:effectExtent l="19050" t="19050" r="25400" b="19050"/>
            <wp:docPr id="43" name="image4.png"/>
            <wp:cNvGraphicFramePr/>
            <a:graphic xmlns:a="http://schemas.openxmlformats.org/drawingml/2006/main">
              <a:graphicData uri="http://schemas.openxmlformats.org/drawingml/2006/picture">
                <pic:pic xmlns:pic="http://schemas.openxmlformats.org/drawingml/2006/picture">
                  <pic:nvPicPr>
                    <pic:cNvPr id="43" name="image4.png"/>
                    <pic:cNvPicPr preferRelativeResize="0"/>
                  </pic:nvPicPr>
                  <pic:blipFill>
                    <a:blip r:embed="rId19"/>
                    <a:srcRect/>
                    <a:stretch>
                      <a:fillRect/>
                    </a:stretch>
                  </pic:blipFill>
                  <pic:spPr>
                    <a:xfrm>
                      <a:off x="0" y="0"/>
                      <a:ext cx="5731200" cy="2859246"/>
                    </a:xfrm>
                    <a:prstGeom prst="rect">
                      <a:avLst/>
                    </a:prstGeom>
                    <a:ln w="25400">
                      <a:solidFill>
                        <a:srgbClr val="000000"/>
                      </a:solidFill>
                      <a:prstDash val="solid"/>
                    </a:ln>
                  </pic:spPr>
                </pic:pic>
              </a:graphicData>
            </a:graphic>
          </wp:inline>
        </w:drawing>
      </w:r>
    </w:p>
    <w:p w:rsidR="001815C2" w:rsidRDefault="004C2125">
      <w:pPr>
        <w:jc w:val="center"/>
        <w:rPr>
          <w:rFonts w:ascii="Arial" w:eastAsia="Arial" w:hAnsi="Arial" w:cs="Arial"/>
          <w:b/>
          <w:bCs/>
        </w:rPr>
      </w:pPr>
      <w:r>
        <w:rPr>
          <w:rFonts w:ascii="Arial" w:eastAsia="Arial" w:hAnsi="Arial" w:cs="Arial"/>
          <w:b/>
          <w:bCs/>
        </w:rPr>
        <w:t>Figure 7: Estimated sector contributions to the top o</w:t>
      </w:r>
      <w:r>
        <w:rPr>
          <w:rFonts w:ascii="Arial" w:eastAsia="Arial" w:hAnsi="Arial" w:cs="Arial"/>
          <w:b/>
          <w:bCs/>
        </w:rPr>
        <w:t>f the 62–70% target range, 2024–2035</w:t>
      </w:r>
    </w:p>
    <w:p w:rsidR="001815C2" w:rsidRDefault="004C2125">
      <w:pPr>
        <w:jc w:val="center"/>
        <w:rPr>
          <w:rFonts w:ascii="Arial" w:eastAsia="Arial" w:hAnsi="Arial" w:cs="Arial"/>
        </w:rPr>
      </w:pPr>
      <w:r>
        <w:rPr>
          <w:rFonts w:ascii="Arial" w:eastAsia="Arial" w:hAnsi="Arial" w:cs="Arial"/>
        </w:rPr>
        <w:t>(Source: Climate Change Authority, 2026)</w:t>
      </w:r>
    </w:p>
    <w:p w:rsidR="001815C2" w:rsidRPr="00E46CA1" w:rsidRDefault="004C2125">
      <w:pPr>
        <w:spacing w:before="240" w:after="240"/>
        <w:rPr>
          <w:rFonts w:ascii="Arial" w:eastAsia="Arial" w:hAnsi="Arial" w:cs="Arial"/>
        </w:rPr>
      </w:pPr>
      <w:r w:rsidRPr="00E46CA1">
        <w:rPr>
          <w:rFonts w:ascii="Arial" w:eastAsia="Arial" w:hAnsi="Arial" w:cs="Arial"/>
          <w:b/>
          <w:bCs/>
        </w:rPr>
        <w:lastRenderedPageBreak/>
        <w:t xml:space="preserve">2. Australia’s 2035 Emissions Target: </w:t>
      </w:r>
      <w:r w:rsidRPr="00E46CA1">
        <w:rPr>
          <w:rFonts w:ascii="Arial" w:eastAsia="Arial" w:hAnsi="Arial" w:cs="Arial"/>
        </w:rPr>
        <w:t xml:space="preserve">The September 2025 target of 62-70% reduction below 2005 levels underpinned by the 1 billion green </w:t>
      </w:r>
      <w:proofErr w:type="gramStart"/>
      <w:r w:rsidRPr="00E46CA1">
        <w:rPr>
          <w:rFonts w:ascii="Arial" w:eastAsia="Arial" w:hAnsi="Arial" w:cs="Arial"/>
        </w:rPr>
        <w:t>iron</w:t>
      </w:r>
      <w:proofErr w:type="gramEnd"/>
      <w:r w:rsidRPr="00E46CA1">
        <w:rPr>
          <w:rFonts w:ascii="Arial" w:eastAsia="Arial" w:hAnsi="Arial" w:cs="Arial"/>
        </w:rPr>
        <w:t xml:space="preserve"> Investment Fund and six </w:t>
      </w:r>
      <w:proofErr w:type="spellStart"/>
      <w:r w:rsidRPr="00E46CA1">
        <w:rPr>
          <w:rFonts w:ascii="Arial" w:eastAsia="Arial" w:hAnsi="Arial" w:cs="Arial"/>
        </w:rPr>
        <w:t>sectoral</w:t>
      </w:r>
      <w:proofErr w:type="spellEnd"/>
      <w:r w:rsidRPr="00E46CA1">
        <w:rPr>
          <w:rFonts w:ascii="Arial" w:eastAsia="Arial" w:hAnsi="Arial" w:cs="Arial"/>
        </w:rPr>
        <w:t xml:space="preserve"> dec</w:t>
      </w:r>
      <w:r w:rsidRPr="00E46CA1">
        <w:rPr>
          <w:rFonts w:ascii="Arial" w:eastAsia="Arial" w:hAnsi="Arial" w:cs="Arial"/>
        </w:rPr>
        <w:t>arbonisation strategies increases the political risk of the BHP investment schedule and indicates that government prefers lower-emission production (DAWE, 2025).</w:t>
      </w:r>
    </w:p>
    <w:p w:rsidR="001815C2" w:rsidRPr="00E46CA1" w:rsidRDefault="004C2125">
      <w:pPr>
        <w:spacing w:before="240" w:after="240"/>
        <w:rPr>
          <w:rFonts w:ascii="Arial" w:eastAsia="Arial" w:hAnsi="Arial" w:cs="Arial"/>
        </w:rPr>
      </w:pPr>
      <w:r w:rsidRPr="00E46CA1">
        <w:rPr>
          <w:rFonts w:ascii="Arial" w:eastAsia="Arial" w:hAnsi="Arial" w:cs="Arial"/>
          <w:b/>
          <w:bCs/>
        </w:rPr>
        <w:t xml:space="preserve">3. EU Carbon Border Adjustment Mechanism (CBAM): </w:t>
      </w:r>
      <w:r w:rsidRPr="00E46CA1">
        <w:rPr>
          <w:rFonts w:ascii="Arial" w:eastAsia="Arial" w:hAnsi="Arial" w:cs="Arial"/>
        </w:rPr>
        <w:t>Since January 2026 CBAM passed into its defin</w:t>
      </w:r>
      <w:r w:rsidRPr="00E46CA1">
        <w:rPr>
          <w:rFonts w:ascii="Arial" w:eastAsia="Arial" w:hAnsi="Arial" w:cs="Arial"/>
        </w:rPr>
        <w:t>itive phase, carbon pricing any incoming emissions-intensive imports at EU boundaries and shifting political-economic risk onto the downstream customers and competitors of BHP (Taxation and Customs Union, 2026).</w:t>
      </w:r>
    </w:p>
    <w:p w:rsidR="001815C2" w:rsidRPr="00E46CA1" w:rsidRDefault="004C2125">
      <w:pPr>
        <w:spacing w:before="240" w:after="240"/>
        <w:rPr>
          <w:rFonts w:ascii="Arial" w:eastAsia="Arial" w:hAnsi="Arial" w:cs="Arial"/>
        </w:rPr>
      </w:pPr>
      <w:r w:rsidRPr="00E46CA1">
        <w:rPr>
          <w:rFonts w:ascii="Arial" w:eastAsia="Arial" w:hAnsi="Arial" w:cs="Arial"/>
          <w:b/>
          <w:bCs/>
        </w:rPr>
        <w:t xml:space="preserve">4. China’s Emissions Trading System: </w:t>
      </w:r>
      <w:r w:rsidRPr="00E46CA1">
        <w:rPr>
          <w:rFonts w:ascii="Arial" w:eastAsia="Arial" w:hAnsi="Arial" w:cs="Arial"/>
        </w:rPr>
        <w:t>Expansi</w:t>
      </w:r>
      <w:r w:rsidRPr="00E46CA1">
        <w:rPr>
          <w:rFonts w:ascii="Arial" w:eastAsia="Arial" w:hAnsi="Arial" w:cs="Arial"/>
        </w:rPr>
        <w:t>on of ETS to steel in Beijing raises compliance costs within the biggest consumer of Pilbara ore and Chinese climate policy is directly transformed into a demand side variable (Taxation and Customs Union, 2026).</w:t>
      </w:r>
    </w:p>
    <w:p w:rsidR="001815C2" w:rsidRPr="00E46CA1" w:rsidRDefault="004C2125">
      <w:pPr>
        <w:spacing w:before="240" w:after="240"/>
        <w:rPr>
          <w:rFonts w:ascii="Arial" w:eastAsia="Arial" w:hAnsi="Arial" w:cs="Arial"/>
        </w:rPr>
      </w:pPr>
      <w:r w:rsidRPr="00E46CA1">
        <w:rPr>
          <w:rFonts w:ascii="Arial" w:eastAsia="Arial" w:hAnsi="Arial" w:cs="Arial"/>
          <w:b/>
          <w:bCs/>
        </w:rPr>
        <w:t xml:space="preserve">5. Climate Disclosure and Reporting: </w:t>
      </w:r>
      <w:r w:rsidRPr="00E46CA1">
        <w:rPr>
          <w:rFonts w:ascii="Arial" w:eastAsia="Arial" w:hAnsi="Arial" w:cs="Arial"/>
        </w:rPr>
        <w:t>BHP now</w:t>
      </w:r>
      <w:r w:rsidRPr="00E46CA1">
        <w:rPr>
          <w:rFonts w:ascii="Arial" w:eastAsia="Arial" w:hAnsi="Arial" w:cs="Arial"/>
        </w:rPr>
        <w:t xml:space="preserve"> faces the scrutiny of politics and regulators around its climate-disclosure regimes, which elevates the standard of governance-grade evidence of decarbonisation (</w:t>
      </w:r>
      <w:proofErr w:type="spellStart"/>
      <w:r w:rsidRPr="00E46CA1">
        <w:rPr>
          <w:rFonts w:ascii="Arial" w:eastAsia="Arial" w:hAnsi="Arial" w:cs="Arial"/>
        </w:rPr>
        <w:t>Amel-Zadeh</w:t>
      </w:r>
      <w:proofErr w:type="spellEnd"/>
      <w:r w:rsidRPr="00E46CA1">
        <w:rPr>
          <w:rFonts w:ascii="Arial" w:eastAsia="Arial" w:hAnsi="Arial" w:cs="Arial"/>
        </w:rPr>
        <w:t xml:space="preserve"> and Tang, 2025).</w:t>
      </w:r>
    </w:p>
    <w:p w:rsidR="001815C2" w:rsidRDefault="004C2125">
      <w:pPr>
        <w:pStyle w:val="Heading2"/>
        <w:keepNext w:val="0"/>
        <w:keepLines w:val="0"/>
        <w:spacing w:before="280" w:after="80"/>
        <w:rPr>
          <w:rFonts w:ascii="Arial" w:eastAsia="Arial" w:hAnsi="Arial" w:cs="Arial"/>
        </w:rPr>
      </w:pPr>
      <w:bookmarkStart w:id="7" w:name="_Toc10641"/>
      <w:r>
        <w:rPr>
          <w:rFonts w:ascii="Arial" w:eastAsia="Arial" w:hAnsi="Arial" w:cs="Arial"/>
        </w:rPr>
        <w:t xml:space="preserve">1.5 Critical Interaction </w:t>
      </w:r>
      <w:proofErr w:type="gramStart"/>
      <w:r>
        <w:rPr>
          <w:rFonts w:ascii="Arial" w:eastAsia="Arial" w:hAnsi="Arial" w:cs="Arial"/>
        </w:rPr>
        <w:t>Between</w:t>
      </w:r>
      <w:proofErr w:type="gramEnd"/>
      <w:r>
        <w:rPr>
          <w:rFonts w:ascii="Arial" w:eastAsia="Arial" w:hAnsi="Arial" w:cs="Arial"/>
        </w:rPr>
        <w:t xml:space="preserve"> the Three Actors</w:t>
      </w:r>
      <w:bookmarkEnd w:id="7"/>
    </w:p>
    <w:p w:rsidR="001815C2" w:rsidRDefault="004C2125">
      <w:pPr>
        <w:jc w:val="center"/>
        <w:rPr>
          <w:rFonts w:ascii="Arial" w:eastAsia="Arial" w:hAnsi="Arial" w:cs="Arial"/>
        </w:rPr>
      </w:pPr>
      <w:r>
        <w:rPr>
          <w:rFonts w:ascii="Arial" w:eastAsia="Arial" w:hAnsi="Arial" w:cs="Arial"/>
          <w:noProof/>
          <w:lang w:val="en-US" w:eastAsia="en-US" w:bidi="gu-IN"/>
        </w:rPr>
        <w:drawing>
          <wp:inline distT="114300" distB="114300" distL="114300" distR="114300">
            <wp:extent cx="5700031" cy="2552700"/>
            <wp:effectExtent l="19050" t="19050" r="15240" b="19050"/>
            <wp:docPr id="46" name="image11.png"/>
            <wp:cNvGraphicFramePr/>
            <a:graphic xmlns:a="http://schemas.openxmlformats.org/drawingml/2006/main">
              <a:graphicData uri="http://schemas.openxmlformats.org/drawingml/2006/picture">
                <pic:pic xmlns:pic="http://schemas.openxmlformats.org/drawingml/2006/picture">
                  <pic:nvPicPr>
                    <pic:cNvPr id="46" name="image11.png"/>
                    <pic:cNvPicPr preferRelativeResize="0"/>
                  </pic:nvPicPr>
                  <pic:blipFill>
                    <a:blip r:embed="rId20"/>
                    <a:srcRect/>
                    <a:stretch>
                      <a:fillRect/>
                    </a:stretch>
                  </pic:blipFill>
                  <pic:spPr>
                    <a:xfrm>
                      <a:off x="0" y="0"/>
                      <a:ext cx="5731200" cy="2566659"/>
                    </a:xfrm>
                    <a:prstGeom prst="rect">
                      <a:avLst/>
                    </a:prstGeom>
                    <a:ln w="25400">
                      <a:solidFill>
                        <a:srgbClr val="000000"/>
                      </a:solidFill>
                      <a:prstDash val="solid"/>
                    </a:ln>
                  </pic:spPr>
                </pic:pic>
              </a:graphicData>
            </a:graphic>
          </wp:inline>
        </w:drawing>
      </w:r>
    </w:p>
    <w:p w:rsidR="001815C2" w:rsidRDefault="004C2125">
      <w:pPr>
        <w:jc w:val="center"/>
        <w:rPr>
          <w:rFonts w:ascii="Arial" w:eastAsia="Arial" w:hAnsi="Arial" w:cs="Arial"/>
          <w:b/>
          <w:bCs/>
        </w:rPr>
      </w:pPr>
      <w:r>
        <w:rPr>
          <w:rFonts w:ascii="Arial" w:eastAsia="Arial" w:hAnsi="Arial" w:cs="Arial"/>
          <w:b/>
          <w:bCs/>
        </w:rPr>
        <w:t>Figure 8: 203</w:t>
      </w:r>
      <w:r>
        <w:rPr>
          <w:rFonts w:ascii="Arial" w:eastAsia="Arial" w:hAnsi="Arial" w:cs="Arial"/>
          <w:b/>
          <w:bCs/>
        </w:rPr>
        <w:t xml:space="preserve">5 Net Zero </w:t>
      </w:r>
      <w:proofErr w:type="gramStart"/>
      <w:r>
        <w:rPr>
          <w:rFonts w:ascii="Arial" w:eastAsia="Arial" w:hAnsi="Arial" w:cs="Arial"/>
          <w:b/>
          <w:bCs/>
        </w:rPr>
        <w:t>Target</w:t>
      </w:r>
      <w:proofErr w:type="gramEnd"/>
    </w:p>
    <w:p w:rsidR="001815C2" w:rsidRDefault="004C2125">
      <w:pPr>
        <w:jc w:val="center"/>
        <w:rPr>
          <w:rFonts w:ascii="Arial" w:eastAsia="Arial" w:hAnsi="Arial" w:cs="Arial"/>
        </w:rPr>
      </w:pPr>
      <w:r>
        <w:rPr>
          <w:rFonts w:ascii="Arial" w:eastAsia="Arial" w:hAnsi="Arial" w:cs="Arial"/>
        </w:rPr>
        <w:t>(Source: DAWE, 2025)</w:t>
      </w:r>
    </w:p>
    <w:p w:rsidR="001815C2" w:rsidRDefault="004C2125">
      <w:pPr>
        <w:pStyle w:val="Heading4"/>
        <w:keepNext w:val="0"/>
        <w:keepLines w:val="0"/>
        <w:spacing w:before="240" w:after="40"/>
        <w:rPr>
          <w:rFonts w:ascii="Arial" w:eastAsia="Arial" w:hAnsi="Arial" w:cs="Arial"/>
          <w:b/>
          <w:bCs/>
          <w:color w:val="000000"/>
        </w:rPr>
      </w:pPr>
      <w:bookmarkStart w:id="8" w:name="_Toc6152"/>
      <w:r>
        <w:rPr>
          <w:rFonts w:ascii="Arial" w:eastAsia="Arial" w:hAnsi="Arial" w:cs="Arial"/>
          <w:b/>
          <w:bCs/>
          <w:color w:val="000000"/>
        </w:rPr>
        <w:lastRenderedPageBreak/>
        <w:t>Interdependence of the Actors</w:t>
      </w:r>
      <w:bookmarkEnd w:id="8"/>
    </w:p>
    <w:p w:rsidR="001815C2" w:rsidRDefault="004C2125">
      <w:pPr>
        <w:spacing w:before="240" w:after="240"/>
        <w:rPr>
          <w:rFonts w:ascii="Arial" w:eastAsia="Arial" w:hAnsi="Arial" w:cs="Arial"/>
        </w:rPr>
      </w:pPr>
      <w:r>
        <w:rPr>
          <w:rFonts w:ascii="Arial" w:eastAsia="Arial" w:hAnsi="Arial" w:cs="Arial"/>
        </w:rPr>
        <w:t xml:space="preserve">The three actors all emphasize each other as opposed to performing individually. The pressure is generated by climate change and depletion of resources and is applied to BHP not directly </w:t>
      </w:r>
      <w:r>
        <w:rPr>
          <w:rFonts w:ascii="Arial" w:eastAsia="Arial" w:hAnsi="Arial" w:cs="Arial"/>
        </w:rPr>
        <w:t>but via customers and regulators.</w:t>
      </w:r>
    </w:p>
    <w:p w:rsidR="001815C2" w:rsidRDefault="004C2125">
      <w:pPr>
        <w:pStyle w:val="Heading4"/>
        <w:keepNext w:val="0"/>
        <w:keepLines w:val="0"/>
        <w:spacing w:before="240" w:after="40"/>
        <w:rPr>
          <w:rFonts w:ascii="Arial" w:eastAsia="Arial" w:hAnsi="Arial" w:cs="Arial"/>
          <w:b/>
          <w:bCs/>
          <w:color w:val="000000"/>
        </w:rPr>
      </w:pPr>
      <w:bookmarkStart w:id="9" w:name="_Toc20846"/>
      <w:r>
        <w:rPr>
          <w:rFonts w:ascii="Arial" w:eastAsia="Arial" w:hAnsi="Arial" w:cs="Arial"/>
          <w:b/>
          <w:bCs/>
          <w:color w:val="000000"/>
        </w:rPr>
        <w:t>Regulation Accelerating Customer Demand</w:t>
      </w:r>
      <w:bookmarkEnd w:id="9"/>
    </w:p>
    <w:p w:rsidR="001815C2" w:rsidRPr="00E46CA1" w:rsidRDefault="004C2125" w:rsidP="00E46CA1">
      <w:pPr>
        <w:spacing w:before="240" w:after="240"/>
        <w:rPr>
          <w:rFonts w:ascii="Arial" w:eastAsia="Arial" w:hAnsi="Arial" w:cs="Arial"/>
        </w:rPr>
      </w:pPr>
      <w:r>
        <w:rPr>
          <w:rFonts w:ascii="Arial" w:eastAsia="Arial" w:hAnsi="Arial" w:cs="Arial"/>
        </w:rPr>
        <w:t>Regulation makes steel intensive in emissions to be costly as explained by Dong (2025). CBAM and the steel ETS of China are used to punish high-emission steeling and force BHP steelm</w:t>
      </w:r>
      <w:r>
        <w:rPr>
          <w:rFonts w:ascii="Arial" w:eastAsia="Arial" w:hAnsi="Arial" w:cs="Arial"/>
        </w:rPr>
        <w:t>aking clients to better grade and lower carbon-based inputs and the environmental problem has become a business message.</w:t>
      </w:r>
      <w:bookmarkStart w:id="10" w:name="_heading=h.eb8n1xlp9exb" w:colFirst="0" w:colLast="0"/>
      <w:bookmarkEnd w:id="10"/>
    </w:p>
    <w:p w:rsidR="001815C2" w:rsidRDefault="004C2125">
      <w:pPr>
        <w:pStyle w:val="Heading4"/>
        <w:keepNext w:val="0"/>
        <w:keepLines w:val="0"/>
        <w:spacing w:before="240" w:after="40"/>
        <w:rPr>
          <w:rFonts w:ascii="Arial" w:eastAsia="Arial" w:hAnsi="Arial" w:cs="Arial"/>
          <w:b/>
          <w:bCs/>
          <w:color w:val="000000"/>
        </w:rPr>
      </w:pPr>
      <w:bookmarkStart w:id="11" w:name="_Toc24139"/>
      <w:r>
        <w:rPr>
          <w:rFonts w:ascii="Arial" w:eastAsia="Arial" w:hAnsi="Arial" w:cs="Arial"/>
          <w:b/>
          <w:bCs/>
          <w:color w:val="000000"/>
        </w:rPr>
        <w:t>Rising Operational Costs</w:t>
      </w:r>
      <w:bookmarkEnd w:id="11"/>
    </w:p>
    <w:p w:rsidR="001815C2" w:rsidRDefault="004C2125">
      <w:pPr>
        <w:spacing w:before="240" w:after="240"/>
        <w:rPr>
          <w:rFonts w:ascii="Arial" w:eastAsia="Arial" w:hAnsi="Arial" w:cs="Arial"/>
        </w:rPr>
      </w:pPr>
      <w:r>
        <w:rPr>
          <w:rFonts w:ascii="Arial" w:eastAsia="Arial" w:hAnsi="Arial" w:cs="Arial"/>
        </w:rPr>
        <w:t>As demonstrated in DAWE (2025), tighter Safeguard baselines and 62-70% 2035 target of Australia increases th</w:t>
      </w:r>
      <w:r>
        <w:rPr>
          <w:rFonts w:ascii="Arial" w:eastAsia="Arial" w:hAnsi="Arial" w:cs="Arial"/>
        </w:rPr>
        <w:t>e operating costs of BHP giving more strength to the argument of cleaner extraction.</w:t>
      </w:r>
    </w:p>
    <w:p w:rsidR="001815C2" w:rsidRDefault="004C2125">
      <w:pPr>
        <w:pStyle w:val="Heading4"/>
        <w:keepNext w:val="0"/>
        <w:keepLines w:val="0"/>
        <w:spacing w:before="240" w:after="40"/>
        <w:rPr>
          <w:rFonts w:ascii="Arial" w:eastAsia="Arial" w:hAnsi="Arial" w:cs="Arial"/>
          <w:b/>
          <w:bCs/>
          <w:color w:val="000000"/>
        </w:rPr>
      </w:pPr>
      <w:bookmarkStart w:id="12" w:name="_Toc30263"/>
      <w:r>
        <w:rPr>
          <w:rFonts w:ascii="Arial" w:eastAsia="Arial" w:hAnsi="Arial" w:cs="Arial"/>
          <w:b/>
          <w:bCs/>
          <w:color w:val="000000"/>
        </w:rPr>
        <w:t>Implications for Competitive Position</w:t>
      </w:r>
      <w:bookmarkEnd w:id="12"/>
    </w:p>
    <w:p w:rsidR="001815C2" w:rsidRDefault="004C2125">
      <w:pPr>
        <w:spacing w:before="240" w:after="240"/>
        <w:rPr>
          <w:rFonts w:ascii="Arial" w:eastAsia="Arial" w:hAnsi="Arial" w:cs="Arial"/>
        </w:rPr>
      </w:pPr>
      <w:r>
        <w:rPr>
          <w:rFonts w:ascii="Arial" w:eastAsia="Arial" w:hAnsi="Arial" w:cs="Arial"/>
        </w:rPr>
        <w:t>The outcome is a positive cycle of sustainability expectations, regulation and market demand. A change in either, like conclusive CBA</w:t>
      </w:r>
      <w:r>
        <w:rPr>
          <w:rFonts w:ascii="Arial" w:eastAsia="Arial" w:hAnsi="Arial" w:cs="Arial"/>
        </w:rPr>
        <w:t>M implementation, shifts the customer purchasing and regulator permitting. Decarbonisation is made the core of the competitive position of BHP, not only reputational risk management (BHP Group, 2025c).</w:t>
      </w:r>
    </w:p>
    <w:p w:rsidR="001815C2" w:rsidRDefault="004C2125">
      <w:pPr>
        <w:rPr>
          <w:rFonts w:ascii="Arial" w:eastAsia="Arial" w:hAnsi="Arial" w:cs="Arial"/>
        </w:rPr>
      </w:pPr>
      <w:r>
        <w:rPr>
          <w:rFonts w:ascii="Arial" w:eastAsia="Arial" w:hAnsi="Arial" w:cs="Arial"/>
        </w:rPr>
        <w:t xml:space="preserve"> </w:t>
      </w:r>
    </w:p>
    <w:p w:rsidR="001815C2" w:rsidRDefault="004C2125">
      <w:pPr>
        <w:pStyle w:val="Heading1"/>
        <w:rPr>
          <w:rFonts w:ascii="Arial" w:eastAsia="Arial" w:hAnsi="Arial" w:cs="Arial"/>
          <w:sz w:val="24"/>
          <w:szCs w:val="24"/>
        </w:rPr>
      </w:pPr>
      <w:bookmarkStart w:id="13" w:name="_heading=h.tgvie8hpsoq7" w:colFirst="0" w:colLast="0"/>
      <w:bookmarkEnd w:id="13"/>
      <w:r>
        <w:br w:type="page"/>
      </w:r>
    </w:p>
    <w:p w:rsidR="001815C2" w:rsidRDefault="004C2125">
      <w:pPr>
        <w:pStyle w:val="Heading1"/>
        <w:rPr>
          <w:rFonts w:ascii="Arial" w:eastAsia="Arial" w:hAnsi="Arial" w:cs="Arial"/>
          <w:sz w:val="24"/>
          <w:szCs w:val="24"/>
        </w:rPr>
      </w:pPr>
      <w:bookmarkStart w:id="14" w:name="_Toc30168"/>
      <w:r>
        <w:rPr>
          <w:rFonts w:ascii="Arial" w:eastAsia="Arial" w:hAnsi="Arial" w:cs="Arial"/>
          <w:sz w:val="24"/>
          <w:szCs w:val="24"/>
        </w:rPr>
        <w:lastRenderedPageBreak/>
        <w:t>Task 2: Strategic Growth and Competitive Positioni</w:t>
      </w:r>
      <w:r>
        <w:rPr>
          <w:rFonts w:ascii="Arial" w:eastAsia="Arial" w:hAnsi="Arial" w:cs="Arial"/>
          <w:sz w:val="24"/>
          <w:szCs w:val="24"/>
        </w:rPr>
        <w:t>ng</w:t>
      </w:r>
      <w:bookmarkEnd w:id="14"/>
    </w:p>
    <w:p w:rsidR="001815C2" w:rsidRDefault="004C2125">
      <w:pPr>
        <w:pStyle w:val="Heading2"/>
        <w:keepNext w:val="0"/>
        <w:keepLines w:val="0"/>
        <w:spacing w:before="240" w:after="40"/>
        <w:rPr>
          <w:rFonts w:ascii="Arial" w:eastAsia="Arial" w:hAnsi="Arial" w:cs="Arial"/>
        </w:rPr>
      </w:pPr>
      <w:bookmarkStart w:id="15" w:name="_Toc22520"/>
      <w:r>
        <w:rPr>
          <w:rFonts w:ascii="Arial" w:eastAsia="Arial" w:hAnsi="Arial" w:cs="Arial"/>
        </w:rPr>
        <w:t>2.1 Strategic Context for BHP's Growth</w:t>
      </w:r>
      <w:bookmarkEnd w:id="15"/>
    </w:p>
    <w:p w:rsidR="001815C2" w:rsidRDefault="004C2125">
      <w:pPr>
        <w:spacing w:before="240" w:after="240"/>
        <w:rPr>
          <w:rFonts w:ascii="Arial" w:eastAsia="Arial" w:hAnsi="Arial" w:cs="Arial"/>
        </w:rPr>
      </w:pPr>
      <w:r>
        <w:rPr>
          <w:rFonts w:ascii="Arial" w:eastAsia="Arial" w:hAnsi="Arial" w:cs="Arial"/>
        </w:rPr>
        <w:t xml:space="preserve">BHP has a lot of strength in this transition. Underlying EBITDA increased to an approximate of US$33 billion in FY2026 of which copper alone contributed over $18 billion which is about 54 </w:t>
      </w:r>
      <w:proofErr w:type="spellStart"/>
      <w:r>
        <w:rPr>
          <w:rFonts w:ascii="Arial" w:eastAsia="Arial" w:hAnsi="Arial" w:cs="Arial"/>
        </w:rPr>
        <w:t>percent</w:t>
      </w:r>
      <w:proofErr w:type="spellEnd"/>
      <w:r>
        <w:rPr>
          <w:rFonts w:ascii="Arial" w:eastAsia="Arial" w:hAnsi="Arial" w:cs="Arial"/>
        </w:rPr>
        <w:t xml:space="preserve"> group earnings (BH</w:t>
      </w:r>
      <w:r>
        <w:rPr>
          <w:rFonts w:ascii="Arial" w:eastAsia="Arial" w:hAnsi="Arial" w:cs="Arial"/>
        </w:rPr>
        <w:t xml:space="preserve">P Group Limited, 2026). </w:t>
      </w:r>
      <w:proofErr w:type="gramStart"/>
      <w:r>
        <w:rPr>
          <w:rFonts w:ascii="Arial" w:eastAsia="Arial" w:hAnsi="Arial" w:cs="Arial"/>
        </w:rPr>
        <w:t>The group's most significant single driver of earnings ever.</w:t>
      </w:r>
      <w:proofErr w:type="gramEnd"/>
      <w:r>
        <w:rPr>
          <w:rFonts w:ascii="Arial" w:eastAsia="Arial" w:hAnsi="Arial" w:cs="Arial"/>
        </w:rPr>
        <w:t xml:space="preserve"> </w:t>
      </w:r>
    </w:p>
    <w:p w:rsidR="001815C2" w:rsidRDefault="004C2125">
      <w:pPr>
        <w:spacing w:before="240" w:after="240"/>
        <w:jc w:val="center"/>
        <w:rPr>
          <w:rFonts w:ascii="Arial" w:eastAsia="Arial" w:hAnsi="Arial" w:cs="Arial"/>
        </w:rPr>
      </w:pPr>
      <w:r>
        <w:rPr>
          <w:rFonts w:ascii="Arial" w:eastAsia="Arial" w:hAnsi="Arial" w:cs="Arial"/>
          <w:noProof/>
          <w:lang w:val="en-US" w:eastAsia="en-US" w:bidi="gu-IN"/>
        </w:rPr>
        <w:drawing>
          <wp:inline distT="114300" distB="114300" distL="114300" distR="114300">
            <wp:extent cx="5727700" cy="3568700"/>
            <wp:effectExtent l="19050" t="19050" r="25400" b="12700"/>
            <wp:docPr id="45" name="image12.png"/>
            <wp:cNvGraphicFramePr/>
            <a:graphic xmlns:a="http://schemas.openxmlformats.org/drawingml/2006/main">
              <a:graphicData uri="http://schemas.openxmlformats.org/drawingml/2006/picture">
                <pic:pic xmlns:pic="http://schemas.openxmlformats.org/drawingml/2006/picture">
                  <pic:nvPicPr>
                    <pic:cNvPr id="45" name="image12.png"/>
                    <pic:cNvPicPr preferRelativeResize="0"/>
                  </pic:nvPicPr>
                  <pic:blipFill>
                    <a:blip r:embed="rId21"/>
                    <a:srcRect/>
                    <a:stretch>
                      <a:fillRect/>
                    </a:stretch>
                  </pic:blipFill>
                  <pic:spPr>
                    <a:xfrm>
                      <a:off x="0" y="0"/>
                      <a:ext cx="5731200" cy="3570881"/>
                    </a:xfrm>
                    <a:prstGeom prst="rect">
                      <a:avLst/>
                    </a:prstGeom>
                    <a:ln w="25400">
                      <a:solidFill>
                        <a:srgbClr val="000000"/>
                      </a:solidFill>
                      <a:prstDash val="solid"/>
                    </a:ln>
                  </pic:spPr>
                </pic:pic>
              </a:graphicData>
            </a:graphic>
          </wp:inline>
        </w:drawing>
      </w:r>
    </w:p>
    <w:p w:rsidR="001815C2" w:rsidRDefault="004C2125">
      <w:pPr>
        <w:spacing w:before="240" w:after="240"/>
        <w:jc w:val="center"/>
        <w:rPr>
          <w:rFonts w:ascii="Arial" w:eastAsia="Arial" w:hAnsi="Arial" w:cs="Arial"/>
          <w:b/>
          <w:bCs/>
        </w:rPr>
      </w:pPr>
      <w:r>
        <w:rPr>
          <w:rFonts w:ascii="Arial" w:eastAsia="Arial" w:hAnsi="Arial" w:cs="Arial"/>
          <w:b/>
          <w:bCs/>
        </w:rPr>
        <w:t>Figure 9: Movements in net debt</w:t>
      </w:r>
    </w:p>
    <w:p w:rsidR="001815C2" w:rsidRDefault="004C2125">
      <w:pPr>
        <w:spacing w:before="240" w:after="240"/>
        <w:jc w:val="center"/>
        <w:rPr>
          <w:rFonts w:ascii="Arial" w:eastAsia="Arial" w:hAnsi="Arial" w:cs="Arial"/>
        </w:rPr>
      </w:pPr>
      <w:r>
        <w:rPr>
          <w:rFonts w:ascii="Arial" w:eastAsia="Arial" w:hAnsi="Arial" w:cs="Arial"/>
        </w:rPr>
        <w:t>(Source: BHP Group, 2026a)</w:t>
      </w:r>
    </w:p>
    <w:p w:rsidR="001815C2" w:rsidRDefault="004C2125">
      <w:pPr>
        <w:spacing w:before="240" w:after="240"/>
        <w:rPr>
          <w:rFonts w:ascii="Arial" w:eastAsia="Arial" w:hAnsi="Arial" w:cs="Arial"/>
        </w:rPr>
      </w:pPr>
      <w:r>
        <w:rPr>
          <w:rFonts w:ascii="Arial" w:eastAsia="Arial" w:hAnsi="Arial" w:cs="Arial"/>
        </w:rPr>
        <w:t>Net debt decreased to less than $8.7 billion and the company announced a last dividend of 99 US cents per sha</w:t>
      </w:r>
      <w:r>
        <w:rPr>
          <w:rFonts w:ascii="Arial" w:eastAsia="Arial" w:hAnsi="Arial" w:cs="Arial"/>
        </w:rPr>
        <w:t>re and the highest in four years. This financial ability finances an annual growth programme of approximately US 11 billion. As a strategic move, BHP is consciously leaning on to the so-called future-oriented commodities such as copper and potash, which su</w:t>
      </w:r>
      <w:r>
        <w:rPr>
          <w:rFonts w:ascii="Arial" w:eastAsia="Arial" w:hAnsi="Arial" w:cs="Arial"/>
        </w:rPr>
        <w:t>pport electrification and green agriculture, and safeguarding its low-cost brand of iron ore (BHP Group, 2026a). The crux lies in the necessity to expand in the world where decarbonisation is a deciding factor in the demand, competitiveness, and market adm</w:t>
      </w:r>
      <w:r>
        <w:rPr>
          <w:rFonts w:ascii="Arial" w:eastAsia="Arial" w:hAnsi="Arial" w:cs="Arial"/>
        </w:rPr>
        <w:t>issions.</w:t>
      </w:r>
    </w:p>
    <w:p w:rsidR="001815C2" w:rsidRDefault="004C2125">
      <w:pPr>
        <w:pStyle w:val="Heading2"/>
        <w:keepNext w:val="0"/>
        <w:keepLines w:val="0"/>
        <w:spacing w:before="240" w:after="40"/>
        <w:rPr>
          <w:rFonts w:ascii="Arial" w:eastAsia="Arial" w:hAnsi="Arial" w:cs="Arial"/>
        </w:rPr>
      </w:pPr>
      <w:bookmarkStart w:id="16" w:name="_Toc10493"/>
      <w:r>
        <w:rPr>
          <w:rFonts w:ascii="Arial" w:eastAsia="Arial" w:hAnsi="Arial" w:cs="Arial"/>
        </w:rPr>
        <w:lastRenderedPageBreak/>
        <w:t xml:space="preserve">2.2 Application of the </w:t>
      </w:r>
      <w:proofErr w:type="spellStart"/>
      <w:r>
        <w:rPr>
          <w:rFonts w:ascii="Arial" w:eastAsia="Arial" w:hAnsi="Arial" w:cs="Arial"/>
        </w:rPr>
        <w:t>Ansoff</w:t>
      </w:r>
      <w:proofErr w:type="spellEnd"/>
      <w:r>
        <w:rPr>
          <w:rFonts w:ascii="Arial" w:eastAsia="Arial" w:hAnsi="Arial" w:cs="Arial"/>
        </w:rPr>
        <w:t xml:space="preserve"> Matrix to BHP</w:t>
      </w:r>
      <w:bookmarkEnd w:id="16"/>
    </w:p>
    <w:p w:rsidR="001815C2" w:rsidRDefault="004C2125">
      <w:pPr>
        <w:jc w:val="center"/>
        <w:rPr>
          <w:rFonts w:ascii="Arial" w:eastAsia="Arial" w:hAnsi="Arial" w:cs="Arial"/>
        </w:rPr>
      </w:pPr>
      <w:r>
        <w:rPr>
          <w:rFonts w:ascii="Arial" w:eastAsia="Arial" w:hAnsi="Arial" w:cs="Arial"/>
          <w:noProof/>
          <w:lang w:val="en-US" w:eastAsia="en-US" w:bidi="gu-IN"/>
        </w:rPr>
        <w:drawing>
          <wp:inline distT="114300" distB="114300" distL="114300" distR="114300">
            <wp:extent cx="5054600" cy="3098800"/>
            <wp:effectExtent l="19050" t="19050" r="12700" b="25400"/>
            <wp:docPr id="49" name="image2.png"/>
            <wp:cNvGraphicFramePr/>
            <a:graphic xmlns:a="http://schemas.openxmlformats.org/drawingml/2006/main">
              <a:graphicData uri="http://schemas.openxmlformats.org/drawingml/2006/picture">
                <pic:pic xmlns:pic="http://schemas.openxmlformats.org/drawingml/2006/picture">
                  <pic:nvPicPr>
                    <pic:cNvPr id="49" name="image2.png"/>
                    <pic:cNvPicPr preferRelativeResize="0"/>
                  </pic:nvPicPr>
                  <pic:blipFill>
                    <a:blip r:embed="rId22"/>
                    <a:srcRect/>
                    <a:stretch>
                      <a:fillRect/>
                    </a:stretch>
                  </pic:blipFill>
                  <pic:spPr>
                    <a:xfrm>
                      <a:off x="0" y="0"/>
                      <a:ext cx="5048250" cy="3094907"/>
                    </a:xfrm>
                    <a:prstGeom prst="rect">
                      <a:avLst/>
                    </a:prstGeom>
                    <a:ln w="25400">
                      <a:solidFill>
                        <a:srgbClr val="000000"/>
                      </a:solidFill>
                      <a:prstDash val="solid"/>
                    </a:ln>
                  </pic:spPr>
                </pic:pic>
              </a:graphicData>
            </a:graphic>
          </wp:inline>
        </w:drawing>
      </w:r>
    </w:p>
    <w:p w:rsidR="001815C2" w:rsidRDefault="004C2125">
      <w:pPr>
        <w:jc w:val="center"/>
        <w:rPr>
          <w:rFonts w:ascii="Arial" w:eastAsia="Arial" w:hAnsi="Arial" w:cs="Arial"/>
          <w:b/>
          <w:bCs/>
        </w:rPr>
      </w:pPr>
      <w:r>
        <w:rPr>
          <w:rFonts w:ascii="Arial" w:eastAsia="Arial" w:hAnsi="Arial" w:cs="Arial"/>
          <w:b/>
          <w:bCs/>
        </w:rPr>
        <w:t xml:space="preserve">Figure 10: Iron ore and DRI production take place in different geographies </w:t>
      </w:r>
    </w:p>
    <w:p w:rsidR="001815C2" w:rsidRPr="00E46CA1" w:rsidRDefault="004C2125" w:rsidP="00E46CA1">
      <w:pPr>
        <w:jc w:val="center"/>
        <w:rPr>
          <w:rFonts w:ascii="Arial" w:eastAsia="Arial" w:hAnsi="Arial" w:cs="Arial"/>
        </w:rPr>
      </w:pPr>
      <w:r>
        <w:rPr>
          <w:rFonts w:ascii="Arial" w:eastAsia="Arial" w:hAnsi="Arial" w:cs="Arial"/>
        </w:rPr>
        <w:t>(Source: OCED, 2025)</w:t>
      </w:r>
    </w:p>
    <w:p w:rsidR="001815C2" w:rsidRDefault="004C2125">
      <w:pPr>
        <w:jc w:val="center"/>
        <w:rPr>
          <w:rFonts w:ascii="Arial" w:eastAsia="Arial" w:hAnsi="Arial" w:cs="Arial"/>
        </w:rPr>
      </w:pPr>
      <w:r>
        <w:rPr>
          <w:rFonts w:ascii="Arial" w:eastAsia="Arial" w:hAnsi="Arial" w:cs="Arial"/>
          <w:b/>
          <w:bCs/>
        </w:rPr>
        <w:t xml:space="preserve">Table 1: </w:t>
      </w:r>
      <w:proofErr w:type="spellStart"/>
      <w:r>
        <w:rPr>
          <w:rFonts w:ascii="Arial" w:eastAsia="Arial" w:hAnsi="Arial" w:cs="Arial"/>
          <w:b/>
          <w:bCs/>
        </w:rPr>
        <w:t>Ansoff</w:t>
      </w:r>
      <w:proofErr w:type="spellEnd"/>
      <w:r>
        <w:rPr>
          <w:rFonts w:ascii="Arial" w:eastAsia="Arial" w:hAnsi="Arial" w:cs="Arial"/>
          <w:b/>
          <w:bCs/>
        </w:rPr>
        <w:t xml:space="preserve"> Matrix to BHP</w:t>
      </w:r>
    </w:p>
    <w:tbl>
      <w:tblPr>
        <w:tblStyle w:val="Style31"/>
        <w:tblW w:w="10206" w:type="dxa"/>
        <w:tblInd w:w="-4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701"/>
        <w:gridCol w:w="3544"/>
        <w:gridCol w:w="4961"/>
      </w:tblGrid>
      <w:tr w:rsidR="001815C2" w:rsidTr="00E46CA1">
        <w:trPr>
          <w:trHeight w:val="720"/>
        </w:trPr>
        <w:tc>
          <w:tcPr>
            <w:tcW w:w="1701" w:type="dxa"/>
            <w:shd w:val="clear" w:color="auto" w:fill="0F9ED5"/>
            <w:tcMar>
              <w:top w:w="0" w:type="dxa"/>
              <w:left w:w="100" w:type="dxa"/>
              <w:bottom w:w="0" w:type="dxa"/>
              <w:right w:w="100" w:type="dxa"/>
            </w:tcMar>
          </w:tcPr>
          <w:p w:rsidR="001815C2" w:rsidRDefault="004C2125" w:rsidP="00E46CA1">
            <w:pPr>
              <w:spacing w:after="160" w:line="240" w:lineRule="auto"/>
              <w:rPr>
                <w:rFonts w:ascii="Arial" w:eastAsia="Arial" w:hAnsi="Arial" w:cs="Arial"/>
                <w:b/>
                <w:bCs/>
                <w:color w:val="FFFFFF"/>
              </w:rPr>
            </w:pPr>
            <w:proofErr w:type="spellStart"/>
            <w:r>
              <w:rPr>
                <w:rFonts w:ascii="Arial" w:eastAsia="Arial" w:hAnsi="Arial" w:cs="Arial"/>
                <w:b/>
                <w:bCs/>
                <w:color w:val="FFFFFF"/>
              </w:rPr>
              <w:t>Ansoff</w:t>
            </w:r>
            <w:proofErr w:type="spellEnd"/>
            <w:r>
              <w:rPr>
                <w:rFonts w:ascii="Arial" w:eastAsia="Arial" w:hAnsi="Arial" w:cs="Arial"/>
                <w:b/>
                <w:bCs/>
                <w:color w:val="FFFFFF"/>
              </w:rPr>
              <w:t xml:space="preserve"> strategy</w:t>
            </w:r>
          </w:p>
        </w:tc>
        <w:tc>
          <w:tcPr>
            <w:tcW w:w="3544" w:type="dxa"/>
            <w:shd w:val="clear" w:color="auto" w:fill="0F9ED5"/>
            <w:tcMar>
              <w:top w:w="0" w:type="dxa"/>
              <w:left w:w="100" w:type="dxa"/>
              <w:bottom w:w="0" w:type="dxa"/>
              <w:right w:w="100" w:type="dxa"/>
            </w:tcMar>
          </w:tcPr>
          <w:p w:rsidR="001815C2" w:rsidRDefault="004C2125" w:rsidP="00E46CA1">
            <w:pPr>
              <w:spacing w:after="160" w:line="240" w:lineRule="auto"/>
              <w:rPr>
                <w:rFonts w:ascii="Arial" w:eastAsia="Arial" w:hAnsi="Arial" w:cs="Arial"/>
                <w:b/>
                <w:bCs/>
                <w:color w:val="FFFFFF"/>
              </w:rPr>
            </w:pPr>
            <w:r>
              <w:rPr>
                <w:rFonts w:ascii="Arial" w:eastAsia="Arial" w:hAnsi="Arial" w:cs="Arial"/>
                <w:b/>
                <w:bCs/>
                <w:color w:val="FFFFFF"/>
              </w:rPr>
              <w:t>Application to BHP</w:t>
            </w:r>
          </w:p>
        </w:tc>
        <w:tc>
          <w:tcPr>
            <w:tcW w:w="4961" w:type="dxa"/>
            <w:shd w:val="clear" w:color="auto" w:fill="0F9ED5"/>
            <w:tcMar>
              <w:top w:w="0" w:type="dxa"/>
              <w:left w:w="100" w:type="dxa"/>
              <w:bottom w:w="0" w:type="dxa"/>
              <w:right w:w="100" w:type="dxa"/>
            </w:tcMar>
          </w:tcPr>
          <w:p w:rsidR="001815C2" w:rsidRDefault="004C2125" w:rsidP="00E46CA1">
            <w:pPr>
              <w:spacing w:after="160" w:line="240" w:lineRule="auto"/>
              <w:rPr>
                <w:rFonts w:ascii="Arial" w:eastAsia="Arial" w:hAnsi="Arial" w:cs="Arial"/>
                <w:b/>
                <w:bCs/>
                <w:color w:val="FFFFFF"/>
              </w:rPr>
            </w:pPr>
            <w:r>
              <w:rPr>
                <w:rFonts w:ascii="Arial" w:eastAsia="Arial" w:hAnsi="Arial" w:cs="Arial"/>
                <w:b/>
                <w:bCs/>
                <w:color w:val="FFFFFF"/>
              </w:rPr>
              <w:t>Illustrative evidence</w:t>
            </w:r>
          </w:p>
        </w:tc>
      </w:tr>
      <w:tr w:rsidR="001815C2" w:rsidTr="00E46CA1">
        <w:trPr>
          <w:trHeight w:val="1560"/>
        </w:trPr>
        <w:tc>
          <w:tcPr>
            <w:tcW w:w="1701" w:type="dxa"/>
            <w:shd w:val="clear" w:color="auto" w:fill="0F9ED5"/>
            <w:tcMar>
              <w:top w:w="0" w:type="dxa"/>
              <w:left w:w="100" w:type="dxa"/>
              <w:bottom w:w="0" w:type="dxa"/>
              <w:right w:w="100" w:type="dxa"/>
            </w:tcMar>
          </w:tcPr>
          <w:p w:rsidR="001815C2" w:rsidRDefault="004C2125" w:rsidP="00E46CA1">
            <w:pPr>
              <w:spacing w:after="160" w:line="240" w:lineRule="auto"/>
              <w:rPr>
                <w:rFonts w:ascii="Arial" w:eastAsia="Arial" w:hAnsi="Arial" w:cs="Arial"/>
                <w:b/>
                <w:bCs/>
                <w:color w:val="FFFFFF"/>
              </w:rPr>
            </w:pPr>
            <w:r>
              <w:rPr>
                <w:rFonts w:ascii="Arial" w:eastAsia="Arial" w:hAnsi="Arial" w:cs="Arial"/>
                <w:b/>
                <w:bCs/>
                <w:color w:val="FFFFFF"/>
              </w:rPr>
              <w:t xml:space="preserve">Market </w:t>
            </w:r>
            <w:r>
              <w:rPr>
                <w:rFonts w:ascii="Arial" w:eastAsia="Arial" w:hAnsi="Arial" w:cs="Arial"/>
                <w:b/>
                <w:bCs/>
                <w:color w:val="FFFFFF"/>
              </w:rPr>
              <w:t>Penetration</w:t>
            </w:r>
          </w:p>
        </w:tc>
        <w:tc>
          <w:tcPr>
            <w:tcW w:w="3544" w:type="dxa"/>
            <w:shd w:val="clear" w:color="auto" w:fill="95DCF7"/>
            <w:tcMar>
              <w:top w:w="0" w:type="dxa"/>
              <w:left w:w="100" w:type="dxa"/>
              <w:bottom w:w="0" w:type="dxa"/>
              <w:right w:w="100" w:type="dxa"/>
            </w:tcMar>
          </w:tcPr>
          <w:p w:rsidR="001815C2" w:rsidRDefault="004C2125" w:rsidP="00E46CA1">
            <w:pPr>
              <w:spacing w:after="160" w:line="240" w:lineRule="auto"/>
              <w:rPr>
                <w:rFonts w:ascii="Arial" w:eastAsia="Arial" w:hAnsi="Arial" w:cs="Arial"/>
              </w:rPr>
            </w:pPr>
            <w:r>
              <w:rPr>
                <w:rFonts w:ascii="Arial" w:eastAsia="Arial" w:hAnsi="Arial" w:cs="Arial"/>
              </w:rPr>
              <w:t>By offering customers their existing commodities at cost leadership and reliability, BHP is able to sell more to them.</w:t>
            </w:r>
          </w:p>
        </w:tc>
        <w:tc>
          <w:tcPr>
            <w:tcW w:w="4961" w:type="dxa"/>
            <w:shd w:val="clear" w:color="auto" w:fill="95DCF7"/>
            <w:tcMar>
              <w:top w:w="0" w:type="dxa"/>
              <w:left w:w="100" w:type="dxa"/>
              <w:bottom w:w="0" w:type="dxa"/>
              <w:right w:w="100" w:type="dxa"/>
            </w:tcMar>
          </w:tcPr>
          <w:p w:rsidR="001815C2" w:rsidRDefault="004C2125" w:rsidP="00E46CA1">
            <w:pPr>
              <w:spacing w:after="160" w:line="240" w:lineRule="auto"/>
              <w:rPr>
                <w:rFonts w:ascii="Arial" w:eastAsia="Arial" w:hAnsi="Arial" w:cs="Arial"/>
              </w:rPr>
            </w:pPr>
            <w:r>
              <w:rPr>
                <w:rFonts w:ascii="Arial" w:eastAsia="Arial" w:hAnsi="Arial" w:cs="Arial"/>
              </w:rPr>
              <w:t>WAIO achieved the highest iron ore output in the company's history and remained the lowest-cost major producer in the world w</w:t>
            </w:r>
            <w:r>
              <w:rPr>
                <w:rFonts w:ascii="Arial" w:eastAsia="Arial" w:hAnsi="Arial" w:cs="Arial"/>
              </w:rPr>
              <w:t>ith an advantage of a &gt;US$10/t above its closest Pilbara competitor (Calloway, 2026).</w:t>
            </w:r>
          </w:p>
        </w:tc>
      </w:tr>
      <w:tr w:rsidR="001815C2" w:rsidTr="00E46CA1">
        <w:trPr>
          <w:trHeight w:val="1275"/>
        </w:trPr>
        <w:tc>
          <w:tcPr>
            <w:tcW w:w="1701" w:type="dxa"/>
            <w:shd w:val="clear" w:color="auto" w:fill="0F9ED5"/>
            <w:tcMar>
              <w:top w:w="0" w:type="dxa"/>
              <w:left w:w="100" w:type="dxa"/>
              <w:bottom w:w="0" w:type="dxa"/>
              <w:right w:w="100" w:type="dxa"/>
            </w:tcMar>
          </w:tcPr>
          <w:p w:rsidR="001815C2" w:rsidRDefault="004C2125" w:rsidP="00E46CA1">
            <w:pPr>
              <w:spacing w:after="160" w:line="240" w:lineRule="auto"/>
              <w:rPr>
                <w:rFonts w:ascii="Arial" w:eastAsia="Arial" w:hAnsi="Arial" w:cs="Arial"/>
                <w:b/>
                <w:bCs/>
                <w:color w:val="FFFFFF"/>
              </w:rPr>
            </w:pPr>
            <w:r>
              <w:rPr>
                <w:rFonts w:ascii="Arial" w:eastAsia="Arial" w:hAnsi="Arial" w:cs="Arial"/>
                <w:b/>
                <w:bCs/>
                <w:color w:val="FFFFFF"/>
              </w:rPr>
              <w:t>Market Development</w:t>
            </w:r>
          </w:p>
        </w:tc>
        <w:tc>
          <w:tcPr>
            <w:tcW w:w="3544" w:type="dxa"/>
            <w:shd w:val="clear" w:color="auto" w:fill="CAEDFB"/>
            <w:tcMar>
              <w:top w:w="0" w:type="dxa"/>
              <w:left w:w="100" w:type="dxa"/>
              <w:bottom w:w="0" w:type="dxa"/>
              <w:right w:w="100" w:type="dxa"/>
            </w:tcMar>
          </w:tcPr>
          <w:p w:rsidR="001815C2" w:rsidRDefault="004C2125" w:rsidP="00E46CA1">
            <w:pPr>
              <w:spacing w:after="160" w:line="240" w:lineRule="auto"/>
              <w:rPr>
                <w:rFonts w:ascii="Arial" w:eastAsia="Arial" w:hAnsi="Arial" w:cs="Arial"/>
              </w:rPr>
            </w:pPr>
            <w:r>
              <w:rPr>
                <w:rFonts w:ascii="Arial" w:eastAsia="Arial" w:hAnsi="Arial" w:cs="Arial"/>
              </w:rPr>
              <w:t>BHP takes its existing products into new market segments and geographies.</w:t>
            </w:r>
          </w:p>
        </w:tc>
        <w:tc>
          <w:tcPr>
            <w:tcW w:w="4961" w:type="dxa"/>
            <w:shd w:val="clear" w:color="auto" w:fill="CAEDFB"/>
            <w:tcMar>
              <w:top w:w="0" w:type="dxa"/>
              <w:left w:w="100" w:type="dxa"/>
              <w:bottom w:w="0" w:type="dxa"/>
              <w:right w:w="100" w:type="dxa"/>
            </w:tcMar>
          </w:tcPr>
          <w:p w:rsidR="001815C2" w:rsidRDefault="004C2125" w:rsidP="00E46CA1">
            <w:pPr>
              <w:spacing w:after="160" w:line="240" w:lineRule="auto"/>
              <w:rPr>
                <w:rFonts w:ascii="Arial" w:eastAsia="Arial" w:hAnsi="Arial" w:cs="Arial"/>
              </w:rPr>
            </w:pPr>
            <w:r>
              <w:rPr>
                <w:rFonts w:ascii="Arial" w:eastAsia="Arial" w:hAnsi="Arial" w:cs="Arial"/>
              </w:rPr>
              <w:t xml:space="preserve">Higher grade ore is then sent to the DRI-ready mills and Jansen potash is </w:t>
            </w:r>
            <w:r>
              <w:rPr>
                <w:rFonts w:ascii="Arial" w:eastAsia="Arial" w:hAnsi="Arial" w:cs="Arial"/>
              </w:rPr>
              <w:t xml:space="preserve">aimed at a single-tenth of the world at a yield of more than 60 </w:t>
            </w:r>
            <w:proofErr w:type="spellStart"/>
            <w:r>
              <w:rPr>
                <w:rFonts w:ascii="Arial" w:eastAsia="Arial" w:hAnsi="Arial" w:cs="Arial"/>
              </w:rPr>
              <w:t>percent</w:t>
            </w:r>
            <w:proofErr w:type="spellEnd"/>
            <w:r>
              <w:rPr>
                <w:rFonts w:ascii="Arial" w:eastAsia="Arial" w:hAnsi="Arial" w:cs="Arial"/>
              </w:rPr>
              <w:t>.</w:t>
            </w:r>
          </w:p>
        </w:tc>
      </w:tr>
      <w:tr w:rsidR="001815C2" w:rsidTr="00E46CA1">
        <w:trPr>
          <w:trHeight w:val="1275"/>
        </w:trPr>
        <w:tc>
          <w:tcPr>
            <w:tcW w:w="1701" w:type="dxa"/>
            <w:shd w:val="clear" w:color="auto" w:fill="0F9ED5"/>
            <w:tcMar>
              <w:top w:w="0" w:type="dxa"/>
              <w:left w:w="100" w:type="dxa"/>
              <w:bottom w:w="0" w:type="dxa"/>
              <w:right w:w="100" w:type="dxa"/>
            </w:tcMar>
          </w:tcPr>
          <w:p w:rsidR="001815C2" w:rsidRDefault="004C2125" w:rsidP="00E46CA1">
            <w:pPr>
              <w:spacing w:after="160" w:line="240" w:lineRule="auto"/>
              <w:rPr>
                <w:rFonts w:ascii="Arial" w:eastAsia="Arial" w:hAnsi="Arial" w:cs="Arial"/>
                <w:b/>
                <w:bCs/>
                <w:color w:val="FFFFFF"/>
              </w:rPr>
            </w:pPr>
            <w:r>
              <w:rPr>
                <w:rFonts w:ascii="Arial" w:eastAsia="Arial" w:hAnsi="Arial" w:cs="Arial"/>
                <w:b/>
                <w:bCs/>
                <w:color w:val="FFFFFF"/>
              </w:rPr>
              <w:t>Product Development</w:t>
            </w:r>
          </w:p>
        </w:tc>
        <w:tc>
          <w:tcPr>
            <w:tcW w:w="3544" w:type="dxa"/>
            <w:shd w:val="clear" w:color="auto" w:fill="95DCF7"/>
            <w:tcMar>
              <w:top w:w="0" w:type="dxa"/>
              <w:left w:w="100" w:type="dxa"/>
              <w:bottom w:w="0" w:type="dxa"/>
              <w:right w:w="100" w:type="dxa"/>
            </w:tcMar>
          </w:tcPr>
          <w:p w:rsidR="001815C2" w:rsidRDefault="004C2125" w:rsidP="00E46CA1">
            <w:pPr>
              <w:spacing w:after="160" w:line="240" w:lineRule="auto"/>
              <w:rPr>
                <w:rFonts w:ascii="Arial" w:eastAsia="Arial" w:hAnsi="Arial" w:cs="Arial"/>
              </w:rPr>
            </w:pPr>
            <w:r>
              <w:rPr>
                <w:rFonts w:ascii="Arial" w:eastAsia="Arial" w:hAnsi="Arial" w:cs="Arial"/>
              </w:rPr>
              <w:t>BHP develops green-enabling, lower-carbon products, like near-zero steel inputs, to the current customers.</w:t>
            </w:r>
          </w:p>
        </w:tc>
        <w:tc>
          <w:tcPr>
            <w:tcW w:w="4961" w:type="dxa"/>
            <w:shd w:val="clear" w:color="auto" w:fill="95DCF7"/>
            <w:tcMar>
              <w:top w:w="0" w:type="dxa"/>
              <w:left w:w="100" w:type="dxa"/>
              <w:bottom w:w="0" w:type="dxa"/>
              <w:right w:w="100" w:type="dxa"/>
            </w:tcMar>
          </w:tcPr>
          <w:p w:rsidR="001815C2" w:rsidRDefault="004C2125" w:rsidP="00E46CA1">
            <w:pPr>
              <w:spacing w:after="160" w:line="240" w:lineRule="auto"/>
              <w:rPr>
                <w:rFonts w:ascii="Arial" w:eastAsia="Arial" w:hAnsi="Arial" w:cs="Arial"/>
              </w:rPr>
            </w:pPr>
            <w:r>
              <w:rPr>
                <w:rFonts w:ascii="Arial" w:eastAsia="Arial" w:hAnsi="Arial" w:cs="Arial"/>
              </w:rPr>
              <w:t xml:space="preserve">Close-zero steel roads were developed by POSCO by </w:t>
            </w:r>
            <w:r>
              <w:rPr>
                <w:rFonts w:ascii="Arial" w:eastAsia="Arial" w:hAnsi="Arial" w:cs="Arial"/>
              </w:rPr>
              <w:t xml:space="preserve">partnership with </w:t>
            </w:r>
            <w:proofErr w:type="spellStart"/>
            <w:r>
              <w:rPr>
                <w:rFonts w:ascii="Arial" w:eastAsia="Arial" w:hAnsi="Arial" w:cs="Arial"/>
              </w:rPr>
              <w:t>HyREX</w:t>
            </w:r>
            <w:proofErr w:type="spellEnd"/>
            <w:r>
              <w:rPr>
                <w:rFonts w:ascii="Arial" w:eastAsia="Arial" w:hAnsi="Arial" w:cs="Arial"/>
              </w:rPr>
              <w:t xml:space="preserve"> (Oct 2025) and </w:t>
            </w:r>
            <w:proofErr w:type="spellStart"/>
            <w:r>
              <w:rPr>
                <w:rFonts w:ascii="Arial" w:eastAsia="Arial" w:hAnsi="Arial" w:cs="Arial"/>
              </w:rPr>
              <w:t>NeoSmelt</w:t>
            </w:r>
            <w:proofErr w:type="spellEnd"/>
            <w:r>
              <w:rPr>
                <w:rFonts w:ascii="Arial" w:eastAsia="Arial" w:hAnsi="Arial" w:cs="Arial"/>
              </w:rPr>
              <w:t xml:space="preserve"> pilot (OCED, 2025).</w:t>
            </w:r>
          </w:p>
          <w:p w:rsidR="001815C2" w:rsidRDefault="001815C2" w:rsidP="00E46CA1">
            <w:pPr>
              <w:spacing w:after="160" w:line="240" w:lineRule="auto"/>
              <w:rPr>
                <w:rFonts w:ascii="Arial" w:eastAsia="Arial" w:hAnsi="Arial" w:cs="Arial"/>
              </w:rPr>
            </w:pPr>
          </w:p>
        </w:tc>
      </w:tr>
      <w:tr w:rsidR="001815C2" w:rsidTr="00E46CA1">
        <w:trPr>
          <w:trHeight w:val="1005"/>
        </w:trPr>
        <w:tc>
          <w:tcPr>
            <w:tcW w:w="1701" w:type="dxa"/>
            <w:shd w:val="clear" w:color="auto" w:fill="0F9ED5"/>
            <w:tcMar>
              <w:top w:w="0" w:type="dxa"/>
              <w:left w:w="100" w:type="dxa"/>
              <w:bottom w:w="0" w:type="dxa"/>
              <w:right w:w="100" w:type="dxa"/>
            </w:tcMar>
          </w:tcPr>
          <w:p w:rsidR="001815C2" w:rsidRDefault="004C2125" w:rsidP="00E46CA1">
            <w:pPr>
              <w:spacing w:after="160" w:line="240" w:lineRule="auto"/>
              <w:rPr>
                <w:rFonts w:ascii="Arial" w:eastAsia="Arial" w:hAnsi="Arial" w:cs="Arial"/>
                <w:b/>
                <w:bCs/>
                <w:color w:val="FFFFFF"/>
              </w:rPr>
            </w:pPr>
            <w:r>
              <w:rPr>
                <w:rFonts w:ascii="Arial" w:eastAsia="Arial" w:hAnsi="Arial" w:cs="Arial"/>
                <w:b/>
                <w:bCs/>
                <w:color w:val="FFFFFF"/>
              </w:rPr>
              <w:t>Diversification</w:t>
            </w:r>
          </w:p>
        </w:tc>
        <w:tc>
          <w:tcPr>
            <w:tcW w:w="3544" w:type="dxa"/>
            <w:shd w:val="clear" w:color="auto" w:fill="CAEDFB"/>
            <w:tcMar>
              <w:top w:w="0" w:type="dxa"/>
              <w:left w:w="100" w:type="dxa"/>
              <w:bottom w:w="0" w:type="dxa"/>
              <w:right w:w="100" w:type="dxa"/>
            </w:tcMar>
          </w:tcPr>
          <w:p w:rsidR="001815C2" w:rsidRDefault="004C2125" w:rsidP="00E46CA1">
            <w:pPr>
              <w:spacing w:after="160" w:line="240" w:lineRule="auto"/>
              <w:rPr>
                <w:rFonts w:ascii="Arial" w:eastAsia="Arial" w:hAnsi="Arial" w:cs="Arial"/>
              </w:rPr>
            </w:pPr>
            <w:r>
              <w:rPr>
                <w:rFonts w:ascii="Arial" w:eastAsia="Arial" w:hAnsi="Arial" w:cs="Arial"/>
              </w:rPr>
              <w:t>BHP invents really new products in new markets, which go into copper and potash.</w:t>
            </w:r>
          </w:p>
        </w:tc>
        <w:tc>
          <w:tcPr>
            <w:tcW w:w="4961" w:type="dxa"/>
            <w:shd w:val="clear" w:color="auto" w:fill="CAEDFB"/>
            <w:tcMar>
              <w:top w:w="0" w:type="dxa"/>
              <w:left w:w="100" w:type="dxa"/>
              <w:bottom w:w="0" w:type="dxa"/>
              <w:right w:w="100" w:type="dxa"/>
            </w:tcMar>
          </w:tcPr>
          <w:p w:rsidR="001815C2" w:rsidRDefault="004C2125" w:rsidP="00E46CA1">
            <w:pPr>
              <w:spacing w:after="160" w:line="240" w:lineRule="auto"/>
              <w:rPr>
                <w:rFonts w:ascii="Arial" w:eastAsia="Arial" w:hAnsi="Arial" w:cs="Arial"/>
              </w:rPr>
            </w:pPr>
            <w:r>
              <w:rPr>
                <w:rFonts w:ascii="Arial" w:eastAsia="Arial" w:hAnsi="Arial" w:cs="Arial"/>
              </w:rPr>
              <w:t xml:space="preserve">The AI data centres have the potential to consume more than 3 </w:t>
            </w:r>
            <w:proofErr w:type="spellStart"/>
            <w:r>
              <w:rPr>
                <w:rFonts w:ascii="Arial" w:eastAsia="Arial" w:hAnsi="Arial" w:cs="Arial"/>
              </w:rPr>
              <w:t>Mtpa</w:t>
            </w:r>
            <w:proofErr w:type="spellEnd"/>
            <w:r>
              <w:rPr>
                <w:rFonts w:ascii="Arial" w:eastAsia="Arial" w:hAnsi="Arial" w:cs="Arial"/>
              </w:rPr>
              <w:t xml:space="preserve"> of copper by 2050 (De L</w:t>
            </w:r>
            <w:r>
              <w:rPr>
                <w:rFonts w:ascii="Arial" w:eastAsia="Arial" w:hAnsi="Arial" w:cs="Arial"/>
              </w:rPr>
              <w:t>a Cruz, 2026).</w:t>
            </w:r>
          </w:p>
        </w:tc>
      </w:tr>
    </w:tbl>
    <w:p w:rsidR="001815C2" w:rsidRDefault="004C2125">
      <w:pPr>
        <w:pStyle w:val="Heading2"/>
        <w:keepNext w:val="0"/>
        <w:keepLines w:val="0"/>
        <w:spacing w:before="240" w:after="40"/>
        <w:rPr>
          <w:rFonts w:ascii="Arial" w:eastAsia="Arial" w:hAnsi="Arial" w:cs="Arial"/>
        </w:rPr>
      </w:pPr>
      <w:bookmarkStart w:id="17" w:name="_Toc16497"/>
      <w:r>
        <w:rPr>
          <w:rFonts w:ascii="Arial" w:eastAsia="Arial" w:hAnsi="Arial" w:cs="Arial"/>
        </w:rPr>
        <w:lastRenderedPageBreak/>
        <w:t xml:space="preserve">2.3 Recommended </w:t>
      </w:r>
      <w:proofErr w:type="spellStart"/>
      <w:r>
        <w:rPr>
          <w:rFonts w:ascii="Arial" w:eastAsia="Arial" w:hAnsi="Arial" w:cs="Arial"/>
        </w:rPr>
        <w:t>Ansoff</w:t>
      </w:r>
      <w:proofErr w:type="spellEnd"/>
      <w:r>
        <w:rPr>
          <w:rFonts w:ascii="Arial" w:eastAsia="Arial" w:hAnsi="Arial" w:cs="Arial"/>
        </w:rPr>
        <w:t xml:space="preserve"> Growth Approach</w:t>
      </w:r>
      <w:bookmarkEnd w:id="17"/>
    </w:p>
    <w:p w:rsidR="001815C2" w:rsidRDefault="004C2125">
      <w:pPr>
        <w:spacing w:before="240" w:after="240"/>
        <w:rPr>
          <w:rFonts w:ascii="Arial" w:eastAsia="Arial" w:hAnsi="Arial" w:cs="Arial"/>
        </w:rPr>
      </w:pPr>
      <w:r>
        <w:rPr>
          <w:rFonts w:ascii="Arial" w:eastAsia="Arial" w:hAnsi="Arial" w:cs="Arial"/>
        </w:rPr>
        <w:t>The most secure and least risky strategy of BHP is a combination of Product Development and Market Development. Product Development addresses the origin of approximately 85% of BHP emissions - customer processing - through co-development of near-zero steel</w:t>
      </w:r>
      <w:r>
        <w:rPr>
          <w:rFonts w:ascii="Arial" w:eastAsia="Arial" w:hAnsi="Arial" w:cs="Arial"/>
        </w:rPr>
        <w:t xml:space="preserve"> making inputs. BHP operates 48 social partners, such as nine steelmakers (approximately 20% of the world steel output) and made an investment of $140 million in steel decarbonisation during the FY2020-24 (BHP Group, 2026c). </w:t>
      </w:r>
    </w:p>
    <w:p w:rsidR="001815C2" w:rsidRDefault="004C2125">
      <w:pPr>
        <w:spacing w:before="240" w:after="240"/>
        <w:jc w:val="center"/>
        <w:rPr>
          <w:rFonts w:ascii="Arial" w:eastAsia="Arial" w:hAnsi="Arial" w:cs="Arial"/>
        </w:rPr>
      </w:pPr>
      <w:r>
        <w:rPr>
          <w:rFonts w:ascii="Arial" w:eastAsia="Arial" w:hAnsi="Arial" w:cs="Arial"/>
          <w:noProof/>
          <w:lang w:val="en-US" w:eastAsia="en-US" w:bidi="gu-IN"/>
        </w:rPr>
        <w:drawing>
          <wp:inline distT="114300" distB="114300" distL="114300" distR="114300">
            <wp:extent cx="5730875" cy="2603500"/>
            <wp:effectExtent l="25400" t="25400" r="25400" b="25400"/>
            <wp:docPr id="47" name="image9.png"/>
            <wp:cNvGraphicFramePr/>
            <a:graphic xmlns:a="http://schemas.openxmlformats.org/drawingml/2006/main">
              <a:graphicData uri="http://schemas.openxmlformats.org/drawingml/2006/picture">
                <pic:pic xmlns:pic="http://schemas.openxmlformats.org/drawingml/2006/picture">
                  <pic:nvPicPr>
                    <pic:cNvPr id="47" name="image9.png"/>
                    <pic:cNvPicPr preferRelativeResize="0"/>
                  </pic:nvPicPr>
                  <pic:blipFill>
                    <a:blip r:embed="rId23"/>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rsidR="001815C2" w:rsidRDefault="004C2125">
      <w:pPr>
        <w:spacing w:before="240" w:after="240"/>
        <w:jc w:val="center"/>
        <w:rPr>
          <w:rFonts w:ascii="Arial" w:eastAsia="Arial" w:hAnsi="Arial" w:cs="Arial"/>
          <w:b/>
          <w:bCs/>
        </w:rPr>
      </w:pPr>
      <w:r>
        <w:rPr>
          <w:rFonts w:ascii="Arial" w:eastAsia="Arial" w:hAnsi="Arial" w:cs="Arial"/>
          <w:b/>
          <w:bCs/>
        </w:rPr>
        <w:t xml:space="preserve">Figure 11: Total EU imports </w:t>
      </w:r>
      <w:r>
        <w:rPr>
          <w:rFonts w:ascii="Arial" w:eastAsia="Arial" w:hAnsi="Arial" w:cs="Arial"/>
          <w:b/>
          <w:bCs/>
        </w:rPr>
        <w:t>of CBAM goods</w:t>
      </w:r>
    </w:p>
    <w:p w:rsidR="001815C2" w:rsidRDefault="004C2125">
      <w:pPr>
        <w:spacing w:before="240" w:after="240"/>
        <w:jc w:val="center"/>
        <w:rPr>
          <w:rFonts w:ascii="Arial" w:eastAsia="Arial" w:hAnsi="Arial" w:cs="Arial"/>
        </w:rPr>
      </w:pPr>
      <w:r>
        <w:rPr>
          <w:rFonts w:ascii="Arial" w:eastAsia="Arial" w:hAnsi="Arial" w:cs="Arial"/>
        </w:rPr>
        <w:t>(Source: Riddell and Bonnet, 2026)</w:t>
      </w:r>
    </w:p>
    <w:p w:rsidR="001815C2" w:rsidRDefault="004C2125">
      <w:pPr>
        <w:spacing w:before="240" w:after="240"/>
        <w:rPr>
          <w:rFonts w:ascii="Arial" w:eastAsia="Arial" w:hAnsi="Arial" w:cs="Arial"/>
        </w:rPr>
      </w:pPr>
      <w:r>
        <w:rPr>
          <w:rFonts w:ascii="Arial" w:eastAsia="Arial" w:hAnsi="Arial" w:cs="Arial"/>
        </w:rPr>
        <w:t xml:space="preserve">The </w:t>
      </w:r>
      <w:proofErr w:type="spellStart"/>
      <w:r>
        <w:rPr>
          <w:rFonts w:ascii="Arial" w:eastAsia="Arial" w:hAnsi="Arial" w:cs="Arial"/>
        </w:rPr>
        <w:t>HyREX</w:t>
      </w:r>
      <w:proofErr w:type="spellEnd"/>
      <w:r>
        <w:rPr>
          <w:rFonts w:ascii="Arial" w:eastAsia="Arial" w:hAnsi="Arial" w:cs="Arial"/>
        </w:rPr>
        <w:t xml:space="preserve"> and the pilot </w:t>
      </w:r>
      <w:proofErr w:type="spellStart"/>
      <w:r>
        <w:rPr>
          <w:rFonts w:ascii="Arial" w:eastAsia="Arial" w:hAnsi="Arial" w:cs="Arial"/>
        </w:rPr>
        <w:t>NeoSmelt</w:t>
      </w:r>
      <w:proofErr w:type="spellEnd"/>
      <w:r>
        <w:rPr>
          <w:rFonts w:ascii="Arial" w:eastAsia="Arial" w:hAnsi="Arial" w:cs="Arial"/>
        </w:rPr>
        <w:t xml:space="preserve"> both use Pilbara ore to develop a lower-carbon product route (BHP, 2026). This is complemented by Market Development, which diverts higher-grade, cleaner-processing ore to th</w:t>
      </w:r>
      <w:r>
        <w:rPr>
          <w:rFonts w:ascii="Arial" w:eastAsia="Arial" w:hAnsi="Arial" w:cs="Arial"/>
        </w:rPr>
        <w:t xml:space="preserve">e fastest-growing segment direct-reduced-iron-ready steelmakers because the CBAM (definitive phase as of January 2026) of the EU and the steel emissions trading scheme of China reward lower-carbon inputs (Riddell and Bonnet, 2026). </w:t>
      </w:r>
    </w:p>
    <w:p w:rsidR="001815C2" w:rsidRDefault="004C2125">
      <w:pPr>
        <w:spacing w:before="240" w:after="240"/>
        <w:jc w:val="center"/>
        <w:rPr>
          <w:rFonts w:ascii="Arial" w:eastAsia="Arial" w:hAnsi="Arial" w:cs="Arial"/>
        </w:rPr>
      </w:pPr>
      <w:r>
        <w:rPr>
          <w:rFonts w:ascii="Arial" w:eastAsia="Arial" w:hAnsi="Arial" w:cs="Arial"/>
          <w:noProof/>
          <w:lang w:val="en-US" w:eastAsia="en-US" w:bidi="gu-IN"/>
        </w:rPr>
        <w:lastRenderedPageBreak/>
        <w:drawing>
          <wp:inline distT="114300" distB="114300" distL="114300" distR="114300">
            <wp:extent cx="5730875" cy="2933700"/>
            <wp:effectExtent l="25400" t="25400" r="25400" b="25400"/>
            <wp:docPr id="48" name="image8.png"/>
            <wp:cNvGraphicFramePr/>
            <a:graphic xmlns:a="http://schemas.openxmlformats.org/drawingml/2006/main">
              <a:graphicData uri="http://schemas.openxmlformats.org/drawingml/2006/picture">
                <pic:pic xmlns:pic="http://schemas.openxmlformats.org/drawingml/2006/picture">
                  <pic:nvPicPr>
                    <pic:cNvPr id="48" name="image8.png"/>
                    <pic:cNvPicPr preferRelativeResize="0"/>
                  </pic:nvPicPr>
                  <pic:blipFill>
                    <a:blip r:embed="rId24"/>
                    <a:srcRect/>
                    <a:stretch>
                      <a:fillRect/>
                    </a:stretch>
                  </pic:blipFill>
                  <pic:spPr>
                    <a:xfrm>
                      <a:off x="0" y="0"/>
                      <a:ext cx="5731200" cy="2933700"/>
                    </a:xfrm>
                    <a:prstGeom prst="rect">
                      <a:avLst/>
                    </a:prstGeom>
                    <a:ln w="25400">
                      <a:solidFill>
                        <a:srgbClr val="000000"/>
                      </a:solidFill>
                      <a:prstDash val="solid"/>
                    </a:ln>
                  </pic:spPr>
                </pic:pic>
              </a:graphicData>
            </a:graphic>
          </wp:inline>
        </w:drawing>
      </w:r>
    </w:p>
    <w:p w:rsidR="001815C2" w:rsidRDefault="004C2125">
      <w:pPr>
        <w:spacing w:before="240" w:after="240"/>
        <w:jc w:val="center"/>
        <w:rPr>
          <w:rFonts w:ascii="Arial" w:eastAsia="Arial" w:hAnsi="Arial" w:cs="Arial"/>
          <w:b/>
          <w:bCs/>
        </w:rPr>
      </w:pPr>
      <w:r>
        <w:rPr>
          <w:rFonts w:ascii="Arial" w:eastAsia="Arial" w:hAnsi="Arial" w:cs="Arial"/>
          <w:b/>
          <w:bCs/>
        </w:rPr>
        <w:t>Figure 12: Potash Pri</w:t>
      </w:r>
      <w:r>
        <w:rPr>
          <w:rFonts w:ascii="Arial" w:eastAsia="Arial" w:hAnsi="Arial" w:cs="Arial"/>
          <w:b/>
          <w:bCs/>
        </w:rPr>
        <w:t>ces</w:t>
      </w:r>
    </w:p>
    <w:p w:rsidR="001815C2" w:rsidRDefault="004C2125">
      <w:pPr>
        <w:spacing w:before="240" w:after="240"/>
        <w:jc w:val="center"/>
        <w:rPr>
          <w:rFonts w:ascii="Arial" w:eastAsia="Arial" w:hAnsi="Arial" w:cs="Arial"/>
        </w:rPr>
      </w:pPr>
      <w:r>
        <w:rPr>
          <w:rFonts w:ascii="Arial" w:eastAsia="Arial" w:hAnsi="Arial" w:cs="Arial"/>
        </w:rPr>
        <w:t>(Source: BHP, 2026a)</w:t>
      </w:r>
    </w:p>
    <w:p w:rsidR="001815C2" w:rsidRDefault="004C2125">
      <w:pPr>
        <w:spacing w:before="240" w:after="240"/>
        <w:rPr>
          <w:rFonts w:ascii="Arial" w:eastAsia="Arial" w:hAnsi="Arial" w:cs="Arial"/>
        </w:rPr>
      </w:pPr>
      <w:r>
        <w:rPr>
          <w:rFonts w:ascii="Arial" w:eastAsia="Arial" w:hAnsi="Arial" w:cs="Arial"/>
        </w:rPr>
        <w:t xml:space="preserve">Both copper and Jansen potash projects can expand the energy-transition and sustainable- agriculture markets with proven BHP expertise. This alignment makes growth directly correlated to the demand of decarbonisation without </w:t>
      </w:r>
      <w:r>
        <w:rPr>
          <w:rFonts w:ascii="Arial" w:eastAsia="Arial" w:hAnsi="Arial" w:cs="Arial"/>
        </w:rPr>
        <w:t xml:space="preserve">running the risk of full diversification. Pure Market penetration is inadequate, as the demand of standard grade Pilbara ore has structurally hit its peak, and the supply of high-grade </w:t>
      </w:r>
      <w:proofErr w:type="spellStart"/>
      <w:r>
        <w:rPr>
          <w:rFonts w:ascii="Arial" w:eastAsia="Arial" w:hAnsi="Arial" w:cs="Arial"/>
        </w:rPr>
        <w:t>Simandou</w:t>
      </w:r>
      <w:proofErr w:type="spellEnd"/>
      <w:r>
        <w:rPr>
          <w:rFonts w:ascii="Arial" w:eastAsia="Arial" w:hAnsi="Arial" w:cs="Arial"/>
        </w:rPr>
        <w:t xml:space="preserve"> competes now with the same customers (BHP, 2026a).</w:t>
      </w:r>
    </w:p>
    <w:p w:rsidR="001815C2" w:rsidRDefault="004C2125">
      <w:pPr>
        <w:pStyle w:val="Heading2"/>
        <w:keepNext w:val="0"/>
        <w:keepLines w:val="0"/>
        <w:spacing w:before="240" w:after="40"/>
        <w:rPr>
          <w:rFonts w:ascii="Arial" w:eastAsia="Arial" w:hAnsi="Arial" w:cs="Arial"/>
        </w:rPr>
      </w:pPr>
      <w:bookmarkStart w:id="18" w:name="_Toc18557"/>
      <w:r>
        <w:rPr>
          <w:rFonts w:ascii="Arial" w:eastAsia="Arial" w:hAnsi="Arial" w:cs="Arial"/>
        </w:rPr>
        <w:t>2.4 Buildin</w:t>
      </w:r>
      <w:r>
        <w:rPr>
          <w:rFonts w:ascii="Arial" w:eastAsia="Arial" w:hAnsi="Arial" w:cs="Arial"/>
        </w:rPr>
        <w:t xml:space="preserve">g Competitive Advantage </w:t>
      </w:r>
      <w:proofErr w:type="gramStart"/>
      <w:r>
        <w:rPr>
          <w:rFonts w:ascii="Arial" w:eastAsia="Arial" w:hAnsi="Arial" w:cs="Arial"/>
        </w:rPr>
        <w:t>Through</w:t>
      </w:r>
      <w:proofErr w:type="gramEnd"/>
      <w:r>
        <w:rPr>
          <w:rFonts w:ascii="Arial" w:eastAsia="Arial" w:hAnsi="Arial" w:cs="Arial"/>
        </w:rPr>
        <w:t xml:space="preserve"> Lower-Carbon Products (Porter’s Generic Forces)</w:t>
      </w:r>
      <w:bookmarkEnd w:id="18"/>
    </w:p>
    <w:p w:rsidR="001815C2" w:rsidRDefault="004C2125">
      <w:pPr>
        <w:spacing w:before="240" w:after="240"/>
        <w:rPr>
          <w:rFonts w:ascii="Arial" w:eastAsia="Arial" w:hAnsi="Arial" w:cs="Arial"/>
        </w:rPr>
      </w:pPr>
      <w:r>
        <w:rPr>
          <w:rFonts w:ascii="Arial" w:eastAsia="Arial" w:hAnsi="Arial" w:cs="Arial"/>
          <w:b/>
          <w:bCs/>
        </w:rPr>
        <w:t>Differentiation</w:t>
      </w:r>
      <w:r>
        <w:rPr>
          <w:rFonts w:ascii="Arial" w:eastAsia="Arial" w:hAnsi="Arial" w:cs="Arial"/>
        </w:rPr>
        <w:t>: Use of higher-grade, green-enabling products should replace bulk-commodity pricing as the spread of carbon-border pricing allows BHP to compete not only on vol</w:t>
      </w:r>
      <w:r>
        <w:rPr>
          <w:rFonts w:ascii="Arial" w:eastAsia="Arial" w:hAnsi="Arial" w:cs="Arial"/>
        </w:rPr>
        <w:t>ume basis in the market.</w:t>
      </w:r>
    </w:p>
    <w:p w:rsidR="001815C2" w:rsidRDefault="004C2125">
      <w:pPr>
        <w:spacing w:before="240" w:after="240"/>
        <w:rPr>
          <w:rFonts w:ascii="Arial" w:eastAsia="Arial" w:hAnsi="Arial" w:cs="Arial"/>
        </w:rPr>
      </w:pPr>
      <w:r>
        <w:rPr>
          <w:rFonts w:ascii="Arial" w:eastAsia="Arial" w:hAnsi="Arial" w:cs="Arial"/>
          <w:b/>
          <w:bCs/>
        </w:rPr>
        <w:t>Innovation and technology</w:t>
      </w:r>
      <w:r>
        <w:rPr>
          <w:rFonts w:ascii="Arial" w:eastAsia="Arial" w:hAnsi="Arial" w:cs="Arial"/>
        </w:rPr>
        <w:t>: BHP Ventures makes investments in Boston Metal and Electra and the discovery of five potential CCUS hub locations around the Asia-Pacific in April 2026, creates a decarbonisation pipeline that competitors</w:t>
      </w:r>
      <w:r>
        <w:rPr>
          <w:rFonts w:ascii="Arial" w:eastAsia="Arial" w:hAnsi="Arial" w:cs="Arial"/>
        </w:rPr>
        <w:t xml:space="preserve"> cannot easily duplicate (Cox, 2026).</w:t>
      </w:r>
    </w:p>
    <w:p w:rsidR="001815C2" w:rsidRDefault="004C2125">
      <w:pPr>
        <w:spacing w:before="240" w:after="240"/>
        <w:rPr>
          <w:rFonts w:ascii="Arial" w:eastAsia="Arial" w:hAnsi="Arial" w:cs="Arial"/>
        </w:rPr>
      </w:pPr>
      <w:r>
        <w:rPr>
          <w:rFonts w:ascii="Arial" w:eastAsia="Arial" w:hAnsi="Arial" w:cs="Arial"/>
          <w:b/>
          <w:bCs/>
        </w:rPr>
        <w:lastRenderedPageBreak/>
        <w:t>Operational efficiency</w:t>
      </w:r>
      <w:r>
        <w:rPr>
          <w:rFonts w:ascii="Arial" w:eastAsia="Arial" w:hAnsi="Arial" w:cs="Arial"/>
        </w:rPr>
        <w:t xml:space="preserve">: BHP achieved unit-cost targets on all its large assets throughout FY2026 despite inflation and rising diesel prices, maintaining sector-leading margins (5.8% in H1 FY2026). Decarbonisation is </w:t>
      </w:r>
      <w:r>
        <w:rPr>
          <w:rFonts w:ascii="Arial" w:eastAsia="Arial" w:hAnsi="Arial" w:cs="Arial"/>
        </w:rPr>
        <w:t>low cost, and returns are not eroded (Barman, 2026).</w:t>
      </w:r>
    </w:p>
    <w:p w:rsidR="001815C2" w:rsidRDefault="004C2125">
      <w:pPr>
        <w:spacing w:before="240" w:after="240"/>
        <w:rPr>
          <w:rFonts w:ascii="Arial" w:eastAsia="Arial" w:hAnsi="Arial" w:cs="Arial"/>
        </w:rPr>
      </w:pPr>
      <w:r>
        <w:rPr>
          <w:rFonts w:ascii="Arial" w:eastAsia="Arial" w:hAnsi="Arial" w:cs="Arial"/>
          <w:b/>
          <w:bCs/>
        </w:rPr>
        <w:t>Sustainable supply chains</w:t>
      </w:r>
      <w:r>
        <w:rPr>
          <w:rFonts w:ascii="Arial" w:eastAsia="Arial" w:hAnsi="Arial" w:cs="Arial"/>
        </w:rPr>
        <w:t>: Aiming to prioritize its 500 largest suppliers and aiming to achieve net-zero goals in supplier and shipping helps reduce Scope 3 emissions and enhance ESGs.</w:t>
      </w:r>
    </w:p>
    <w:p w:rsidR="001815C2" w:rsidRDefault="004C2125">
      <w:pPr>
        <w:spacing w:before="240" w:after="240"/>
        <w:rPr>
          <w:rFonts w:ascii="Arial" w:eastAsia="Arial" w:hAnsi="Arial" w:cs="Arial"/>
        </w:rPr>
      </w:pPr>
      <w:r>
        <w:rPr>
          <w:rFonts w:ascii="Arial" w:eastAsia="Arial" w:hAnsi="Arial" w:cs="Arial"/>
          <w:b/>
          <w:bCs/>
        </w:rPr>
        <w:t>Customer partnersh</w:t>
      </w:r>
      <w:r>
        <w:rPr>
          <w:rFonts w:ascii="Arial" w:eastAsia="Arial" w:hAnsi="Arial" w:cs="Arial"/>
          <w:b/>
          <w:bCs/>
        </w:rPr>
        <w:t>ips</w:t>
      </w:r>
      <w:r>
        <w:rPr>
          <w:rFonts w:ascii="Arial" w:eastAsia="Arial" w:hAnsi="Arial" w:cs="Arial"/>
        </w:rPr>
        <w:t xml:space="preserve">: BHP Co-investment with </w:t>
      </w:r>
      <w:proofErr w:type="spellStart"/>
      <w:r>
        <w:rPr>
          <w:rFonts w:ascii="Arial" w:eastAsia="Arial" w:hAnsi="Arial" w:cs="Arial"/>
        </w:rPr>
        <w:t>ArcelorMittal</w:t>
      </w:r>
      <w:proofErr w:type="spellEnd"/>
      <w:r>
        <w:rPr>
          <w:rFonts w:ascii="Arial" w:eastAsia="Arial" w:hAnsi="Arial" w:cs="Arial"/>
        </w:rPr>
        <w:t xml:space="preserve">, China </w:t>
      </w:r>
      <w:proofErr w:type="spellStart"/>
      <w:r>
        <w:rPr>
          <w:rFonts w:ascii="Arial" w:eastAsia="Arial" w:hAnsi="Arial" w:cs="Arial"/>
        </w:rPr>
        <w:t>Baowu</w:t>
      </w:r>
      <w:proofErr w:type="spellEnd"/>
      <w:r>
        <w:rPr>
          <w:rFonts w:ascii="Arial" w:eastAsia="Arial" w:hAnsi="Arial" w:cs="Arial"/>
        </w:rPr>
        <w:t xml:space="preserve">, JFE, HBIS, POSCO and JSW (embeds) BHP in the net-zero roadmap of customers makes switching more difficult and harder to secure </w:t>
      </w:r>
      <w:proofErr w:type="spellStart"/>
      <w:r>
        <w:rPr>
          <w:rFonts w:ascii="Arial" w:eastAsia="Arial" w:hAnsi="Arial" w:cs="Arial"/>
        </w:rPr>
        <w:t>offtake</w:t>
      </w:r>
      <w:proofErr w:type="spellEnd"/>
      <w:r>
        <w:rPr>
          <w:rFonts w:ascii="Arial" w:eastAsia="Arial" w:hAnsi="Arial" w:cs="Arial"/>
        </w:rPr>
        <w:t xml:space="preserve"> (BHP, 2026a).</w:t>
      </w:r>
    </w:p>
    <w:p w:rsidR="001815C2" w:rsidRDefault="004C2125">
      <w:pPr>
        <w:spacing w:before="240" w:after="240"/>
        <w:rPr>
          <w:rFonts w:ascii="Arial" w:eastAsia="Arial" w:hAnsi="Arial" w:cs="Arial"/>
        </w:rPr>
      </w:pPr>
      <w:r>
        <w:rPr>
          <w:rFonts w:ascii="Arial" w:eastAsia="Arial" w:hAnsi="Arial" w:cs="Arial"/>
          <w:b/>
          <w:bCs/>
        </w:rPr>
        <w:t>Corporate reputation and stakeholder trust</w:t>
      </w:r>
      <w:r>
        <w:rPr>
          <w:rFonts w:ascii="Arial" w:eastAsia="Arial" w:hAnsi="Arial" w:cs="Arial"/>
        </w:rPr>
        <w:t>: More in</w:t>
      </w:r>
      <w:r>
        <w:rPr>
          <w:rFonts w:ascii="Arial" w:eastAsia="Arial" w:hAnsi="Arial" w:cs="Arial"/>
        </w:rPr>
        <w:t xml:space="preserve"> line with the 6270% 2035 Australian target and compulsory climate reporting enhances integrity in its encounters with regulators, investors and communities, safeguarding the BHP licence to operate.</w:t>
      </w:r>
    </w:p>
    <w:p w:rsidR="001815C2" w:rsidRPr="00E46CA1" w:rsidRDefault="004C2125">
      <w:pPr>
        <w:spacing w:before="240" w:after="240"/>
        <w:rPr>
          <w:rFonts w:ascii="Arial" w:eastAsia="Arial" w:hAnsi="Arial" w:cs="Arial"/>
        </w:rPr>
      </w:pPr>
      <w:r w:rsidRPr="00E46CA1">
        <w:rPr>
          <w:rFonts w:ascii="Arial" w:eastAsia="Arial" w:hAnsi="Arial" w:cs="Arial"/>
          <w:b/>
          <w:bCs/>
        </w:rPr>
        <w:t>Implementation and Critical Insight:</w:t>
      </w:r>
      <w:r w:rsidRPr="00E46CA1">
        <w:rPr>
          <w:rFonts w:ascii="Arial" w:eastAsia="Arial" w:hAnsi="Arial" w:cs="Arial"/>
        </w:rPr>
        <w:t xml:space="preserve"> </w:t>
      </w:r>
      <w:proofErr w:type="spellStart"/>
      <w:r w:rsidRPr="00E46CA1">
        <w:rPr>
          <w:rFonts w:ascii="Arial" w:eastAsia="Arial" w:hAnsi="Arial" w:cs="Arial"/>
        </w:rPr>
        <w:t>Ansoff</w:t>
      </w:r>
      <w:proofErr w:type="spellEnd"/>
      <w:r w:rsidRPr="00E46CA1">
        <w:rPr>
          <w:rFonts w:ascii="Arial" w:eastAsia="Arial" w:hAnsi="Arial" w:cs="Arial"/>
        </w:rPr>
        <w:t xml:space="preserve"> and Porter Us</w:t>
      </w:r>
      <w:r w:rsidRPr="00E46CA1">
        <w:rPr>
          <w:rFonts w:ascii="Arial" w:eastAsia="Arial" w:hAnsi="Arial" w:cs="Arial"/>
        </w:rPr>
        <w:t xml:space="preserve">ed </w:t>
      </w:r>
      <w:proofErr w:type="gramStart"/>
      <w:r w:rsidRPr="00E46CA1">
        <w:rPr>
          <w:rFonts w:ascii="Arial" w:eastAsia="Arial" w:hAnsi="Arial" w:cs="Arial"/>
        </w:rPr>
        <w:t>Per</w:t>
      </w:r>
      <w:proofErr w:type="gramEnd"/>
      <w:r w:rsidRPr="00E46CA1">
        <w:rPr>
          <w:rFonts w:ascii="Arial" w:eastAsia="Arial" w:hAnsi="Arial" w:cs="Arial"/>
        </w:rPr>
        <w:t xml:space="preserve"> </w:t>
      </w:r>
      <w:proofErr w:type="spellStart"/>
      <w:r w:rsidRPr="00E46CA1">
        <w:rPr>
          <w:rFonts w:ascii="Arial" w:eastAsia="Arial" w:hAnsi="Arial" w:cs="Arial"/>
        </w:rPr>
        <w:t>Ansoff</w:t>
      </w:r>
      <w:proofErr w:type="spellEnd"/>
      <w:r w:rsidRPr="00E46CA1">
        <w:rPr>
          <w:rFonts w:ascii="Arial" w:eastAsia="Arial" w:hAnsi="Arial" w:cs="Arial"/>
        </w:rPr>
        <w:t xml:space="preserve"> and Porter are prescriptive, not descriptive together. </w:t>
      </w:r>
      <w:proofErr w:type="spellStart"/>
      <w:r w:rsidRPr="00E46CA1">
        <w:rPr>
          <w:rFonts w:ascii="Arial" w:eastAsia="Arial" w:hAnsi="Arial" w:cs="Arial"/>
        </w:rPr>
        <w:t>Ansoff</w:t>
      </w:r>
      <w:proofErr w:type="spellEnd"/>
      <w:r w:rsidRPr="00E46CA1">
        <w:rPr>
          <w:rFonts w:ascii="Arial" w:eastAsia="Arial" w:hAnsi="Arial" w:cs="Arial"/>
        </w:rPr>
        <w:t xml:space="preserve"> concentrations BHP must concentrate where it must develop (Product and Market Development around decarbonisation); Porter concentrates how that development is maintained (grade dif</w:t>
      </w:r>
      <w:r w:rsidRPr="00E46CA1">
        <w:rPr>
          <w:rFonts w:ascii="Arial" w:eastAsia="Arial" w:hAnsi="Arial" w:cs="Arial"/>
        </w:rPr>
        <w:t xml:space="preserve">ferentiation, customer lock-in and a hard-to-replicate CCUS/innovation pipeline). Implementation turns on three moves: ring-fencing part of BHP’s US$11 billion annual growth programme for </w:t>
      </w:r>
      <w:proofErr w:type="spellStart"/>
      <w:r w:rsidRPr="00E46CA1">
        <w:rPr>
          <w:rFonts w:ascii="Arial" w:eastAsia="Arial" w:hAnsi="Arial" w:cs="Arial"/>
        </w:rPr>
        <w:t>HyREX</w:t>
      </w:r>
      <w:proofErr w:type="spellEnd"/>
      <w:r w:rsidRPr="00E46CA1">
        <w:rPr>
          <w:rFonts w:ascii="Arial" w:eastAsia="Arial" w:hAnsi="Arial" w:cs="Arial"/>
        </w:rPr>
        <w:t xml:space="preserve">, </w:t>
      </w:r>
      <w:proofErr w:type="spellStart"/>
      <w:r w:rsidRPr="00E46CA1">
        <w:rPr>
          <w:rFonts w:ascii="Arial" w:eastAsia="Arial" w:hAnsi="Arial" w:cs="Arial"/>
        </w:rPr>
        <w:t>NeoSmelt</w:t>
      </w:r>
      <w:proofErr w:type="spellEnd"/>
      <w:r w:rsidRPr="00E46CA1">
        <w:rPr>
          <w:rFonts w:ascii="Arial" w:eastAsia="Arial" w:hAnsi="Arial" w:cs="Arial"/>
        </w:rPr>
        <w:t xml:space="preserve"> and Jansen scale-up (BHP Group, 2026a); embedding sw</w:t>
      </w:r>
      <w:r w:rsidRPr="00E46CA1">
        <w:rPr>
          <w:rFonts w:ascii="Arial" w:eastAsia="Arial" w:hAnsi="Arial" w:cs="Arial"/>
        </w:rPr>
        <w:t xml:space="preserve">itching costs into </w:t>
      </w:r>
      <w:proofErr w:type="spellStart"/>
      <w:r w:rsidRPr="00E46CA1">
        <w:rPr>
          <w:rFonts w:ascii="Arial" w:eastAsia="Arial" w:hAnsi="Arial" w:cs="Arial"/>
        </w:rPr>
        <w:t>offtake</w:t>
      </w:r>
      <w:proofErr w:type="spellEnd"/>
      <w:r w:rsidRPr="00E46CA1">
        <w:rPr>
          <w:rFonts w:ascii="Arial" w:eastAsia="Arial" w:hAnsi="Arial" w:cs="Arial"/>
        </w:rPr>
        <w:t xml:space="preserve"> through customer co-investment such as the renewed five-year </w:t>
      </w:r>
      <w:proofErr w:type="spellStart"/>
      <w:r w:rsidRPr="00E46CA1">
        <w:rPr>
          <w:rFonts w:ascii="Arial" w:eastAsia="Arial" w:hAnsi="Arial" w:cs="Arial"/>
        </w:rPr>
        <w:t>Baowu</w:t>
      </w:r>
      <w:proofErr w:type="spellEnd"/>
      <w:r w:rsidRPr="00E46CA1">
        <w:rPr>
          <w:rFonts w:ascii="Arial" w:eastAsia="Arial" w:hAnsi="Arial" w:cs="Arial"/>
        </w:rPr>
        <w:t xml:space="preserve"> partnership and the POSCO </w:t>
      </w:r>
      <w:proofErr w:type="spellStart"/>
      <w:r w:rsidRPr="00E46CA1">
        <w:rPr>
          <w:rFonts w:ascii="Arial" w:eastAsia="Arial" w:hAnsi="Arial" w:cs="Arial"/>
        </w:rPr>
        <w:t>HyREX</w:t>
      </w:r>
      <w:proofErr w:type="spellEnd"/>
      <w:r w:rsidRPr="00E46CA1">
        <w:rPr>
          <w:rFonts w:ascii="Arial" w:eastAsia="Arial" w:hAnsi="Arial" w:cs="Arial"/>
        </w:rPr>
        <w:t xml:space="preserve"> pilot (</w:t>
      </w:r>
      <w:proofErr w:type="spellStart"/>
      <w:r w:rsidRPr="00E46CA1">
        <w:rPr>
          <w:rFonts w:ascii="Arial" w:eastAsia="Arial" w:hAnsi="Arial" w:cs="Arial"/>
        </w:rPr>
        <w:t>Elif</w:t>
      </w:r>
      <w:proofErr w:type="spellEnd"/>
      <w:r w:rsidRPr="00E46CA1">
        <w:rPr>
          <w:rFonts w:ascii="Arial" w:eastAsia="Arial" w:hAnsi="Arial" w:cs="Arial"/>
        </w:rPr>
        <w:t xml:space="preserve"> </w:t>
      </w:r>
      <w:proofErr w:type="spellStart"/>
      <w:r w:rsidRPr="00E46CA1">
        <w:rPr>
          <w:rFonts w:ascii="Arial" w:eastAsia="Arial" w:hAnsi="Arial" w:cs="Arial"/>
        </w:rPr>
        <w:t>Kefeli</w:t>
      </w:r>
      <w:proofErr w:type="spellEnd"/>
      <w:r w:rsidRPr="00E46CA1">
        <w:rPr>
          <w:rFonts w:ascii="Arial" w:eastAsia="Arial" w:hAnsi="Arial" w:cs="Arial"/>
        </w:rPr>
        <w:t xml:space="preserve">, 2026; BHP Group, 2025a); and tying unit-cost discipline (5.8% H1 FY2026 margin edge) to carbon-intensity KPIs </w:t>
      </w:r>
      <w:r w:rsidRPr="00E46CA1">
        <w:rPr>
          <w:rFonts w:ascii="Arial" w:eastAsia="Arial" w:hAnsi="Arial" w:cs="Arial"/>
        </w:rPr>
        <w:t>so decarbonisation self-funds (Barman, 2026). Critically, both frameworks assume rational customer response to carbon pricing and stable technology trajectories, whereas BHP’s leaked internal memo signalled slowing abatement progress (</w:t>
      </w:r>
      <w:proofErr w:type="spellStart"/>
      <w:r w:rsidRPr="00E46CA1">
        <w:rPr>
          <w:rFonts w:ascii="Arial" w:eastAsia="Arial" w:hAnsi="Arial" w:cs="Arial"/>
        </w:rPr>
        <w:t>Knaus</w:t>
      </w:r>
      <w:proofErr w:type="spellEnd"/>
      <w:r w:rsidRPr="00E46CA1">
        <w:rPr>
          <w:rFonts w:ascii="Arial" w:eastAsia="Arial" w:hAnsi="Arial" w:cs="Arial"/>
        </w:rPr>
        <w:t xml:space="preserve"> and Morton, 202</w:t>
      </w:r>
      <w:r w:rsidRPr="00E46CA1">
        <w:rPr>
          <w:rFonts w:ascii="Arial" w:eastAsia="Arial" w:hAnsi="Arial" w:cs="Arial"/>
        </w:rPr>
        <w:t xml:space="preserve">6) so scenario stress-testing against delayed CBAM enforcement and </w:t>
      </w:r>
      <w:proofErr w:type="spellStart"/>
      <w:r w:rsidRPr="00E46CA1">
        <w:rPr>
          <w:rFonts w:ascii="Arial" w:eastAsia="Arial" w:hAnsi="Arial" w:cs="Arial"/>
        </w:rPr>
        <w:t>Simandou’s</w:t>
      </w:r>
      <w:proofErr w:type="spellEnd"/>
      <w:r w:rsidRPr="00E46CA1">
        <w:rPr>
          <w:rFonts w:ascii="Arial" w:eastAsia="Arial" w:hAnsi="Arial" w:cs="Arial"/>
        </w:rPr>
        <w:t xml:space="preserve"> higher-grade entry is essential before capital is firmly committed (S&amp;P Global Energy, 2026).</w:t>
      </w:r>
    </w:p>
    <w:p w:rsidR="001815C2" w:rsidRPr="00E46CA1" w:rsidRDefault="004C2125">
      <w:pPr>
        <w:pStyle w:val="Heading1"/>
        <w:rPr>
          <w:rFonts w:ascii="Arial" w:eastAsia="Arial" w:hAnsi="Arial" w:cs="Arial"/>
          <w:sz w:val="24"/>
          <w:szCs w:val="24"/>
        </w:rPr>
      </w:pPr>
      <w:bookmarkStart w:id="19" w:name="_heading=h.anvd21c9dhr6" w:colFirst="0" w:colLast="0"/>
      <w:bookmarkEnd w:id="19"/>
      <w:r w:rsidRPr="00E46CA1">
        <w:br w:type="page"/>
      </w:r>
    </w:p>
    <w:p w:rsidR="001815C2" w:rsidRDefault="004C2125">
      <w:pPr>
        <w:pStyle w:val="Heading1"/>
        <w:rPr>
          <w:rFonts w:ascii="Arial" w:eastAsia="Arial" w:hAnsi="Arial" w:cs="Arial"/>
          <w:sz w:val="24"/>
          <w:szCs w:val="24"/>
        </w:rPr>
      </w:pPr>
      <w:bookmarkStart w:id="20" w:name="_Toc15186"/>
      <w:r>
        <w:rPr>
          <w:rFonts w:ascii="Arial" w:eastAsia="Arial" w:hAnsi="Arial" w:cs="Arial"/>
          <w:sz w:val="24"/>
          <w:szCs w:val="24"/>
        </w:rPr>
        <w:lastRenderedPageBreak/>
        <w:t>Task 3: Managerial and Professional Reflection</w:t>
      </w:r>
      <w:bookmarkEnd w:id="20"/>
    </w:p>
    <w:p w:rsidR="001815C2" w:rsidRDefault="004C2125">
      <w:pPr>
        <w:pStyle w:val="Heading2"/>
        <w:keepNext w:val="0"/>
        <w:keepLines w:val="0"/>
        <w:spacing w:before="280" w:after="80"/>
        <w:rPr>
          <w:rFonts w:ascii="Arial" w:eastAsia="Arial" w:hAnsi="Arial" w:cs="Arial"/>
        </w:rPr>
      </w:pPr>
      <w:bookmarkStart w:id="21" w:name="_Toc8025"/>
      <w:r>
        <w:rPr>
          <w:rFonts w:ascii="Arial" w:eastAsia="Arial" w:hAnsi="Arial" w:cs="Arial"/>
        </w:rPr>
        <w:t>3.1 Rationale for Selecting BHP</w:t>
      </w:r>
      <w:bookmarkEnd w:id="21"/>
    </w:p>
    <w:p w:rsidR="001815C2" w:rsidRDefault="004C2125">
      <w:pPr>
        <w:rPr>
          <w:rFonts w:ascii="Arial" w:eastAsia="Arial" w:hAnsi="Arial" w:cs="Arial"/>
        </w:rPr>
      </w:pPr>
      <w:r>
        <w:rPr>
          <w:rFonts w:ascii="Arial" w:eastAsia="Arial" w:hAnsi="Arial" w:cs="Arial"/>
        </w:rPr>
        <w:t>I c</w:t>
      </w:r>
      <w:r>
        <w:rPr>
          <w:rFonts w:ascii="Arial" w:eastAsia="Arial" w:hAnsi="Arial" w:cs="Arial"/>
        </w:rPr>
        <w:t>hose BHP since its size and international importance could serve as an interesting point of view of the shift in the sector. Being one of the largest diversified miners in the world and under intense decarbonisation pressures, on both its value chain and b</w:t>
      </w:r>
      <w:r>
        <w:rPr>
          <w:rFonts w:ascii="Arial" w:eastAsia="Arial" w:hAnsi="Arial" w:cs="Arial"/>
        </w:rPr>
        <w:t>ecause of its central role in iron ore, coal and copper, it is both in the middle of the metals and mining transition, and analytically rich (</w:t>
      </w:r>
      <w:proofErr w:type="spellStart"/>
      <w:r>
        <w:rPr>
          <w:rFonts w:ascii="Arial" w:eastAsia="Arial" w:hAnsi="Arial" w:cs="Arial"/>
        </w:rPr>
        <w:t>TradingView</w:t>
      </w:r>
      <w:proofErr w:type="spellEnd"/>
      <w:r>
        <w:rPr>
          <w:rFonts w:ascii="Arial" w:eastAsia="Arial" w:hAnsi="Arial" w:cs="Arial"/>
        </w:rPr>
        <w:t>, 2025).</w:t>
      </w:r>
    </w:p>
    <w:p w:rsidR="001815C2" w:rsidRPr="00E46CA1" w:rsidRDefault="004C2125">
      <w:pPr>
        <w:pStyle w:val="Heading2"/>
        <w:keepNext w:val="0"/>
        <w:keepLines w:val="0"/>
        <w:spacing w:before="280" w:after="80"/>
        <w:rPr>
          <w:rFonts w:ascii="Arial" w:eastAsia="Arial" w:hAnsi="Arial" w:cs="Arial"/>
        </w:rPr>
      </w:pPr>
      <w:bookmarkStart w:id="22" w:name="_Toc25954"/>
      <w:r w:rsidRPr="00E46CA1">
        <w:rPr>
          <w:rFonts w:ascii="Arial" w:eastAsia="Arial" w:hAnsi="Arial" w:cs="Arial"/>
        </w:rPr>
        <w:t>3.2 Rationale for Selecting the Three Macro-Environmental Actors</w:t>
      </w:r>
      <w:bookmarkEnd w:id="22"/>
    </w:p>
    <w:p w:rsidR="001815C2" w:rsidRPr="00E46CA1" w:rsidRDefault="004C2125">
      <w:pPr>
        <w:rPr>
          <w:rFonts w:ascii="Arial" w:eastAsia="Arial" w:hAnsi="Arial" w:cs="Arial"/>
        </w:rPr>
      </w:pPr>
      <w:r w:rsidRPr="00E46CA1">
        <w:rPr>
          <w:rFonts w:ascii="Arial" w:eastAsia="Arial" w:hAnsi="Arial" w:cs="Arial"/>
        </w:rPr>
        <w:t>Instead of 3 variations of th</w:t>
      </w:r>
      <w:r w:rsidRPr="00E46CA1">
        <w:rPr>
          <w:rFonts w:ascii="Arial" w:eastAsia="Arial" w:hAnsi="Arial" w:cs="Arial"/>
        </w:rPr>
        <w:t>e same pressure force, 3 different types of actors were chosen to reflect the way external pressure translates to BHP. The environmental actor was selected as a structural driver that reforms the ore-grade economics and a licence to operate of BHP. The Eco</w:t>
      </w:r>
      <w:r w:rsidRPr="00E46CA1">
        <w:rPr>
          <w:rFonts w:ascii="Arial" w:eastAsia="Arial" w:hAnsi="Arial" w:cs="Arial"/>
        </w:rPr>
        <w:t>nomic actor (customers) was chosen because most of BHP Scope 3 risk and commercial benefits lie with the Asian BF-BOF steelmakers and their readiness to pay a price for cleaner feedstock. The third reason why the Political actor was selected is that policy</w:t>
      </w:r>
      <w:r w:rsidRPr="00E46CA1">
        <w:rPr>
          <w:rFonts w:ascii="Arial" w:eastAsia="Arial" w:hAnsi="Arial" w:cs="Arial"/>
        </w:rPr>
        <w:t>, Safeguard Mechanism, 2035 target and EU CBAM transforms climate pressure into enforceable cost and market-access restrictions. Three constitute a transmission chain: environment regulation, customer behaviour to BHP margins, which is why studying them co</w:t>
      </w:r>
      <w:r w:rsidRPr="00E46CA1">
        <w:rPr>
          <w:rFonts w:ascii="Arial" w:eastAsia="Arial" w:hAnsi="Arial" w:cs="Arial"/>
        </w:rPr>
        <w:t>llectively makes us understand them better than the actors separately.</w:t>
      </w:r>
    </w:p>
    <w:p w:rsidR="001815C2" w:rsidRPr="00E46CA1" w:rsidRDefault="004C2125">
      <w:pPr>
        <w:pStyle w:val="Heading2"/>
        <w:keepNext w:val="0"/>
        <w:keepLines w:val="0"/>
        <w:spacing w:before="280" w:after="80"/>
        <w:rPr>
          <w:rFonts w:ascii="Arial" w:eastAsia="Arial" w:hAnsi="Arial" w:cs="Arial"/>
        </w:rPr>
      </w:pPr>
      <w:bookmarkStart w:id="23" w:name="_Toc1501"/>
      <w:r w:rsidRPr="00E46CA1">
        <w:rPr>
          <w:rFonts w:ascii="Arial" w:eastAsia="Arial" w:hAnsi="Arial" w:cs="Arial"/>
        </w:rPr>
        <w:t>3.3 Reflection on the Strategic Growth Decision</w:t>
      </w:r>
      <w:bookmarkEnd w:id="23"/>
    </w:p>
    <w:p w:rsidR="001815C2" w:rsidRDefault="004C2125">
      <w:pPr>
        <w:rPr>
          <w:rFonts w:ascii="Arial" w:eastAsia="Arial" w:hAnsi="Arial" w:cs="Arial"/>
        </w:rPr>
      </w:pPr>
      <w:r w:rsidRPr="00E46CA1">
        <w:rPr>
          <w:rFonts w:ascii="Arial" w:eastAsia="Arial" w:hAnsi="Arial" w:cs="Arial"/>
        </w:rPr>
        <w:t xml:space="preserve">I have used </w:t>
      </w:r>
      <w:proofErr w:type="spellStart"/>
      <w:r w:rsidRPr="00E46CA1">
        <w:rPr>
          <w:rFonts w:ascii="Arial" w:eastAsia="Arial" w:hAnsi="Arial" w:cs="Arial"/>
        </w:rPr>
        <w:t>Ansoff</w:t>
      </w:r>
      <w:proofErr w:type="spellEnd"/>
      <w:r w:rsidRPr="00E46CA1">
        <w:rPr>
          <w:rFonts w:ascii="Arial" w:eastAsia="Arial" w:hAnsi="Arial" w:cs="Arial"/>
        </w:rPr>
        <w:t xml:space="preserve"> Matrix, as it provides a well-organized, affordable means of mapping the growth opportunities against a changing marke</w:t>
      </w:r>
      <w:r w:rsidRPr="00E46CA1">
        <w:rPr>
          <w:rFonts w:ascii="Arial" w:eastAsia="Arial" w:hAnsi="Arial" w:cs="Arial"/>
        </w:rPr>
        <w:t xml:space="preserve">t (Hanlon, 2021). I also had product and market development as my top priority as it most clearly represents where demand is headed - responding to the BHP issue of downstream </w:t>
      </w:r>
      <w:r>
        <w:rPr>
          <w:rFonts w:ascii="Arial" w:eastAsia="Arial" w:hAnsi="Arial" w:cs="Arial"/>
        </w:rPr>
        <w:t>emissions and expanding established capability into the more promising and growi</w:t>
      </w:r>
      <w:r>
        <w:rPr>
          <w:rFonts w:ascii="Arial" w:eastAsia="Arial" w:hAnsi="Arial" w:cs="Arial"/>
        </w:rPr>
        <w:t>ng markets with reduced carbon footprint. All along I considered the impact each solution would have to keep developing true competitive advantage, and not just print more volumes (</w:t>
      </w:r>
      <w:proofErr w:type="spellStart"/>
      <w:r>
        <w:rPr>
          <w:rFonts w:ascii="Arial" w:eastAsia="Arial" w:hAnsi="Arial" w:cs="Arial"/>
        </w:rPr>
        <w:t>Achmad</w:t>
      </w:r>
      <w:proofErr w:type="spellEnd"/>
      <w:r>
        <w:rPr>
          <w:rFonts w:ascii="Arial" w:eastAsia="Arial" w:hAnsi="Arial" w:cs="Arial"/>
        </w:rPr>
        <w:t xml:space="preserve"> and </w:t>
      </w:r>
      <w:proofErr w:type="spellStart"/>
      <w:r>
        <w:rPr>
          <w:rFonts w:ascii="Arial" w:eastAsia="Arial" w:hAnsi="Arial" w:cs="Arial"/>
        </w:rPr>
        <w:t>Wiratmadja</w:t>
      </w:r>
      <w:proofErr w:type="spellEnd"/>
      <w:r>
        <w:rPr>
          <w:rFonts w:ascii="Arial" w:eastAsia="Arial" w:hAnsi="Arial" w:cs="Arial"/>
        </w:rPr>
        <w:t>, 2025).</w:t>
      </w:r>
    </w:p>
    <w:p w:rsidR="00E46CA1" w:rsidRDefault="00E46CA1">
      <w:pPr>
        <w:rPr>
          <w:rFonts w:ascii="Arial" w:eastAsia="Arial" w:hAnsi="Arial" w:cs="Arial"/>
        </w:rPr>
      </w:pPr>
    </w:p>
    <w:p w:rsidR="00E46CA1" w:rsidRDefault="00E46CA1">
      <w:pPr>
        <w:rPr>
          <w:rFonts w:ascii="Arial" w:eastAsia="Arial" w:hAnsi="Arial" w:cs="Arial"/>
        </w:rPr>
      </w:pPr>
    </w:p>
    <w:p w:rsidR="001815C2" w:rsidRDefault="004C2125">
      <w:pPr>
        <w:pStyle w:val="Heading2"/>
        <w:keepNext w:val="0"/>
        <w:keepLines w:val="0"/>
        <w:spacing w:before="280" w:after="80"/>
        <w:rPr>
          <w:rFonts w:ascii="Arial" w:eastAsia="Arial" w:hAnsi="Arial" w:cs="Arial"/>
        </w:rPr>
      </w:pPr>
      <w:bookmarkStart w:id="24" w:name="_Toc12759"/>
      <w:r>
        <w:rPr>
          <w:rFonts w:ascii="Arial" w:eastAsia="Arial" w:hAnsi="Arial" w:cs="Arial"/>
        </w:rPr>
        <w:lastRenderedPageBreak/>
        <w:t>3.4 Critical Reflection on the gaps in the An</w:t>
      </w:r>
      <w:r>
        <w:rPr>
          <w:rFonts w:ascii="Arial" w:eastAsia="Arial" w:hAnsi="Arial" w:cs="Arial"/>
        </w:rPr>
        <w:t>alysis</w:t>
      </w:r>
      <w:bookmarkEnd w:id="24"/>
    </w:p>
    <w:p w:rsidR="001815C2" w:rsidRDefault="004C2125">
      <w:pPr>
        <w:rPr>
          <w:rFonts w:ascii="Arial" w:eastAsia="Arial" w:hAnsi="Arial" w:cs="Arial"/>
        </w:rPr>
      </w:pPr>
      <w:r>
        <w:rPr>
          <w:rFonts w:ascii="Arial" w:eastAsia="Arial" w:hAnsi="Arial" w:cs="Arial"/>
        </w:rPr>
        <w:t>Being critical, I become aware of actual constraints. The information I used is secondary, some of which isn’t readily available or reliable and the environmental conditions that I have studied are changing fast; thus, any snapshot could soon go out</w:t>
      </w:r>
      <w:r>
        <w:rPr>
          <w:rFonts w:ascii="Arial" w:eastAsia="Arial" w:hAnsi="Arial" w:cs="Arial"/>
        </w:rPr>
        <w:t xml:space="preserve"> of date (</w:t>
      </w:r>
      <w:proofErr w:type="spellStart"/>
      <w:r>
        <w:rPr>
          <w:rFonts w:ascii="Arial" w:eastAsia="Arial" w:hAnsi="Arial" w:cs="Arial"/>
        </w:rPr>
        <w:t>Ellins</w:t>
      </w:r>
      <w:proofErr w:type="spellEnd"/>
      <w:r>
        <w:rPr>
          <w:rFonts w:ascii="Arial" w:eastAsia="Arial" w:hAnsi="Arial" w:cs="Arial"/>
        </w:rPr>
        <w:t xml:space="preserve">, Daniel and </w:t>
      </w:r>
      <w:proofErr w:type="spellStart"/>
      <w:r>
        <w:rPr>
          <w:rFonts w:ascii="Arial" w:eastAsia="Arial" w:hAnsi="Arial" w:cs="Arial"/>
        </w:rPr>
        <w:t>Sidhu</w:t>
      </w:r>
      <w:proofErr w:type="spellEnd"/>
      <w:r>
        <w:rPr>
          <w:rFonts w:ascii="Arial" w:eastAsia="Arial" w:hAnsi="Arial" w:cs="Arial"/>
        </w:rPr>
        <w:t>, 2025). Using the general marketing framework to analyse a company as complicated as BHP is bound to be simplified and I did not have access to the internal information within the company that would hone the discussion.</w:t>
      </w:r>
    </w:p>
    <w:p w:rsidR="001815C2" w:rsidRDefault="004C2125">
      <w:pPr>
        <w:pStyle w:val="Heading2"/>
        <w:keepNext w:val="0"/>
        <w:keepLines w:val="0"/>
        <w:spacing w:before="280" w:after="80"/>
        <w:rPr>
          <w:rFonts w:ascii="Arial" w:eastAsia="Arial" w:hAnsi="Arial" w:cs="Arial"/>
        </w:rPr>
      </w:pPr>
      <w:bookmarkStart w:id="25" w:name="_Toc5659"/>
      <w:r>
        <w:rPr>
          <w:rFonts w:ascii="Arial" w:eastAsia="Arial" w:hAnsi="Arial" w:cs="Arial"/>
        </w:rPr>
        <w:t>3</w:t>
      </w:r>
      <w:r>
        <w:rPr>
          <w:rFonts w:ascii="Arial" w:eastAsia="Arial" w:hAnsi="Arial" w:cs="Arial"/>
        </w:rPr>
        <w:t>.5 Additional Information Required by a Real Consultant</w:t>
      </w:r>
      <w:bookmarkEnd w:id="25"/>
    </w:p>
    <w:p w:rsidR="001815C2" w:rsidRDefault="004C2125">
      <w:pPr>
        <w:rPr>
          <w:rFonts w:ascii="Arial" w:eastAsia="Arial" w:hAnsi="Arial" w:cs="Arial"/>
        </w:rPr>
      </w:pPr>
      <w:r>
        <w:rPr>
          <w:rFonts w:ascii="Arial" w:eastAsia="Arial" w:hAnsi="Arial" w:cs="Arial"/>
        </w:rPr>
        <w:t xml:space="preserve">The additional evidence I would strive to obtain before finalising the recommendations would include; customer level demand data, internal emissions and cost analysis of BHP, decarbonisation policies </w:t>
      </w:r>
      <w:r>
        <w:rPr>
          <w:rFonts w:ascii="Arial" w:eastAsia="Arial" w:hAnsi="Arial" w:cs="Arial"/>
        </w:rPr>
        <w:t>of competitors, and actual customer desire to consume lower-carbon products (</w:t>
      </w:r>
      <w:proofErr w:type="spellStart"/>
      <w:r>
        <w:rPr>
          <w:rFonts w:ascii="Arial" w:eastAsia="Arial" w:hAnsi="Arial" w:cs="Arial"/>
        </w:rPr>
        <w:t>Knaus</w:t>
      </w:r>
      <w:proofErr w:type="spellEnd"/>
      <w:r>
        <w:rPr>
          <w:rFonts w:ascii="Arial" w:eastAsia="Arial" w:hAnsi="Arial" w:cs="Arial"/>
        </w:rPr>
        <w:t xml:space="preserve"> and Morton, 2026). I would also desire regulatory situations, technology viability and investment information, and external market projections of low-carbon metals to challe</w:t>
      </w:r>
      <w:r>
        <w:rPr>
          <w:rFonts w:ascii="Arial" w:eastAsia="Arial" w:hAnsi="Arial" w:cs="Arial"/>
        </w:rPr>
        <w:t>nge my assumptions.</w:t>
      </w:r>
    </w:p>
    <w:p w:rsidR="001815C2" w:rsidRDefault="004C2125">
      <w:pPr>
        <w:pStyle w:val="Heading2"/>
        <w:keepNext w:val="0"/>
        <w:keepLines w:val="0"/>
        <w:spacing w:before="280" w:after="80"/>
        <w:rPr>
          <w:rFonts w:ascii="Arial" w:eastAsia="Arial" w:hAnsi="Arial" w:cs="Arial"/>
        </w:rPr>
      </w:pPr>
      <w:bookmarkStart w:id="26" w:name="_Toc16228"/>
      <w:r>
        <w:rPr>
          <w:rFonts w:ascii="Arial" w:eastAsia="Arial" w:hAnsi="Arial" w:cs="Arial"/>
        </w:rPr>
        <w:t>3.6 Professional Learning and Implications for Senior Leadership</w:t>
      </w:r>
      <w:bookmarkEnd w:id="26"/>
    </w:p>
    <w:p w:rsidR="001815C2" w:rsidRDefault="004C2125">
      <w:pPr>
        <w:rPr>
          <w:rFonts w:ascii="Arial" w:eastAsia="Arial" w:hAnsi="Arial" w:cs="Arial"/>
        </w:rPr>
      </w:pPr>
      <w:r>
        <w:rPr>
          <w:rFonts w:ascii="Arial" w:eastAsia="Arial" w:hAnsi="Arial" w:cs="Arial"/>
        </w:rPr>
        <w:t xml:space="preserve">My most important communication to the top management is the fact that sustainability is no longer a marginal issue to consider, but rather, it contributes to the demand, </w:t>
      </w:r>
      <w:r>
        <w:rPr>
          <w:rFonts w:ascii="Arial" w:eastAsia="Arial" w:hAnsi="Arial" w:cs="Arial"/>
        </w:rPr>
        <w:t>competition and strategy at the same time (Ibrahim, 2025). Good judgment of the environment and business judgment must hence be combined, and rest must be kept regarding the scope of the evidence on which it is based.</w:t>
      </w:r>
      <w:r>
        <w:br w:type="page"/>
      </w:r>
    </w:p>
    <w:p w:rsidR="001815C2" w:rsidRDefault="004C2125">
      <w:pPr>
        <w:pStyle w:val="Heading1"/>
        <w:rPr>
          <w:rFonts w:ascii="Arial" w:eastAsia="Arial" w:hAnsi="Arial" w:cs="Arial"/>
          <w:sz w:val="24"/>
          <w:szCs w:val="24"/>
        </w:rPr>
      </w:pPr>
      <w:bookmarkStart w:id="27" w:name="_Toc21819"/>
      <w:r>
        <w:rPr>
          <w:rFonts w:ascii="Arial" w:eastAsia="Arial" w:hAnsi="Arial" w:cs="Arial"/>
          <w:sz w:val="24"/>
          <w:szCs w:val="24"/>
        </w:rPr>
        <w:lastRenderedPageBreak/>
        <w:t>Reference List</w:t>
      </w:r>
      <w:bookmarkEnd w:id="27"/>
    </w:p>
    <w:p w:rsidR="001815C2" w:rsidRDefault="004C2125">
      <w:pPr>
        <w:spacing w:after="240"/>
        <w:rPr>
          <w:rFonts w:ascii="Arial" w:eastAsia="Arial" w:hAnsi="Arial" w:cs="Arial"/>
        </w:rPr>
      </w:pPr>
      <w:proofErr w:type="spellStart"/>
      <w:r>
        <w:rPr>
          <w:rFonts w:ascii="Arial" w:eastAsia="Arial" w:hAnsi="Arial" w:cs="Arial"/>
        </w:rPr>
        <w:t>Achmad</w:t>
      </w:r>
      <w:proofErr w:type="spellEnd"/>
      <w:r>
        <w:rPr>
          <w:rFonts w:ascii="Arial" w:eastAsia="Arial" w:hAnsi="Arial" w:cs="Arial"/>
        </w:rPr>
        <w:t xml:space="preserve">, F. and </w:t>
      </w:r>
      <w:proofErr w:type="spellStart"/>
      <w:r>
        <w:rPr>
          <w:rFonts w:ascii="Arial" w:eastAsia="Arial" w:hAnsi="Arial" w:cs="Arial"/>
        </w:rPr>
        <w:t>Wiratma</w:t>
      </w:r>
      <w:r>
        <w:rPr>
          <w:rFonts w:ascii="Arial" w:eastAsia="Arial" w:hAnsi="Arial" w:cs="Arial"/>
        </w:rPr>
        <w:t>dja</w:t>
      </w:r>
      <w:proofErr w:type="spellEnd"/>
      <w:r>
        <w:rPr>
          <w:rFonts w:ascii="Arial" w:eastAsia="Arial" w:hAnsi="Arial" w:cs="Arial"/>
        </w:rPr>
        <w:t xml:space="preserve">, I.I. (2025) “Organizational performance and competitive advantage in SMEs: The role of green innovation and knowledge management,” </w:t>
      </w:r>
      <w:r>
        <w:rPr>
          <w:rFonts w:ascii="Arial" w:eastAsia="Arial" w:hAnsi="Arial" w:cs="Arial"/>
          <w:i/>
          <w:iCs/>
        </w:rPr>
        <w:t>Journal of Open Innovation: Technology, Market, and Complexity</w:t>
      </w:r>
      <w:r>
        <w:rPr>
          <w:rFonts w:ascii="Arial" w:eastAsia="Arial" w:hAnsi="Arial" w:cs="Arial"/>
        </w:rPr>
        <w:t xml:space="preserve">, 11(2), p. 100532. Available at: </w:t>
      </w:r>
      <w:hyperlink r:id="rId25">
        <w:r>
          <w:rPr>
            <w:rFonts w:ascii="Arial" w:eastAsia="Arial" w:hAnsi="Arial" w:cs="Arial"/>
            <w:color w:val="1155CC"/>
            <w:u w:val="single"/>
          </w:rPr>
          <w:t>https://doi.org/10.1016/j.joitmc.2025.100532</w:t>
        </w:r>
      </w:hyperlink>
      <w:r>
        <w:rPr>
          <w:rFonts w:ascii="Arial" w:eastAsia="Arial" w:hAnsi="Arial" w:cs="Arial"/>
        </w:rPr>
        <w:t xml:space="preserve">. </w:t>
      </w:r>
    </w:p>
    <w:p w:rsidR="001815C2" w:rsidRDefault="004C2125">
      <w:pPr>
        <w:spacing w:after="240"/>
        <w:rPr>
          <w:rFonts w:ascii="Arial" w:eastAsia="Arial" w:hAnsi="Arial" w:cs="Arial"/>
        </w:rPr>
      </w:pPr>
      <w:proofErr w:type="spellStart"/>
      <w:r>
        <w:rPr>
          <w:rFonts w:ascii="Arial" w:eastAsia="Arial" w:hAnsi="Arial" w:cs="Arial"/>
        </w:rPr>
        <w:t>Amel-Zadeh</w:t>
      </w:r>
      <w:proofErr w:type="spellEnd"/>
      <w:r>
        <w:rPr>
          <w:rFonts w:ascii="Arial" w:eastAsia="Arial" w:hAnsi="Arial" w:cs="Arial"/>
        </w:rPr>
        <w:t xml:space="preserve">, A. and Tang, Q. (2025) “Managing the shift from voluntary to mandatory climate disclosure: The role of carbon accounting,” </w:t>
      </w:r>
      <w:r>
        <w:rPr>
          <w:rFonts w:ascii="Arial" w:eastAsia="Arial" w:hAnsi="Arial" w:cs="Arial"/>
          <w:i/>
          <w:iCs/>
        </w:rPr>
        <w:t>The British Accounting</w:t>
      </w:r>
      <w:r>
        <w:rPr>
          <w:rFonts w:ascii="Arial" w:eastAsia="Arial" w:hAnsi="Arial" w:cs="Arial"/>
          <w:i/>
          <w:iCs/>
        </w:rPr>
        <w:t xml:space="preserve"> Review</w:t>
      </w:r>
      <w:r>
        <w:rPr>
          <w:rFonts w:ascii="Arial" w:eastAsia="Arial" w:hAnsi="Arial" w:cs="Arial"/>
        </w:rPr>
        <w:t xml:space="preserve">, 57(2), p. 101594. Available at: </w:t>
      </w:r>
      <w:hyperlink r:id="rId26">
        <w:r>
          <w:rPr>
            <w:rFonts w:ascii="Arial" w:eastAsia="Arial" w:hAnsi="Arial" w:cs="Arial"/>
            <w:color w:val="1155CC"/>
            <w:u w:val="single"/>
          </w:rPr>
          <w:t>https://doi.org/10.1016/j.bar.2025.101594</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Barman, A. (2026) </w:t>
      </w:r>
      <w:r>
        <w:rPr>
          <w:rFonts w:ascii="Arial" w:eastAsia="Arial" w:hAnsi="Arial" w:cs="Arial"/>
          <w:i/>
          <w:iCs/>
        </w:rPr>
        <w:t>Can Freeport-McMoRan’s growth projects drive the next expansion wave</w:t>
      </w:r>
      <w:proofErr w:type="gramStart"/>
      <w:r>
        <w:rPr>
          <w:rFonts w:ascii="Arial" w:eastAsia="Arial" w:hAnsi="Arial" w:cs="Arial"/>
          <w:i/>
          <w:iCs/>
        </w:rPr>
        <w:t>?</w:t>
      </w:r>
      <w:r>
        <w:rPr>
          <w:rFonts w:ascii="Arial" w:eastAsia="Arial" w:hAnsi="Arial" w:cs="Arial"/>
        </w:rPr>
        <w:t>,</w:t>
      </w:r>
      <w:proofErr w:type="gramEnd"/>
      <w:r>
        <w:rPr>
          <w:rFonts w:ascii="Arial" w:eastAsia="Arial" w:hAnsi="Arial" w:cs="Arial"/>
        </w:rPr>
        <w:t xml:space="preserve"> </w:t>
      </w:r>
      <w:r>
        <w:rPr>
          <w:rFonts w:ascii="Arial" w:eastAsia="Arial" w:hAnsi="Arial" w:cs="Arial"/>
          <w:i/>
          <w:iCs/>
        </w:rPr>
        <w:t>Yahoo Finance</w:t>
      </w:r>
      <w:r>
        <w:rPr>
          <w:rFonts w:ascii="Arial" w:eastAsia="Arial" w:hAnsi="Arial" w:cs="Arial"/>
        </w:rPr>
        <w:t>. Yahoo!</w:t>
      </w:r>
      <w:r>
        <w:rPr>
          <w:rFonts w:ascii="Arial" w:eastAsia="Arial" w:hAnsi="Arial" w:cs="Arial"/>
        </w:rPr>
        <w:t xml:space="preserve"> Finance. Available at: </w:t>
      </w:r>
      <w:hyperlink r:id="rId27">
        <w:r>
          <w:rPr>
            <w:rFonts w:ascii="Arial" w:eastAsia="Arial" w:hAnsi="Arial" w:cs="Arial"/>
            <w:color w:val="1155CC"/>
            <w:u w:val="single"/>
          </w:rPr>
          <w:t>https://finance.yahoo.com/markets/commodities/articles/freeport-mcmorans-growth-projects-drive-111600222.h</w:t>
        </w:r>
        <w:r>
          <w:rPr>
            <w:rFonts w:ascii="Arial" w:eastAsia="Arial" w:hAnsi="Arial" w:cs="Arial"/>
            <w:color w:val="1155CC"/>
            <w:u w:val="single"/>
          </w:rPr>
          <w:t>tml</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BHP (2025a) </w:t>
      </w:r>
      <w:r>
        <w:rPr>
          <w:rFonts w:ascii="Arial" w:eastAsia="Arial" w:hAnsi="Arial" w:cs="Arial"/>
          <w:i/>
          <w:iCs/>
        </w:rPr>
        <w:t>Environment</w:t>
      </w:r>
      <w:r>
        <w:rPr>
          <w:rFonts w:ascii="Arial" w:eastAsia="Arial" w:hAnsi="Arial" w:cs="Arial"/>
        </w:rPr>
        <w:t xml:space="preserve">, </w:t>
      </w:r>
      <w:r>
        <w:rPr>
          <w:rFonts w:ascii="Arial" w:eastAsia="Arial" w:hAnsi="Arial" w:cs="Arial"/>
          <w:i/>
          <w:iCs/>
        </w:rPr>
        <w:t>Bhp.com</w:t>
      </w:r>
      <w:r>
        <w:rPr>
          <w:rFonts w:ascii="Arial" w:eastAsia="Arial" w:hAnsi="Arial" w:cs="Arial"/>
        </w:rPr>
        <w:t xml:space="preserve">. Available at: </w:t>
      </w:r>
      <w:hyperlink r:id="rId28">
        <w:r>
          <w:rPr>
            <w:rFonts w:ascii="Arial" w:eastAsia="Arial" w:hAnsi="Arial" w:cs="Arial"/>
            <w:color w:val="1155CC"/>
            <w:u w:val="single"/>
          </w:rPr>
          <w:t>https://www.bhp.com/sustainability/environment</w:t>
        </w:r>
      </w:hyperlink>
      <w:r>
        <w:rPr>
          <w:rFonts w:ascii="Arial" w:eastAsia="Arial" w:hAnsi="Arial" w:cs="Arial"/>
        </w:rPr>
        <w:t xml:space="preserve"> </w:t>
      </w:r>
    </w:p>
    <w:p w:rsidR="001815C2" w:rsidRDefault="004C2125">
      <w:pPr>
        <w:spacing w:after="240"/>
        <w:rPr>
          <w:rFonts w:ascii="Arial" w:eastAsia="Arial" w:hAnsi="Arial" w:cs="Arial"/>
        </w:rPr>
      </w:pPr>
      <w:proofErr w:type="gramStart"/>
      <w:r>
        <w:rPr>
          <w:rFonts w:ascii="Arial" w:eastAsia="Arial" w:hAnsi="Arial" w:cs="Arial"/>
        </w:rPr>
        <w:t xml:space="preserve">BHP (2025b) </w:t>
      </w:r>
      <w:r>
        <w:rPr>
          <w:rFonts w:ascii="Arial" w:eastAsia="Arial" w:hAnsi="Arial" w:cs="Arial"/>
          <w:i/>
          <w:iCs/>
        </w:rPr>
        <w:t>Sustainability | BHP</w:t>
      </w:r>
      <w:r>
        <w:rPr>
          <w:rFonts w:ascii="Arial" w:eastAsia="Arial" w:hAnsi="Arial" w:cs="Arial"/>
        </w:rPr>
        <w:t xml:space="preserve">, </w:t>
      </w:r>
      <w:r>
        <w:rPr>
          <w:rFonts w:ascii="Arial" w:eastAsia="Arial" w:hAnsi="Arial" w:cs="Arial"/>
          <w:i/>
          <w:iCs/>
        </w:rPr>
        <w:t>Bhp.com</w:t>
      </w:r>
      <w:r>
        <w:rPr>
          <w:rFonts w:ascii="Arial" w:eastAsia="Arial" w:hAnsi="Arial" w:cs="Arial"/>
        </w:rPr>
        <w:t>.</w:t>
      </w:r>
      <w:proofErr w:type="gramEnd"/>
      <w:r>
        <w:rPr>
          <w:rFonts w:ascii="Arial" w:eastAsia="Arial" w:hAnsi="Arial" w:cs="Arial"/>
        </w:rPr>
        <w:t xml:space="preserve"> Available at: </w:t>
      </w:r>
      <w:hyperlink r:id="rId29">
        <w:r>
          <w:rPr>
            <w:rFonts w:ascii="Arial" w:eastAsia="Arial" w:hAnsi="Arial" w:cs="Arial"/>
            <w:color w:val="1155CC"/>
            <w:u w:val="single"/>
          </w:rPr>
          <w:t>https://www.bhp.com/sustainability</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BHP (2026a) </w:t>
      </w:r>
      <w:r>
        <w:rPr>
          <w:rFonts w:ascii="Arial" w:eastAsia="Arial" w:hAnsi="Arial" w:cs="Arial"/>
          <w:i/>
          <w:iCs/>
        </w:rPr>
        <w:t xml:space="preserve">BHP and China </w:t>
      </w:r>
      <w:proofErr w:type="spellStart"/>
      <w:r>
        <w:rPr>
          <w:rFonts w:ascii="Arial" w:eastAsia="Arial" w:hAnsi="Arial" w:cs="Arial"/>
          <w:i/>
          <w:iCs/>
        </w:rPr>
        <w:t>Baowu</w:t>
      </w:r>
      <w:proofErr w:type="spellEnd"/>
      <w:r>
        <w:rPr>
          <w:rFonts w:ascii="Arial" w:eastAsia="Arial" w:hAnsi="Arial" w:cs="Arial"/>
          <w:i/>
          <w:iCs/>
        </w:rPr>
        <w:t xml:space="preserve"> renew steel decarbonisation </w:t>
      </w:r>
      <w:proofErr w:type="gramStart"/>
      <w:r>
        <w:rPr>
          <w:rFonts w:ascii="Arial" w:eastAsia="Arial" w:hAnsi="Arial" w:cs="Arial"/>
          <w:i/>
          <w:iCs/>
        </w:rPr>
        <w:t xml:space="preserve">partnership </w:t>
      </w:r>
      <w:r>
        <w:rPr>
          <w:rFonts w:ascii="Arial" w:eastAsia="Arial" w:hAnsi="Arial" w:cs="Arial"/>
        </w:rPr>
        <w:t>.</w:t>
      </w:r>
      <w:proofErr w:type="gramEnd"/>
      <w:r>
        <w:rPr>
          <w:rFonts w:ascii="Arial" w:eastAsia="Arial" w:hAnsi="Arial" w:cs="Arial"/>
        </w:rPr>
        <w:t xml:space="preserve"> Available at: </w:t>
      </w:r>
      <w:hyperlink r:id="rId30">
        <w:r>
          <w:rPr>
            <w:rFonts w:ascii="Arial" w:eastAsia="Arial" w:hAnsi="Arial" w:cs="Arial"/>
            <w:color w:val="1155CC"/>
            <w:u w:val="single"/>
          </w:rPr>
          <w:t>https://www.bhp.com/news/media-centre/releases/2026/09/bhp-and-china-baowu-renew-steel-decarbonisation-partnership</w:t>
        </w:r>
      </w:hyperlink>
      <w:r>
        <w:rPr>
          <w:rFonts w:ascii="Arial" w:eastAsia="Arial" w:hAnsi="Arial" w:cs="Arial"/>
        </w:rPr>
        <w:t xml:space="preserve">. </w:t>
      </w:r>
    </w:p>
    <w:p w:rsidR="001815C2" w:rsidRDefault="004C2125">
      <w:pPr>
        <w:spacing w:after="240"/>
        <w:rPr>
          <w:rFonts w:ascii="Arial" w:eastAsia="Arial" w:hAnsi="Arial" w:cs="Arial"/>
        </w:rPr>
      </w:pPr>
      <w:proofErr w:type="gramStart"/>
      <w:r>
        <w:rPr>
          <w:rFonts w:ascii="Arial" w:eastAsia="Arial" w:hAnsi="Arial" w:cs="Arial"/>
        </w:rPr>
        <w:t xml:space="preserve">BHP (2026b) </w:t>
      </w:r>
      <w:r>
        <w:rPr>
          <w:rFonts w:ascii="Arial" w:eastAsia="Arial" w:hAnsi="Arial" w:cs="Arial"/>
          <w:i/>
          <w:iCs/>
        </w:rPr>
        <w:t>BHP’s economic and commodity outlook</w:t>
      </w:r>
      <w:r>
        <w:rPr>
          <w:rFonts w:ascii="Arial" w:eastAsia="Arial" w:hAnsi="Arial" w:cs="Arial"/>
        </w:rPr>
        <w:t>.</w:t>
      </w:r>
      <w:proofErr w:type="gramEnd"/>
      <w:r>
        <w:rPr>
          <w:rFonts w:ascii="Arial" w:eastAsia="Arial" w:hAnsi="Arial" w:cs="Arial"/>
        </w:rPr>
        <w:t xml:space="preserve"> Available at: </w:t>
      </w:r>
      <w:hyperlink r:id="rId31">
        <w:r>
          <w:rPr>
            <w:rFonts w:ascii="Arial" w:eastAsia="Arial" w:hAnsi="Arial" w:cs="Arial"/>
            <w:color w:val="1155CC"/>
            <w:u w:val="single"/>
          </w:rPr>
          <w:t>https://www.bhp.com/investor-centre/reports-and-presentations/economic-and-commodity-outlook/2025/08/economic-and-commodity-outlook</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BHP (2026c) </w:t>
      </w:r>
      <w:proofErr w:type="spellStart"/>
      <w:r>
        <w:rPr>
          <w:rFonts w:ascii="Arial" w:eastAsia="Arial" w:hAnsi="Arial" w:cs="Arial"/>
          <w:i/>
          <w:iCs/>
        </w:rPr>
        <w:t>NeoSmelt</w:t>
      </w:r>
      <w:proofErr w:type="spellEnd"/>
      <w:r>
        <w:rPr>
          <w:rFonts w:ascii="Arial" w:eastAsia="Arial" w:hAnsi="Arial" w:cs="Arial"/>
          <w:i/>
          <w:iCs/>
        </w:rPr>
        <w:t xml:space="preserve"> welcomes Federal Government support and signs two new </w:t>
      </w:r>
      <w:proofErr w:type="gramStart"/>
      <w:r>
        <w:rPr>
          <w:rFonts w:ascii="Arial" w:eastAsia="Arial" w:hAnsi="Arial" w:cs="Arial"/>
          <w:i/>
          <w:iCs/>
        </w:rPr>
        <w:t xml:space="preserve">participants </w:t>
      </w:r>
      <w:r>
        <w:rPr>
          <w:rFonts w:ascii="Arial" w:eastAsia="Arial" w:hAnsi="Arial" w:cs="Arial"/>
        </w:rPr>
        <w:t>.</w:t>
      </w:r>
      <w:proofErr w:type="gramEnd"/>
      <w:r>
        <w:rPr>
          <w:rFonts w:ascii="Arial" w:eastAsia="Arial" w:hAnsi="Arial" w:cs="Arial"/>
        </w:rPr>
        <w:t xml:space="preserve"> Available at: </w:t>
      </w:r>
      <w:hyperlink r:id="rId32">
        <w:r>
          <w:rPr>
            <w:rFonts w:ascii="Arial" w:eastAsia="Arial" w:hAnsi="Arial" w:cs="Arial"/>
            <w:color w:val="1155CC"/>
            <w:u w:val="single"/>
          </w:rPr>
          <w:t>https://www.bh</w:t>
        </w:r>
        <w:r>
          <w:rPr>
            <w:rFonts w:ascii="Arial" w:eastAsia="Arial" w:hAnsi="Arial" w:cs="Arial"/>
            <w:color w:val="1155CC"/>
            <w:u w:val="single"/>
          </w:rPr>
          <w:t>p.com/es/news/media-centre/releases/2025/06/neosmelt-welcomes-federal-government-support-and-signs-two-new-participants</w:t>
        </w:r>
      </w:hyperlink>
      <w:r>
        <w:rPr>
          <w:rFonts w:ascii="Arial" w:eastAsia="Arial" w:hAnsi="Arial" w:cs="Arial"/>
        </w:rPr>
        <w:t xml:space="preserve">. </w:t>
      </w:r>
    </w:p>
    <w:p w:rsidR="001815C2" w:rsidRDefault="004C2125">
      <w:pPr>
        <w:spacing w:after="240"/>
        <w:rPr>
          <w:rFonts w:ascii="Arial" w:eastAsia="Arial" w:hAnsi="Arial" w:cs="Arial"/>
        </w:rPr>
      </w:pPr>
      <w:proofErr w:type="gramStart"/>
      <w:r>
        <w:rPr>
          <w:rFonts w:ascii="Arial" w:eastAsia="Arial" w:hAnsi="Arial" w:cs="Arial"/>
        </w:rPr>
        <w:lastRenderedPageBreak/>
        <w:t xml:space="preserve">BHP Group (2025a) </w:t>
      </w:r>
      <w:r>
        <w:rPr>
          <w:rFonts w:ascii="Arial" w:eastAsia="Arial" w:hAnsi="Arial" w:cs="Arial"/>
          <w:i/>
          <w:iCs/>
        </w:rPr>
        <w:t xml:space="preserve">BHP and POSCO partner to advance hydrogen-based </w:t>
      </w:r>
      <w:proofErr w:type="spellStart"/>
      <w:r>
        <w:rPr>
          <w:rFonts w:ascii="Arial" w:eastAsia="Arial" w:hAnsi="Arial" w:cs="Arial"/>
          <w:i/>
          <w:iCs/>
        </w:rPr>
        <w:t>ironmaking</w:t>
      </w:r>
      <w:proofErr w:type="spellEnd"/>
      <w:r>
        <w:rPr>
          <w:rFonts w:ascii="Arial" w:eastAsia="Arial" w:hAnsi="Arial" w:cs="Arial"/>
          <w:i/>
          <w:iCs/>
        </w:rPr>
        <w:t xml:space="preserve"> technology</w:t>
      </w:r>
      <w:r>
        <w:rPr>
          <w:rFonts w:ascii="Arial" w:eastAsia="Arial" w:hAnsi="Arial" w:cs="Arial"/>
        </w:rPr>
        <w:t xml:space="preserve">, </w:t>
      </w:r>
      <w:r>
        <w:rPr>
          <w:rFonts w:ascii="Arial" w:eastAsia="Arial" w:hAnsi="Arial" w:cs="Arial"/>
          <w:i/>
          <w:iCs/>
        </w:rPr>
        <w:t>Bhp.com</w:t>
      </w:r>
      <w:r>
        <w:rPr>
          <w:rFonts w:ascii="Arial" w:eastAsia="Arial" w:hAnsi="Arial" w:cs="Arial"/>
        </w:rPr>
        <w:t>.</w:t>
      </w:r>
      <w:proofErr w:type="gramEnd"/>
      <w:r>
        <w:rPr>
          <w:rFonts w:ascii="Arial" w:eastAsia="Arial" w:hAnsi="Arial" w:cs="Arial"/>
        </w:rPr>
        <w:t xml:space="preserve"> Available at: </w:t>
      </w:r>
      <w:hyperlink r:id="rId33">
        <w:r>
          <w:rPr>
            <w:rFonts w:ascii="Arial" w:eastAsia="Arial" w:hAnsi="Arial" w:cs="Arial"/>
            <w:color w:val="1155CC"/>
            <w:u w:val="single"/>
          </w:rPr>
          <w:t>https://www.bhp.com/news/media-centre/releases/2025/10/bhp-and-posco-partner-to-advance-hydrogen-based-ironmaking-technology</w:t>
        </w:r>
      </w:hyperlink>
      <w:r>
        <w:rPr>
          <w:rFonts w:ascii="Arial" w:eastAsia="Arial" w:hAnsi="Arial" w:cs="Arial"/>
        </w:rPr>
        <w:t xml:space="preserve"> </w:t>
      </w:r>
    </w:p>
    <w:p w:rsidR="001815C2" w:rsidRDefault="004C2125">
      <w:pPr>
        <w:spacing w:after="240"/>
        <w:rPr>
          <w:rFonts w:ascii="Arial" w:eastAsia="Arial" w:hAnsi="Arial" w:cs="Arial"/>
        </w:rPr>
      </w:pPr>
      <w:proofErr w:type="gramStart"/>
      <w:r>
        <w:rPr>
          <w:rFonts w:ascii="Arial" w:eastAsia="Arial" w:hAnsi="Arial" w:cs="Arial"/>
        </w:rPr>
        <w:t xml:space="preserve">BHP Group (2025b) </w:t>
      </w:r>
      <w:r>
        <w:rPr>
          <w:rFonts w:ascii="Arial" w:eastAsia="Arial" w:hAnsi="Arial" w:cs="Arial"/>
          <w:i/>
          <w:iCs/>
        </w:rPr>
        <w:t>Copper SA resilience and growth</w:t>
      </w:r>
      <w:r>
        <w:rPr>
          <w:rFonts w:ascii="Arial" w:eastAsia="Arial" w:hAnsi="Arial" w:cs="Arial"/>
        </w:rPr>
        <w:t>.</w:t>
      </w:r>
      <w:proofErr w:type="gramEnd"/>
      <w:r>
        <w:rPr>
          <w:rFonts w:ascii="Arial" w:eastAsia="Arial" w:hAnsi="Arial" w:cs="Arial"/>
        </w:rPr>
        <w:t xml:space="preserve"> Available at: </w:t>
      </w:r>
      <w:hyperlink r:id="rId34">
        <w:r>
          <w:rPr>
            <w:rFonts w:ascii="Arial" w:eastAsia="Arial" w:hAnsi="Arial" w:cs="Arial"/>
            <w:color w:val="1155CC"/>
            <w:u w:val="single"/>
          </w:rPr>
          <w:t>https://www.bhp.com/-/media/documents/me</w:t>
        </w:r>
        <w:r>
          <w:rPr>
            <w:rFonts w:ascii="Arial" w:eastAsia="Arial" w:hAnsi="Arial" w:cs="Arial"/>
            <w:color w:val="1155CC"/>
            <w:u w:val="single"/>
          </w:rPr>
          <w:t>dia/reports-and-presentations/2025/250819_bhpresultsfortheyearended30june2025_presentation.pdf</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BHP Group (2025c) </w:t>
      </w:r>
      <w:proofErr w:type="gramStart"/>
      <w:r>
        <w:rPr>
          <w:rFonts w:ascii="Arial" w:eastAsia="Arial" w:hAnsi="Arial" w:cs="Arial"/>
          <w:i/>
          <w:iCs/>
        </w:rPr>
        <w:t>Financial</w:t>
      </w:r>
      <w:proofErr w:type="gramEnd"/>
      <w:r>
        <w:rPr>
          <w:rFonts w:ascii="Arial" w:eastAsia="Arial" w:hAnsi="Arial" w:cs="Arial"/>
          <w:i/>
          <w:iCs/>
        </w:rPr>
        <w:t xml:space="preserve"> results for the half year ended 31 December 2025</w:t>
      </w:r>
      <w:r>
        <w:rPr>
          <w:rFonts w:ascii="Arial" w:eastAsia="Arial" w:hAnsi="Arial" w:cs="Arial"/>
        </w:rPr>
        <w:t xml:space="preserve">. Available at: </w:t>
      </w:r>
      <w:hyperlink r:id="rId35">
        <w:r>
          <w:rPr>
            <w:rFonts w:ascii="Arial" w:eastAsia="Arial" w:hAnsi="Arial" w:cs="Arial"/>
            <w:color w:val="1155CC"/>
            <w:u w:val="single"/>
          </w:rPr>
          <w:t>https://www.bhp.com/-/media/documents/media/reports-and-presentations/2026/260217_bhpresultsforthehalfyearended31dec2025_exchangerelease.pdf</w:t>
        </w:r>
      </w:hyperlink>
      <w:r>
        <w:rPr>
          <w:rFonts w:ascii="Arial" w:eastAsia="Arial" w:hAnsi="Arial" w:cs="Arial"/>
        </w:rPr>
        <w:t xml:space="preserve">. </w:t>
      </w:r>
    </w:p>
    <w:p w:rsidR="001815C2" w:rsidRDefault="004C2125">
      <w:pPr>
        <w:spacing w:after="240"/>
        <w:rPr>
          <w:rFonts w:ascii="Arial" w:eastAsia="Arial" w:hAnsi="Arial" w:cs="Arial"/>
        </w:rPr>
      </w:pPr>
      <w:proofErr w:type="gramStart"/>
      <w:r>
        <w:rPr>
          <w:rFonts w:ascii="Arial" w:eastAsia="Arial" w:hAnsi="Arial" w:cs="Arial"/>
        </w:rPr>
        <w:t xml:space="preserve">BHP Group (2025d) </w:t>
      </w:r>
      <w:r>
        <w:rPr>
          <w:rFonts w:ascii="Arial" w:eastAsia="Arial" w:hAnsi="Arial" w:cs="Arial"/>
          <w:i/>
          <w:iCs/>
        </w:rPr>
        <w:t>Pathways towards steelmaking decarbonisation</w:t>
      </w:r>
      <w:r>
        <w:rPr>
          <w:rFonts w:ascii="Arial" w:eastAsia="Arial" w:hAnsi="Arial" w:cs="Arial"/>
        </w:rPr>
        <w:t xml:space="preserve">, </w:t>
      </w:r>
      <w:r>
        <w:rPr>
          <w:rFonts w:ascii="Arial" w:eastAsia="Arial" w:hAnsi="Arial" w:cs="Arial"/>
          <w:i/>
          <w:iCs/>
        </w:rPr>
        <w:t>Bhp.com</w:t>
      </w:r>
      <w:r>
        <w:rPr>
          <w:rFonts w:ascii="Arial" w:eastAsia="Arial" w:hAnsi="Arial" w:cs="Arial"/>
        </w:rPr>
        <w:t>.</w:t>
      </w:r>
      <w:proofErr w:type="gramEnd"/>
      <w:r>
        <w:rPr>
          <w:rFonts w:ascii="Arial" w:eastAsia="Arial" w:hAnsi="Arial" w:cs="Arial"/>
        </w:rPr>
        <w:t xml:space="preserve"> Available at: </w:t>
      </w:r>
      <w:hyperlink r:id="rId36">
        <w:r>
          <w:rPr>
            <w:rFonts w:ascii="Arial" w:eastAsia="Arial" w:hAnsi="Arial" w:cs="Arial"/>
            <w:color w:val="1155CC"/>
            <w:u w:val="single"/>
          </w:rPr>
          <w:t>https://www.bhp.com/news/bhp-insights/2024/10/pathways-towards-steelmaking-decar</w:t>
        </w:r>
        <w:r>
          <w:rPr>
            <w:rFonts w:ascii="Arial" w:eastAsia="Arial" w:hAnsi="Arial" w:cs="Arial"/>
            <w:color w:val="1155CC"/>
            <w:u w:val="single"/>
          </w:rPr>
          <w:t>bonisation</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BHP Group (2026a) </w:t>
      </w:r>
      <w:r>
        <w:rPr>
          <w:rFonts w:ascii="Arial" w:eastAsia="Arial" w:hAnsi="Arial" w:cs="Arial"/>
          <w:i/>
          <w:iCs/>
        </w:rPr>
        <w:t>Accelerating performance, delivering growth Full year ended 30 June 2026</w:t>
      </w:r>
      <w:r>
        <w:rPr>
          <w:rFonts w:ascii="Arial" w:eastAsia="Arial" w:hAnsi="Arial" w:cs="Arial"/>
        </w:rPr>
        <w:t xml:space="preserve">. Available at: </w:t>
      </w:r>
      <w:hyperlink r:id="rId37">
        <w:r>
          <w:rPr>
            <w:rFonts w:ascii="Arial" w:eastAsia="Arial" w:hAnsi="Arial" w:cs="Arial"/>
            <w:color w:val="1155CC"/>
            <w:u w:val="single"/>
          </w:rPr>
          <w:t>https://www.bhp.com/-/media/documents/media/reports-and-presentations/2026/260818_bhpresultsfortheyearended30june2026_presentation.pdf</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BHP group (2026) </w:t>
      </w:r>
      <w:r>
        <w:rPr>
          <w:rFonts w:ascii="Arial" w:eastAsia="Arial" w:hAnsi="Arial" w:cs="Arial"/>
          <w:i/>
          <w:iCs/>
        </w:rPr>
        <w:t>Annual Report 2026</w:t>
      </w:r>
      <w:r>
        <w:rPr>
          <w:rFonts w:ascii="Arial" w:eastAsia="Arial" w:hAnsi="Arial" w:cs="Arial"/>
        </w:rPr>
        <w:t xml:space="preserve">, </w:t>
      </w:r>
      <w:r>
        <w:rPr>
          <w:rFonts w:ascii="Arial" w:eastAsia="Arial" w:hAnsi="Arial" w:cs="Arial"/>
          <w:i/>
          <w:iCs/>
        </w:rPr>
        <w:t>Bhp.com</w:t>
      </w:r>
      <w:r>
        <w:rPr>
          <w:rFonts w:ascii="Arial" w:eastAsia="Arial" w:hAnsi="Arial" w:cs="Arial"/>
        </w:rPr>
        <w:t xml:space="preserve">. Available at: </w:t>
      </w:r>
      <w:hyperlink r:id="rId38">
        <w:r>
          <w:rPr>
            <w:rFonts w:ascii="Arial" w:eastAsia="Arial" w:hAnsi="Arial" w:cs="Arial"/>
            <w:color w:val="1155CC"/>
            <w:u w:val="single"/>
          </w:rPr>
          <w:t>https://www.bhp.com/-/media/documents/investors/annual-reports/2026/260818_bhpannualreport2026</w:t>
        </w:r>
      </w:hyperlink>
      <w:r>
        <w:rPr>
          <w:rFonts w:ascii="Arial" w:eastAsia="Arial" w:hAnsi="Arial" w:cs="Arial"/>
        </w:rPr>
        <w:t xml:space="preserve"> </w:t>
      </w:r>
    </w:p>
    <w:p w:rsidR="001815C2" w:rsidRDefault="004C2125">
      <w:pPr>
        <w:spacing w:after="240"/>
        <w:rPr>
          <w:rFonts w:ascii="Arial" w:eastAsia="Arial" w:hAnsi="Arial" w:cs="Arial"/>
        </w:rPr>
      </w:pPr>
      <w:proofErr w:type="gramStart"/>
      <w:r>
        <w:rPr>
          <w:rFonts w:ascii="Arial" w:eastAsia="Arial" w:hAnsi="Arial" w:cs="Arial"/>
        </w:rPr>
        <w:t xml:space="preserve">BHP Group (2026b) </w:t>
      </w:r>
      <w:r>
        <w:rPr>
          <w:rFonts w:ascii="Arial" w:eastAsia="Arial" w:hAnsi="Arial" w:cs="Arial"/>
          <w:i/>
          <w:iCs/>
        </w:rPr>
        <w:t>Modifying the blast furnace route for lower carbon intensity steelma</w:t>
      </w:r>
      <w:r>
        <w:rPr>
          <w:rFonts w:ascii="Arial" w:eastAsia="Arial" w:hAnsi="Arial" w:cs="Arial"/>
          <w:i/>
          <w:iCs/>
        </w:rPr>
        <w:t>king</w:t>
      </w:r>
      <w:r>
        <w:rPr>
          <w:rFonts w:ascii="Arial" w:eastAsia="Arial" w:hAnsi="Arial" w:cs="Arial"/>
        </w:rPr>
        <w:t xml:space="preserve">, </w:t>
      </w:r>
      <w:r>
        <w:rPr>
          <w:rFonts w:ascii="Arial" w:eastAsia="Arial" w:hAnsi="Arial" w:cs="Arial"/>
          <w:i/>
          <w:iCs/>
        </w:rPr>
        <w:t>Bhp.com</w:t>
      </w:r>
      <w:r>
        <w:rPr>
          <w:rFonts w:ascii="Arial" w:eastAsia="Arial" w:hAnsi="Arial" w:cs="Arial"/>
        </w:rPr>
        <w:t>.</w:t>
      </w:r>
      <w:proofErr w:type="gramEnd"/>
      <w:r>
        <w:rPr>
          <w:rFonts w:ascii="Arial" w:eastAsia="Arial" w:hAnsi="Arial" w:cs="Arial"/>
        </w:rPr>
        <w:t xml:space="preserve"> Available at: </w:t>
      </w:r>
      <w:hyperlink r:id="rId39">
        <w:r>
          <w:rPr>
            <w:rFonts w:ascii="Arial" w:eastAsia="Arial" w:hAnsi="Arial" w:cs="Arial"/>
            <w:color w:val="1155CC"/>
            <w:u w:val="single"/>
          </w:rPr>
          <w:t>https://www.bhp.com/news/bhp-insights/2026/06/modifying-the-blast-furnace-route-for-lower-ca</w:t>
        </w:r>
        <w:r>
          <w:rPr>
            <w:rFonts w:ascii="Arial" w:eastAsia="Arial" w:hAnsi="Arial" w:cs="Arial"/>
            <w:color w:val="1155CC"/>
            <w:u w:val="single"/>
          </w:rPr>
          <w:t>rbon-intensity-steelmaking</w:t>
        </w:r>
      </w:hyperlink>
      <w:r>
        <w:rPr>
          <w:rFonts w:ascii="Arial" w:eastAsia="Arial" w:hAnsi="Arial" w:cs="Arial"/>
        </w:rPr>
        <w:t xml:space="preserve"> </w:t>
      </w:r>
    </w:p>
    <w:p w:rsidR="001815C2" w:rsidRDefault="004C2125">
      <w:pPr>
        <w:spacing w:after="240"/>
        <w:rPr>
          <w:rFonts w:ascii="Arial" w:eastAsia="Arial" w:hAnsi="Arial" w:cs="Arial"/>
        </w:rPr>
      </w:pPr>
      <w:proofErr w:type="gramStart"/>
      <w:r>
        <w:rPr>
          <w:rFonts w:ascii="Arial" w:eastAsia="Arial" w:hAnsi="Arial" w:cs="Arial"/>
        </w:rPr>
        <w:t xml:space="preserve">BHP Group (2026c) </w:t>
      </w:r>
      <w:r>
        <w:rPr>
          <w:rFonts w:ascii="Arial" w:eastAsia="Arial" w:hAnsi="Arial" w:cs="Arial"/>
          <w:i/>
          <w:iCs/>
        </w:rPr>
        <w:t>Steelmaking decarbonisation</w:t>
      </w:r>
      <w:r>
        <w:rPr>
          <w:rFonts w:ascii="Arial" w:eastAsia="Arial" w:hAnsi="Arial" w:cs="Arial"/>
        </w:rPr>
        <w:t xml:space="preserve">, </w:t>
      </w:r>
      <w:r>
        <w:rPr>
          <w:rFonts w:ascii="Arial" w:eastAsia="Arial" w:hAnsi="Arial" w:cs="Arial"/>
          <w:i/>
          <w:iCs/>
        </w:rPr>
        <w:t>Bhp.com</w:t>
      </w:r>
      <w:r>
        <w:rPr>
          <w:rFonts w:ascii="Arial" w:eastAsia="Arial" w:hAnsi="Arial" w:cs="Arial"/>
        </w:rPr>
        <w:t>.</w:t>
      </w:r>
      <w:proofErr w:type="gramEnd"/>
      <w:r>
        <w:rPr>
          <w:rFonts w:ascii="Arial" w:eastAsia="Arial" w:hAnsi="Arial" w:cs="Arial"/>
        </w:rPr>
        <w:t xml:space="preserve"> Available at: </w:t>
      </w:r>
      <w:hyperlink r:id="rId40">
        <w:r>
          <w:rPr>
            <w:rFonts w:ascii="Arial" w:eastAsia="Arial" w:hAnsi="Arial" w:cs="Arial"/>
            <w:color w:val="1155CC"/>
            <w:u w:val="single"/>
          </w:rPr>
          <w:t>https://www.bhp.com/news/bhp-insights/2025/12/steelmaking-decarbo</w:t>
        </w:r>
        <w:r>
          <w:rPr>
            <w:rFonts w:ascii="Arial" w:eastAsia="Arial" w:hAnsi="Arial" w:cs="Arial"/>
            <w:color w:val="1155CC"/>
            <w:u w:val="single"/>
          </w:rPr>
          <w:t>nisation</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lastRenderedPageBreak/>
        <w:t xml:space="preserve">BHP Group Limited (2026) </w:t>
      </w:r>
      <w:r>
        <w:rPr>
          <w:rFonts w:ascii="Arial" w:eastAsia="Arial" w:hAnsi="Arial" w:cs="Arial"/>
          <w:i/>
          <w:iCs/>
        </w:rPr>
        <w:t>BHP FY2026 results announcement - BHP Group Limited (</w:t>
      </w:r>
      <w:proofErr w:type="spellStart"/>
      <w:r>
        <w:rPr>
          <w:rFonts w:ascii="Arial" w:eastAsia="Arial" w:hAnsi="Arial" w:cs="Arial"/>
          <w:i/>
          <w:iCs/>
        </w:rPr>
        <w:t>ASX</w:t>
      </w:r>
      <w:proofErr w:type="gramStart"/>
      <w:r>
        <w:rPr>
          <w:rFonts w:ascii="Arial" w:eastAsia="Arial" w:hAnsi="Arial" w:cs="Arial"/>
          <w:i/>
          <w:iCs/>
        </w:rPr>
        <w:t>:Bhp</w:t>
      </w:r>
      <w:proofErr w:type="spellEnd"/>
      <w:proofErr w:type="gramEnd"/>
      <w:r>
        <w:rPr>
          <w:rFonts w:ascii="Arial" w:eastAsia="Arial" w:hAnsi="Arial" w:cs="Arial"/>
          <w:i/>
          <w:iCs/>
        </w:rPr>
        <w:t>)</w:t>
      </w:r>
      <w:r>
        <w:rPr>
          <w:rFonts w:ascii="Arial" w:eastAsia="Arial" w:hAnsi="Arial" w:cs="Arial"/>
        </w:rPr>
        <w:t xml:space="preserve">, </w:t>
      </w:r>
      <w:r>
        <w:rPr>
          <w:rFonts w:ascii="Arial" w:eastAsia="Arial" w:hAnsi="Arial" w:cs="Arial"/>
          <w:i/>
          <w:iCs/>
        </w:rPr>
        <w:t>listcorp1</w:t>
      </w:r>
      <w:r>
        <w:rPr>
          <w:rFonts w:ascii="Arial" w:eastAsia="Arial" w:hAnsi="Arial" w:cs="Arial"/>
        </w:rPr>
        <w:t xml:space="preserve">. </w:t>
      </w:r>
      <w:proofErr w:type="spellStart"/>
      <w:proofErr w:type="gramStart"/>
      <w:r>
        <w:rPr>
          <w:rFonts w:ascii="Arial" w:eastAsia="Arial" w:hAnsi="Arial" w:cs="Arial"/>
        </w:rPr>
        <w:t>Listcorp</w:t>
      </w:r>
      <w:proofErr w:type="spellEnd"/>
      <w:r>
        <w:rPr>
          <w:rFonts w:ascii="Arial" w:eastAsia="Arial" w:hAnsi="Arial" w:cs="Arial"/>
        </w:rPr>
        <w:t>.</w:t>
      </w:r>
      <w:proofErr w:type="gramEnd"/>
      <w:r>
        <w:rPr>
          <w:rFonts w:ascii="Arial" w:eastAsia="Arial" w:hAnsi="Arial" w:cs="Arial"/>
        </w:rPr>
        <w:t xml:space="preserve"> Available at: </w:t>
      </w:r>
      <w:hyperlink r:id="rId41">
        <w:r>
          <w:rPr>
            <w:rFonts w:ascii="Arial" w:eastAsia="Arial" w:hAnsi="Arial" w:cs="Arial"/>
            <w:color w:val="1155CC"/>
            <w:u w:val="single"/>
          </w:rPr>
          <w:t>https://www.listcorp.com/asx/bhp/bhp-group-limited/news/bhp-fy2026-results-announcement-3390513.html</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Calloway, M. (2026) </w:t>
      </w:r>
      <w:r>
        <w:rPr>
          <w:rFonts w:ascii="Arial" w:eastAsia="Arial" w:hAnsi="Arial" w:cs="Arial"/>
          <w:i/>
          <w:iCs/>
        </w:rPr>
        <w:t xml:space="preserve">BHP announces $10 billion investment in </w:t>
      </w:r>
      <w:proofErr w:type="gramStart"/>
      <w:r>
        <w:rPr>
          <w:rFonts w:ascii="Arial" w:eastAsia="Arial" w:hAnsi="Arial" w:cs="Arial"/>
          <w:i/>
          <w:iCs/>
        </w:rPr>
        <w:t>western</w:t>
      </w:r>
      <w:proofErr w:type="gramEnd"/>
      <w:r>
        <w:rPr>
          <w:rFonts w:ascii="Arial" w:eastAsia="Arial" w:hAnsi="Arial" w:cs="Arial"/>
          <w:i/>
          <w:iCs/>
        </w:rPr>
        <w:t xml:space="preserve"> Australia Iron Ore Operations</w:t>
      </w:r>
      <w:r>
        <w:rPr>
          <w:rFonts w:ascii="Arial" w:eastAsia="Arial" w:hAnsi="Arial" w:cs="Arial"/>
        </w:rPr>
        <w:t xml:space="preserve">, </w:t>
      </w:r>
      <w:r>
        <w:rPr>
          <w:rFonts w:ascii="Arial" w:eastAsia="Arial" w:hAnsi="Arial" w:cs="Arial"/>
          <w:i/>
          <w:iCs/>
        </w:rPr>
        <w:t>MineListings.com</w:t>
      </w:r>
      <w:r>
        <w:rPr>
          <w:rFonts w:ascii="Arial" w:eastAsia="Arial" w:hAnsi="Arial" w:cs="Arial"/>
        </w:rPr>
        <w:t xml:space="preserve">. Available at: </w:t>
      </w:r>
      <w:hyperlink r:id="rId42">
        <w:r>
          <w:rPr>
            <w:rFonts w:ascii="Arial" w:eastAsia="Arial" w:hAnsi="Arial" w:cs="Arial"/>
            <w:color w:val="1155CC"/>
            <w:u w:val="single"/>
          </w:rPr>
          <w:t>https://minelistings.com/news/industry-news/bhp-announces-10-billion-investment-in-western-australia-iron-ore-operations/</w:t>
        </w:r>
      </w:hyperlink>
      <w:r>
        <w:rPr>
          <w:rFonts w:ascii="Arial" w:eastAsia="Arial" w:hAnsi="Arial" w:cs="Arial"/>
        </w:rPr>
        <w:t xml:space="preserve"> </w:t>
      </w:r>
    </w:p>
    <w:p w:rsidR="001815C2" w:rsidRDefault="004C2125">
      <w:pPr>
        <w:spacing w:after="240"/>
        <w:rPr>
          <w:rFonts w:ascii="Arial" w:eastAsia="Arial" w:hAnsi="Arial" w:cs="Arial"/>
        </w:rPr>
      </w:pPr>
      <w:proofErr w:type="gramStart"/>
      <w:r>
        <w:rPr>
          <w:rFonts w:ascii="Arial" w:eastAsia="Arial" w:hAnsi="Arial" w:cs="Arial"/>
        </w:rPr>
        <w:t>Climate Chan</w:t>
      </w:r>
      <w:r>
        <w:rPr>
          <w:rFonts w:ascii="Arial" w:eastAsia="Arial" w:hAnsi="Arial" w:cs="Arial"/>
        </w:rPr>
        <w:t xml:space="preserve">ge Authority (2026) </w:t>
      </w:r>
      <w:r>
        <w:rPr>
          <w:rFonts w:ascii="Arial" w:eastAsia="Arial" w:hAnsi="Arial" w:cs="Arial"/>
          <w:i/>
          <w:iCs/>
        </w:rPr>
        <w:t>2035 TARGETS</w:t>
      </w:r>
      <w:r>
        <w:rPr>
          <w:rFonts w:ascii="Arial" w:eastAsia="Arial" w:hAnsi="Arial" w:cs="Arial"/>
        </w:rPr>
        <w:t>.</w:t>
      </w:r>
      <w:proofErr w:type="gramEnd"/>
      <w:r>
        <w:rPr>
          <w:rFonts w:ascii="Arial" w:eastAsia="Arial" w:hAnsi="Arial" w:cs="Arial"/>
        </w:rPr>
        <w:t xml:space="preserve"> Available at: </w:t>
      </w:r>
      <w:hyperlink r:id="rId43">
        <w:r>
          <w:rPr>
            <w:rFonts w:ascii="Arial" w:eastAsia="Arial" w:hAnsi="Arial" w:cs="Arial"/>
            <w:color w:val="1155CC"/>
            <w:u w:val="single"/>
          </w:rPr>
          <w:t>https://www.climatechangeauthority.gov.au/sites/default/files/documents/202</w:t>
        </w:r>
        <w:r>
          <w:rPr>
            <w:rFonts w:ascii="Arial" w:eastAsia="Arial" w:hAnsi="Arial" w:cs="Arial"/>
            <w:color w:val="1155CC"/>
            <w:u w:val="single"/>
          </w:rPr>
          <w:t>5-09/2035%20Targets%20Advice%20Report.pdf</w:t>
        </w:r>
      </w:hyperlink>
      <w:r>
        <w:rPr>
          <w:rFonts w:ascii="Arial" w:eastAsia="Arial" w:hAnsi="Arial" w:cs="Arial"/>
        </w:rPr>
        <w:t xml:space="preserve">. </w:t>
      </w:r>
    </w:p>
    <w:p w:rsidR="001815C2" w:rsidRDefault="004C2125">
      <w:pPr>
        <w:spacing w:after="240"/>
        <w:rPr>
          <w:rFonts w:ascii="Arial" w:eastAsia="Arial" w:hAnsi="Arial" w:cs="Arial"/>
        </w:rPr>
      </w:pPr>
      <w:proofErr w:type="gramStart"/>
      <w:r>
        <w:rPr>
          <w:rFonts w:ascii="Arial" w:eastAsia="Arial" w:hAnsi="Arial" w:cs="Arial"/>
        </w:rPr>
        <w:t xml:space="preserve">Cox, M. (2026) </w:t>
      </w:r>
      <w:r>
        <w:rPr>
          <w:rFonts w:ascii="Arial" w:eastAsia="Arial" w:hAnsi="Arial" w:cs="Arial"/>
          <w:i/>
          <w:iCs/>
        </w:rPr>
        <w:t>CCUS Hub Study identifies five Asia-Pacific hub sites and welcomes new consortium partners</w:t>
      </w:r>
      <w:r>
        <w:rPr>
          <w:rFonts w:ascii="Arial" w:eastAsia="Arial" w:hAnsi="Arial" w:cs="Arial"/>
        </w:rPr>
        <w:t xml:space="preserve">, </w:t>
      </w:r>
      <w:r>
        <w:rPr>
          <w:rFonts w:ascii="Arial" w:eastAsia="Arial" w:hAnsi="Arial" w:cs="Arial"/>
          <w:i/>
          <w:iCs/>
        </w:rPr>
        <w:t>Hatch.com</w:t>
      </w:r>
      <w:r>
        <w:rPr>
          <w:rFonts w:ascii="Arial" w:eastAsia="Arial" w:hAnsi="Arial" w:cs="Arial"/>
        </w:rPr>
        <w:t>.</w:t>
      </w:r>
      <w:proofErr w:type="gramEnd"/>
      <w:r>
        <w:rPr>
          <w:rFonts w:ascii="Arial" w:eastAsia="Arial" w:hAnsi="Arial" w:cs="Arial"/>
        </w:rPr>
        <w:t xml:space="preserve"> Available at: </w:t>
      </w:r>
      <w:hyperlink r:id="rId44">
        <w:r>
          <w:rPr>
            <w:rFonts w:ascii="Arial" w:eastAsia="Arial" w:hAnsi="Arial" w:cs="Arial"/>
            <w:color w:val="1155CC"/>
            <w:u w:val="single"/>
          </w:rPr>
          <w:t>https://www.hatch.com/About-Us/News-And-Media/2026/04/CCUS-Hub-Study-identifies-five-Asia-Pacific-hub-sites</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DAWE (2025) </w:t>
      </w:r>
      <w:r>
        <w:rPr>
          <w:rFonts w:ascii="Arial" w:eastAsia="Arial" w:hAnsi="Arial" w:cs="Arial"/>
          <w:i/>
          <w:iCs/>
        </w:rPr>
        <w:t>Setting our 2035 target and path to net zero</w:t>
      </w:r>
      <w:r>
        <w:rPr>
          <w:rFonts w:ascii="Arial" w:eastAsia="Arial" w:hAnsi="Arial" w:cs="Arial"/>
        </w:rPr>
        <w:t xml:space="preserve">, </w:t>
      </w:r>
      <w:r>
        <w:rPr>
          <w:rFonts w:ascii="Arial" w:eastAsia="Arial" w:hAnsi="Arial" w:cs="Arial"/>
          <w:i/>
          <w:iCs/>
        </w:rPr>
        <w:t>DAWE</w:t>
      </w:r>
      <w:r>
        <w:rPr>
          <w:rFonts w:ascii="Arial" w:eastAsia="Arial" w:hAnsi="Arial" w:cs="Arial"/>
        </w:rPr>
        <w:t xml:space="preserve">. Available at: </w:t>
      </w:r>
      <w:hyperlink r:id="rId45">
        <w:r>
          <w:rPr>
            <w:rFonts w:ascii="Arial" w:eastAsia="Arial" w:hAnsi="Arial" w:cs="Arial"/>
            <w:color w:val="1155CC"/>
            <w:u w:val="single"/>
          </w:rPr>
          <w:t>https://www.dcceew.gov.au/about/news/setting-2035-target-path-net-zero</w:t>
        </w:r>
      </w:hyperlink>
      <w:r>
        <w:rPr>
          <w:rFonts w:ascii="Arial" w:eastAsia="Arial" w:hAnsi="Arial" w:cs="Arial"/>
        </w:rPr>
        <w:t xml:space="preserve"> </w:t>
      </w:r>
    </w:p>
    <w:p w:rsidR="001815C2" w:rsidRDefault="004C2125">
      <w:pPr>
        <w:spacing w:after="240"/>
        <w:rPr>
          <w:rFonts w:ascii="Arial" w:eastAsia="Arial" w:hAnsi="Arial" w:cs="Arial"/>
        </w:rPr>
      </w:pPr>
      <w:proofErr w:type="gramStart"/>
      <w:r>
        <w:rPr>
          <w:rFonts w:ascii="Arial" w:eastAsia="Arial" w:hAnsi="Arial" w:cs="Arial"/>
        </w:rPr>
        <w:t xml:space="preserve">DCCEEW (2025) </w:t>
      </w:r>
      <w:r>
        <w:rPr>
          <w:rFonts w:ascii="Arial" w:eastAsia="Arial" w:hAnsi="Arial" w:cs="Arial"/>
          <w:i/>
          <w:iCs/>
        </w:rPr>
        <w:t>Safeguard mechanism</w:t>
      </w:r>
      <w:r>
        <w:rPr>
          <w:rFonts w:ascii="Arial" w:eastAsia="Arial" w:hAnsi="Arial" w:cs="Arial"/>
        </w:rPr>
        <w:t xml:space="preserve">, </w:t>
      </w:r>
      <w:r>
        <w:rPr>
          <w:rFonts w:ascii="Arial" w:eastAsia="Arial" w:hAnsi="Arial" w:cs="Arial"/>
          <w:i/>
          <w:iCs/>
        </w:rPr>
        <w:t>Dcceew.gov.au</w:t>
      </w:r>
      <w:r>
        <w:rPr>
          <w:rFonts w:ascii="Arial" w:eastAsia="Arial" w:hAnsi="Arial" w:cs="Arial"/>
        </w:rPr>
        <w:t>.</w:t>
      </w:r>
      <w:proofErr w:type="gramEnd"/>
      <w:r>
        <w:rPr>
          <w:rFonts w:ascii="Arial" w:eastAsia="Arial" w:hAnsi="Arial" w:cs="Arial"/>
        </w:rPr>
        <w:t xml:space="preserve"> Available at: </w:t>
      </w:r>
      <w:hyperlink r:id="rId46">
        <w:r>
          <w:rPr>
            <w:rFonts w:ascii="Arial" w:eastAsia="Arial" w:hAnsi="Arial" w:cs="Arial"/>
            <w:color w:val="1155CC"/>
            <w:u w:val="single"/>
          </w:rPr>
          <w:t>https://www.dcceew.gov.au/climate-change/emissions-reporting/national-greenhouse-energy-reporting-scheme/safeguard-mechanism</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De La Cruz, G. (2026) </w:t>
      </w:r>
      <w:r>
        <w:rPr>
          <w:rFonts w:ascii="Arial" w:eastAsia="Arial" w:hAnsi="Arial" w:cs="Arial"/>
          <w:i/>
          <w:iCs/>
        </w:rPr>
        <w:t>Copper’s role</w:t>
      </w:r>
      <w:r>
        <w:rPr>
          <w:rFonts w:ascii="Arial" w:eastAsia="Arial" w:hAnsi="Arial" w:cs="Arial"/>
          <w:i/>
          <w:iCs/>
        </w:rPr>
        <w:t xml:space="preserve"> in AI-Powered data </w:t>
      </w:r>
      <w:proofErr w:type="spellStart"/>
      <w:r>
        <w:rPr>
          <w:rFonts w:ascii="Arial" w:eastAsia="Arial" w:hAnsi="Arial" w:cs="Arial"/>
          <w:i/>
          <w:iCs/>
        </w:rPr>
        <w:t>centers</w:t>
      </w:r>
      <w:proofErr w:type="spellEnd"/>
      <w:r>
        <w:rPr>
          <w:rFonts w:ascii="Arial" w:eastAsia="Arial" w:hAnsi="Arial" w:cs="Arial"/>
          <w:i/>
          <w:iCs/>
        </w:rPr>
        <w:t>: A deep dive</w:t>
      </w:r>
      <w:r>
        <w:rPr>
          <w:rFonts w:ascii="Arial" w:eastAsia="Arial" w:hAnsi="Arial" w:cs="Arial"/>
        </w:rPr>
        <w:t xml:space="preserve">, </w:t>
      </w:r>
      <w:r>
        <w:rPr>
          <w:rFonts w:ascii="Arial" w:eastAsia="Arial" w:hAnsi="Arial" w:cs="Arial"/>
          <w:i/>
          <w:iCs/>
        </w:rPr>
        <w:t>Investing News Network (INN)</w:t>
      </w:r>
      <w:r>
        <w:rPr>
          <w:rFonts w:ascii="Arial" w:eastAsia="Arial" w:hAnsi="Arial" w:cs="Arial"/>
        </w:rPr>
        <w:t xml:space="preserve">. Available at: </w:t>
      </w:r>
      <w:hyperlink r:id="rId47">
        <w:r>
          <w:rPr>
            <w:rFonts w:ascii="Arial" w:eastAsia="Arial" w:hAnsi="Arial" w:cs="Arial"/>
            <w:color w:val="1155CC"/>
            <w:u w:val="single"/>
          </w:rPr>
          <w:t>https://investingnews.com/copper-in-power-how-ai-driven-data-ce</w:t>
        </w:r>
        <w:r>
          <w:rPr>
            <w:rFonts w:ascii="Arial" w:eastAsia="Arial" w:hAnsi="Arial" w:cs="Arial"/>
            <w:color w:val="1155CC"/>
            <w:u w:val="single"/>
          </w:rPr>
          <w:t>nters-affect-copper-demand/</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Dong, Y. (2025) “The impact of carbon tariff policies on China’s steel export industry-A perspective based on the EU carbon border adjustment mechanism,” </w:t>
      </w:r>
      <w:r>
        <w:rPr>
          <w:rFonts w:ascii="Arial" w:eastAsia="Arial" w:hAnsi="Arial" w:cs="Arial"/>
          <w:i/>
          <w:iCs/>
        </w:rPr>
        <w:t>Transactions on Economics, Business and Management Research</w:t>
      </w:r>
      <w:r>
        <w:rPr>
          <w:rFonts w:ascii="Arial" w:eastAsia="Arial" w:hAnsi="Arial" w:cs="Arial"/>
        </w:rPr>
        <w:t>, 16, pp. 7</w:t>
      </w:r>
      <w:r>
        <w:rPr>
          <w:rFonts w:ascii="Arial" w:eastAsia="Arial" w:hAnsi="Arial" w:cs="Arial"/>
        </w:rPr>
        <w:t xml:space="preserve">0–75. Available at: </w:t>
      </w:r>
      <w:hyperlink r:id="rId48">
        <w:r>
          <w:rPr>
            <w:rFonts w:ascii="Arial" w:eastAsia="Arial" w:hAnsi="Arial" w:cs="Arial"/>
            <w:color w:val="1155CC"/>
            <w:u w:val="single"/>
          </w:rPr>
          <w:t>https://doi.org/10.62051/4s5byp64</w:t>
        </w:r>
      </w:hyperlink>
      <w:r>
        <w:rPr>
          <w:rFonts w:ascii="Arial" w:eastAsia="Arial" w:hAnsi="Arial" w:cs="Arial"/>
        </w:rPr>
        <w:t xml:space="preserve">. </w:t>
      </w:r>
    </w:p>
    <w:p w:rsidR="001815C2" w:rsidRDefault="004C2125">
      <w:pPr>
        <w:spacing w:after="240"/>
        <w:rPr>
          <w:rFonts w:ascii="Arial" w:eastAsia="Arial" w:hAnsi="Arial" w:cs="Arial"/>
        </w:rPr>
      </w:pPr>
      <w:proofErr w:type="spellStart"/>
      <w:r>
        <w:rPr>
          <w:rFonts w:ascii="Arial" w:eastAsia="Arial" w:hAnsi="Arial" w:cs="Arial"/>
        </w:rPr>
        <w:t>Elif</w:t>
      </w:r>
      <w:proofErr w:type="spellEnd"/>
      <w:r>
        <w:rPr>
          <w:rFonts w:ascii="Arial" w:eastAsia="Arial" w:hAnsi="Arial" w:cs="Arial"/>
        </w:rPr>
        <w:t xml:space="preserve"> </w:t>
      </w:r>
      <w:proofErr w:type="spellStart"/>
      <w:r>
        <w:rPr>
          <w:rFonts w:ascii="Arial" w:eastAsia="Arial" w:hAnsi="Arial" w:cs="Arial"/>
        </w:rPr>
        <w:t>Kefeli</w:t>
      </w:r>
      <w:proofErr w:type="spellEnd"/>
      <w:r>
        <w:rPr>
          <w:rFonts w:ascii="Arial" w:eastAsia="Arial" w:hAnsi="Arial" w:cs="Arial"/>
        </w:rPr>
        <w:t xml:space="preserve"> (2026) </w:t>
      </w:r>
      <w:r>
        <w:rPr>
          <w:rFonts w:ascii="Arial" w:eastAsia="Arial" w:hAnsi="Arial" w:cs="Arial"/>
          <w:i/>
          <w:iCs/>
        </w:rPr>
        <w:t xml:space="preserve">BHP and China </w:t>
      </w:r>
      <w:proofErr w:type="spellStart"/>
      <w:r>
        <w:rPr>
          <w:rFonts w:ascii="Arial" w:eastAsia="Arial" w:hAnsi="Arial" w:cs="Arial"/>
          <w:i/>
          <w:iCs/>
        </w:rPr>
        <w:t>Baowu</w:t>
      </w:r>
      <w:proofErr w:type="spellEnd"/>
      <w:r>
        <w:rPr>
          <w:rFonts w:ascii="Arial" w:eastAsia="Arial" w:hAnsi="Arial" w:cs="Arial"/>
          <w:i/>
          <w:iCs/>
        </w:rPr>
        <w:t xml:space="preserve"> renew steel </w:t>
      </w:r>
      <w:proofErr w:type="spellStart"/>
      <w:r>
        <w:rPr>
          <w:rFonts w:ascii="Arial" w:eastAsia="Arial" w:hAnsi="Arial" w:cs="Arial"/>
          <w:i/>
          <w:iCs/>
        </w:rPr>
        <w:t>decarbonization</w:t>
      </w:r>
      <w:proofErr w:type="spellEnd"/>
      <w:r>
        <w:rPr>
          <w:rFonts w:ascii="Arial" w:eastAsia="Arial" w:hAnsi="Arial" w:cs="Arial"/>
          <w:i/>
          <w:iCs/>
        </w:rPr>
        <w:t xml:space="preserve"> partnership for another five years</w:t>
      </w:r>
      <w:r>
        <w:rPr>
          <w:rFonts w:ascii="Arial" w:eastAsia="Arial" w:hAnsi="Arial" w:cs="Arial"/>
        </w:rPr>
        <w:t xml:space="preserve">, </w:t>
      </w:r>
      <w:proofErr w:type="spellStart"/>
      <w:r>
        <w:rPr>
          <w:rFonts w:ascii="Arial" w:eastAsia="Arial" w:hAnsi="Arial" w:cs="Arial"/>
          <w:i/>
          <w:iCs/>
        </w:rPr>
        <w:t>SteelOrbis</w:t>
      </w:r>
      <w:proofErr w:type="spellEnd"/>
      <w:r>
        <w:rPr>
          <w:rFonts w:ascii="Arial" w:eastAsia="Arial" w:hAnsi="Arial" w:cs="Arial"/>
        </w:rPr>
        <w:t xml:space="preserve">. Available at: </w:t>
      </w:r>
      <w:hyperlink r:id="rId49">
        <w:r>
          <w:rPr>
            <w:rFonts w:ascii="Arial" w:eastAsia="Arial" w:hAnsi="Arial" w:cs="Arial"/>
            <w:color w:val="1155CC"/>
            <w:u w:val="single"/>
          </w:rPr>
          <w:t>https://www.steelorbis.com/steel-news/latest-news/bhp-and-china-baowu-renew-steel-decarbonization-partnersh</w:t>
        </w:r>
        <w:r>
          <w:rPr>
            <w:rFonts w:ascii="Arial" w:eastAsia="Arial" w:hAnsi="Arial" w:cs="Arial"/>
            <w:color w:val="1155CC"/>
            <w:u w:val="single"/>
          </w:rPr>
          <w:t>ip-for-another-five-years-1478948.htm</w:t>
        </w:r>
      </w:hyperlink>
      <w:r>
        <w:rPr>
          <w:rFonts w:ascii="Arial" w:eastAsia="Arial" w:hAnsi="Arial" w:cs="Arial"/>
        </w:rPr>
        <w:t xml:space="preserve"> </w:t>
      </w:r>
    </w:p>
    <w:p w:rsidR="001815C2" w:rsidRDefault="004C2125">
      <w:pPr>
        <w:spacing w:after="240"/>
        <w:rPr>
          <w:rFonts w:ascii="Arial" w:eastAsia="Arial" w:hAnsi="Arial" w:cs="Arial"/>
        </w:rPr>
      </w:pPr>
      <w:proofErr w:type="spellStart"/>
      <w:r>
        <w:rPr>
          <w:rFonts w:ascii="Arial" w:eastAsia="Arial" w:hAnsi="Arial" w:cs="Arial"/>
        </w:rPr>
        <w:lastRenderedPageBreak/>
        <w:t>Ellins</w:t>
      </w:r>
      <w:proofErr w:type="spellEnd"/>
      <w:r>
        <w:rPr>
          <w:rFonts w:ascii="Arial" w:eastAsia="Arial" w:hAnsi="Arial" w:cs="Arial"/>
        </w:rPr>
        <w:t xml:space="preserve">, J., Daniel, K. and </w:t>
      </w:r>
      <w:proofErr w:type="spellStart"/>
      <w:r>
        <w:rPr>
          <w:rFonts w:ascii="Arial" w:eastAsia="Arial" w:hAnsi="Arial" w:cs="Arial"/>
        </w:rPr>
        <w:t>Sidhu</w:t>
      </w:r>
      <w:proofErr w:type="spellEnd"/>
      <w:r>
        <w:rPr>
          <w:rFonts w:ascii="Arial" w:eastAsia="Arial" w:hAnsi="Arial" w:cs="Arial"/>
        </w:rPr>
        <w:t xml:space="preserve">, M. (2025) “We can evaluate rapidly, but should we? </w:t>
      </w:r>
      <w:proofErr w:type="gramStart"/>
      <w:r>
        <w:rPr>
          <w:rFonts w:ascii="Arial" w:eastAsia="Arial" w:hAnsi="Arial" w:cs="Arial"/>
        </w:rPr>
        <w:t xml:space="preserve">Researchers’ and research funders’ perspectives on the uses, challenges and limitations of rapid health care evaluation,” </w:t>
      </w:r>
      <w:r>
        <w:rPr>
          <w:rFonts w:ascii="Arial" w:eastAsia="Arial" w:hAnsi="Arial" w:cs="Arial"/>
          <w:i/>
          <w:iCs/>
        </w:rPr>
        <w:t>Journal</w:t>
      </w:r>
      <w:r>
        <w:rPr>
          <w:rFonts w:ascii="Arial" w:eastAsia="Arial" w:hAnsi="Arial" w:cs="Arial"/>
          <w:i/>
          <w:iCs/>
        </w:rPr>
        <w:t xml:space="preserve"> of Health Services Research &amp; Policy</w:t>
      </w:r>
      <w:r>
        <w:rPr>
          <w:rFonts w:ascii="Arial" w:eastAsia="Arial" w:hAnsi="Arial" w:cs="Arial"/>
        </w:rPr>
        <w:t xml:space="preserve"> [Preprint].</w:t>
      </w:r>
      <w:proofErr w:type="gramEnd"/>
      <w:r>
        <w:rPr>
          <w:rFonts w:ascii="Arial" w:eastAsia="Arial" w:hAnsi="Arial" w:cs="Arial"/>
        </w:rPr>
        <w:t xml:space="preserve"> Available at: </w:t>
      </w:r>
      <w:hyperlink r:id="rId50">
        <w:r>
          <w:rPr>
            <w:rFonts w:ascii="Arial" w:eastAsia="Arial" w:hAnsi="Arial" w:cs="Arial"/>
            <w:color w:val="1155CC"/>
            <w:u w:val="single"/>
          </w:rPr>
          <w:t>https://doi.org/10.1177/13558196251340549</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Hanlon, A. (2021) </w:t>
      </w:r>
      <w:proofErr w:type="gramStart"/>
      <w:r>
        <w:rPr>
          <w:rFonts w:ascii="Arial" w:eastAsia="Arial" w:hAnsi="Arial" w:cs="Arial"/>
          <w:i/>
          <w:iCs/>
        </w:rPr>
        <w:t>The</w:t>
      </w:r>
      <w:proofErr w:type="gramEnd"/>
      <w:r>
        <w:rPr>
          <w:rFonts w:ascii="Arial" w:eastAsia="Arial" w:hAnsi="Arial" w:cs="Arial"/>
          <w:i/>
          <w:iCs/>
        </w:rPr>
        <w:t xml:space="preserve"> </w:t>
      </w:r>
      <w:proofErr w:type="spellStart"/>
      <w:r>
        <w:rPr>
          <w:rFonts w:ascii="Arial" w:eastAsia="Arial" w:hAnsi="Arial" w:cs="Arial"/>
          <w:i/>
          <w:iCs/>
        </w:rPr>
        <w:t>ansoff</w:t>
      </w:r>
      <w:proofErr w:type="spellEnd"/>
      <w:r>
        <w:rPr>
          <w:rFonts w:ascii="Arial" w:eastAsia="Arial" w:hAnsi="Arial" w:cs="Arial"/>
          <w:i/>
          <w:iCs/>
        </w:rPr>
        <w:t xml:space="preserve"> model</w:t>
      </w:r>
      <w:r>
        <w:rPr>
          <w:rFonts w:ascii="Arial" w:eastAsia="Arial" w:hAnsi="Arial" w:cs="Arial"/>
        </w:rPr>
        <w:t xml:space="preserve">, </w:t>
      </w:r>
      <w:r>
        <w:rPr>
          <w:rFonts w:ascii="Arial" w:eastAsia="Arial" w:hAnsi="Arial" w:cs="Arial"/>
          <w:i/>
          <w:iCs/>
        </w:rPr>
        <w:t>Smart Insights</w:t>
      </w:r>
      <w:r>
        <w:rPr>
          <w:rFonts w:ascii="Arial" w:eastAsia="Arial" w:hAnsi="Arial" w:cs="Arial"/>
        </w:rPr>
        <w:t xml:space="preserve">. </w:t>
      </w:r>
      <w:proofErr w:type="gramStart"/>
      <w:r>
        <w:rPr>
          <w:rFonts w:ascii="Arial" w:eastAsia="Arial" w:hAnsi="Arial" w:cs="Arial"/>
        </w:rPr>
        <w:t>Smart Insights.</w:t>
      </w:r>
      <w:proofErr w:type="gramEnd"/>
      <w:r>
        <w:rPr>
          <w:rFonts w:ascii="Arial" w:eastAsia="Arial" w:hAnsi="Arial" w:cs="Arial"/>
        </w:rPr>
        <w:t xml:space="preserve"> Available at: </w:t>
      </w:r>
      <w:hyperlink r:id="rId51">
        <w:r>
          <w:rPr>
            <w:rFonts w:ascii="Arial" w:eastAsia="Arial" w:hAnsi="Arial" w:cs="Arial"/>
            <w:color w:val="1155CC"/>
            <w:u w:val="single"/>
          </w:rPr>
          <w:t>https://www.smartinsights.com/marketing-planning/create-a-marketing-plan/ansoff-model/</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Ibrahim, M. (2025) “Sustainability as a management strategy: Integr</w:t>
      </w:r>
      <w:r>
        <w:rPr>
          <w:rFonts w:ascii="Arial" w:eastAsia="Arial" w:hAnsi="Arial" w:cs="Arial"/>
        </w:rPr>
        <w:t xml:space="preserve">ating environmental, social, and governance practices into business administration,” </w:t>
      </w:r>
      <w:r>
        <w:rPr>
          <w:rFonts w:ascii="Arial" w:eastAsia="Arial" w:hAnsi="Arial" w:cs="Arial"/>
          <w:i/>
          <w:iCs/>
        </w:rPr>
        <w:t>Management Science Advances.</w:t>
      </w:r>
      <w:r>
        <w:rPr>
          <w:rFonts w:ascii="Arial" w:eastAsia="Arial" w:hAnsi="Arial" w:cs="Arial"/>
        </w:rPr>
        <w:t xml:space="preserve">, pp. 1–25. Available at: </w:t>
      </w:r>
      <w:hyperlink r:id="rId52">
        <w:r>
          <w:rPr>
            <w:rFonts w:ascii="Arial" w:eastAsia="Arial" w:hAnsi="Arial" w:cs="Arial"/>
            <w:color w:val="1155CC"/>
            <w:u w:val="single"/>
          </w:rPr>
          <w:t>https://doi.org/10.31181/msa31202630</w:t>
        </w:r>
      </w:hyperlink>
      <w:r>
        <w:rPr>
          <w:rFonts w:ascii="Arial" w:eastAsia="Arial" w:hAnsi="Arial" w:cs="Arial"/>
        </w:rPr>
        <w:t xml:space="preserve">. </w:t>
      </w:r>
    </w:p>
    <w:p w:rsidR="001815C2" w:rsidRDefault="004C2125">
      <w:pPr>
        <w:spacing w:after="240"/>
        <w:rPr>
          <w:rFonts w:ascii="Arial" w:eastAsia="Arial" w:hAnsi="Arial" w:cs="Arial"/>
        </w:rPr>
      </w:pPr>
      <w:proofErr w:type="spellStart"/>
      <w:r>
        <w:rPr>
          <w:rFonts w:ascii="Arial" w:eastAsia="Arial" w:hAnsi="Arial" w:cs="Arial"/>
        </w:rPr>
        <w:t>Knaus</w:t>
      </w:r>
      <w:proofErr w:type="spellEnd"/>
      <w:r>
        <w:rPr>
          <w:rFonts w:ascii="Arial" w:eastAsia="Arial" w:hAnsi="Arial" w:cs="Arial"/>
        </w:rPr>
        <w:t xml:space="preserve">, C. and Morton, </w:t>
      </w:r>
      <w:r>
        <w:rPr>
          <w:rFonts w:ascii="Arial" w:eastAsia="Arial" w:hAnsi="Arial" w:cs="Arial"/>
        </w:rPr>
        <w:t xml:space="preserve">A. (2026) </w:t>
      </w:r>
      <w:r>
        <w:rPr>
          <w:rFonts w:ascii="Arial" w:eastAsia="Arial" w:hAnsi="Arial" w:cs="Arial"/>
          <w:i/>
          <w:iCs/>
        </w:rPr>
        <w:t>Revealed: The internal BHP memo that slammed the brakes on world’s biggest miner’s climate push</w:t>
      </w:r>
      <w:r>
        <w:rPr>
          <w:rFonts w:ascii="Arial" w:eastAsia="Arial" w:hAnsi="Arial" w:cs="Arial"/>
        </w:rPr>
        <w:t xml:space="preserve">, </w:t>
      </w:r>
      <w:r>
        <w:rPr>
          <w:rFonts w:ascii="Arial" w:eastAsia="Arial" w:hAnsi="Arial" w:cs="Arial"/>
          <w:i/>
          <w:iCs/>
        </w:rPr>
        <w:t>the Guardian</w:t>
      </w:r>
      <w:r>
        <w:rPr>
          <w:rFonts w:ascii="Arial" w:eastAsia="Arial" w:hAnsi="Arial" w:cs="Arial"/>
        </w:rPr>
        <w:t xml:space="preserve">. </w:t>
      </w:r>
      <w:proofErr w:type="gramStart"/>
      <w:r>
        <w:rPr>
          <w:rFonts w:ascii="Arial" w:eastAsia="Arial" w:hAnsi="Arial" w:cs="Arial"/>
        </w:rPr>
        <w:t>The Guardian.</w:t>
      </w:r>
      <w:proofErr w:type="gramEnd"/>
      <w:r>
        <w:rPr>
          <w:rFonts w:ascii="Arial" w:eastAsia="Arial" w:hAnsi="Arial" w:cs="Arial"/>
        </w:rPr>
        <w:t xml:space="preserve"> Available at: </w:t>
      </w:r>
      <w:hyperlink r:id="rId53">
        <w:r>
          <w:rPr>
            <w:rFonts w:ascii="Arial" w:eastAsia="Arial" w:hAnsi="Arial" w:cs="Arial"/>
            <w:color w:val="1155CC"/>
            <w:u w:val="single"/>
          </w:rPr>
          <w:t>https://www.theguardian.com/world/ng-interactive/2026/may/25/bhp-files-internal-memo-revealed</w:t>
        </w:r>
      </w:hyperlink>
      <w:r>
        <w:rPr>
          <w:rFonts w:ascii="Arial" w:eastAsia="Arial" w:hAnsi="Arial" w:cs="Arial"/>
        </w:rPr>
        <w:t xml:space="preserve"> </w:t>
      </w:r>
    </w:p>
    <w:p w:rsidR="001815C2" w:rsidRDefault="004C2125">
      <w:pPr>
        <w:spacing w:after="240"/>
        <w:rPr>
          <w:rFonts w:ascii="Arial" w:eastAsia="Arial" w:hAnsi="Arial" w:cs="Arial"/>
        </w:rPr>
      </w:pPr>
      <w:proofErr w:type="spellStart"/>
      <w:proofErr w:type="gramStart"/>
      <w:r>
        <w:rPr>
          <w:rFonts w:ascii="Arial" w:eastAsia="Arial" w:hAnsi="Arial" w:cs="Arial"/>
        </w:rPr>
        <w:t>Kotler</w:t>
      </w:r>
      <w:proofErr w:type="spellEnd"/>
      <w:r>
        <w:rPr>
          <w:rFonts w:ascii="Arial" w:eastAsia="Arial" w:hAnsi="Arial" w:cs="Arial"/>
        </w:rPr>
        <w:t xml:space="preserve">, P., Armstrong, G., Harris, L.C. and He, H. (2024) </w:t>
      </w:r>
      <w:r>
        <w:rPr>
          <w:rFonts w:ascii="Arial" w:eastAsia="Arial" w:hAnsi="Arial" w:cs="Arial"/>
          <w:i/>
          <w:iCs/>
        </w:rPr>
        <w:t>Principles of marketing</w:t>
      </w:r>
      <w:r>
        <w:rPr>
          <w:rFonts w:ascii="Arial" w:eastAsia="Arial" w:hAnsi="Arial" w:cs="Arial"/>
        </w:rPr>
        <w:t>.</w:t>
      </w:r>
      <w:proofErr w:type="gramEnd"/>
      <w:r>
        <w:rPr>
          <w:rFonts w:ascii="Arial" w:eastAsia="Arial" w:hAnsi="Arial" w:cs="Arial"/>
        </w:rPr>
        <w:t xml:space="preserve"> Pearson. </w:t>
      </w:r>
    </w:p>
    <w:p w:rsidR="001815C2" w:rsidRDefault="004C2125">
      <w:pPr>
        <w:spacing w:after="240"/>
        <w:rPr>
          <w:rFonts w:ascii="Arial" w:eastAsia="Arial" w:hAnsi="Arial" w:cs="Arial"/>
        </w:rPr>
      </w:pPr>
      <w:r>
        <w:rPr>
          <w:rFonts w:ascii="Arial" w:eastAsia="Arial" w:hAnsi="Arial" w:cs="Arial"/>
        </w:rPr>
        <w:t xml:space="preserve">OCED (2025) </w:t>
      </w:r>
      <w:r>
        <w:rPr>
          <w:rFonts w:ascii="Arial" w:eastAsia="Arial" w:hAnsi="Arial" w:cs="Arial"/>
          <w:i/>
          <w:iCs/>
        </w:rPr>
        <w:t>Developments in green iron production, trade and i</w:t>
      </w:r>
      <w:r>
        <w:rPr>
          <w:rFonts w:ascii="Arial" w:eastAsia="Arial" w:hAnsi="Arial" w:cs="Arial"/>
          <w:i/>
          <w:iCs/>
        </w:rPr>
        <w:t>nvestment: Green Iron opportunities in Australia</w:t>
      </w:r>
      <w:r>
        <w:rPr>
          <w:rFonts w:ascii="Arial" w:eastAsia="Arial" w:hAnsi="Arial" w:cs="Arial"/>
        </w:rPr>
        <w:t xml:space="preserve">, </w:t>
      </w:r>
      <w:r>
        <w:rPr>
          <w:rFonts w:ascii="Arial" w:eastAsia="Arial" w:hAnsi="Arial" w:cs="Arial"/>
          <w:i/>
          <w:iCs/>
        </w:rPr>
        <w:t>OECD</w:t>
      </w:r>
      <w:r>
        <w:rPr>
          <w:rFonts w:ascii="Arial" w:eastAsia="Arial" w:hAnsi="Arial" w:cs="Arial"/>
        </w:rPr>
        <w:t xml:space="preserve">. Available at: </w:t>
      </w:r>
      <w:hyperlink r:id="rId54">
        <w:r>
          <w:rPr>
            <w:rFonts w:ascii="Arial" w:eastAsia="Arial" w:hAnsi="Arial" w:cs="Arial"/>
            <w:color w:val="1155CC"/>
            <w:u w:val="single"/>
          </w:rPr>
          <w:t>https://www.oecd.org/en/publications/green-iron-opport</w:t>
        </w:r>
        <w:r>
          <w:rPr>
            <w:rFonts w:ascii="Arial" w:eastAsia="Arial" w:hAnsi="Arial" w:cs="Arial"/>
            <w:color w:val="1155CC"/>
            <w:u w:val="single"/>
          </w:rPr>
          <w:t>unities-in-australia_bbd1e2b8-en/full-report/component-5.html</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Pollard, M. and Buckley, T. (2026) </w:t>
      </w:r>
      <w:r>
        <w:rPr>
          <w:rFonts w:ascii="Arial" w:eastAsia="Arial" w:hAnsi="Arial" w:cs="Arial"/>
          <w:i/>
          <w:iCs/>
        </w:rPr>
        <w:t>Arc of ambition: Decarbonising and safeguarding Australia’s steel industry</w:t>
      </w:r>
      <w:r>
        <w:rPr>
          <w:rFonts w:ascii="Arial" w:eastAsia="Arial" w:hAnsi="Arial" w:cs="Arial"/>
        </w:rPr>
        <w:t xml:space="preserve">. Available at: </w:t>
      </w:r>
      <w:hyperlink r:id="rId55">
        <w:r>
          <w:rPr>
            <w:rFonts w:ascii="Arial" w:eastAsia="Arial" w:hAnsi="Arial" w:cs="Arial"/>
            <w:color w:val="1155CC"/>
            <w:u w:val="single"/>
          </w:rPr>
          <w:t>https://climateenergyfinance.org/wp-content/uploads/2026/07/CEF_Arc-of-Ambition_-Decarbonising-and-Safeguarding-Australian-Steel_MR_FINAL.pdf</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Proactive (2026) </w:t>
      </w:r>
      <w:r>
        <w:rPr>
          <w:rFonts w:ascii="Arial" w:eastAsia="Arial" w:hAnsi="Arial" w:cs="Arial"/>
          <w:i/>
          <w:iCs/>
        </w:rPr>
        <w:t>Anglo Asian Mining shows record first half for copper production</w:t>
      </w:r>
      <w:r>
        <w:rPr>
          <w:rFonts w:ascii="Arial" w:eastAsia="Arial" w:hAnsi="Arial" w:cs="Arial"/>
        </w:rPr>
        <w:t xml:space="preserve">, </w:t>
      </w:r>
      <w:r>
        <w:rPr>
          <w:rFonts w:ascii="Arial" w:eastAsia="Arial" w:hAnsi="Arial" w:cs="Arial"/>
          <w:i/>
          <w:iCs/>
        </w:rPr>
        <w:t>Yahoo Finance</w:t>
      </w:r>
      <w:r>
        <w:rPr>
          <w:rFonts w:ascii="Arial" w:eastAsia="Arial" w:hAnsi="Arial" w:cs="Arial"/>
        </w:rPr>
        <w:t xml:space="preserve">. Yahoo! Finance. Available at: </w:t>
      </w:r>
      <w:hyperlink r:id="rId56">
        <w:r>
          <w:rPr>
            <w:rFonts w:ascii="Arial" w:eastAsia="Arial" w:hAnsi="Arial" w:cs="Arial"/>
            <w:color w:val="1155CC"/>
            <w:u w:val="single"/>
          </w:rPr>
          <w:t>https://www.proactiveinvestors.com/companies/news/1098803/anglo-asian-mining-shows-record-first-half-for-copper-production-1098803.html</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lastRenderedPageBreak/>
        <w:t xml:space="preserve">Riddell, G. and Bonnet, A. (2026) </w:t>
      </w:r>
      <w:r>
        <w:rPr>
          <w:rFonts w:ascii="Arial" w:eastAsia="Arial" w:hAnsi="Arial" w:cs="Arial"/>
          <w:i/>
          <w:iCs/>
        </w:rPr>
        <w:t xml:space="preserve">Navigating the European Union’s carbon border adjustment mechanism an </w:t>
      </w:r>
      <w:r>
        <w:rPr>
          <w:rFonts w:ascii="Arial" w:eastAsia="Arial" w:hAnsi="Arial" w:cs="Arial"/>
          <w:i/>
          <w:iCs/>
        </w:rPr>
        <w:t>exporter’s technical guide IISD guide</w:t>
      </w:r>
      <w:r>
        <w:rPr>
          <w:rFonts w:ascii="Arial" w:eastAsia="Arial" w:hAnsi="Arial" w:cs="Arial"/>
        </w:rPr>
        <w:t xml:space="preserve">. Available at: </w:t>
      </w:r>
      <w:hyperlink r:id="rId57">
        <w:r>
          <w:rPr>
            <w:rFonts w:ascii="Arial" w:eastAsia="Arial" w:hAnsi="Arial" w:cs="Arial"/>
            <w:color w:val="1155CC"/>
            <w:u w:val="single"/>
          </w:rPr>
          <w:t>https://www.iisd.org/system/files/2026-06/navigating-eu-carbon-border-adjustment-mechanism.p</w:t>
        </w:r>
        <w:r>
          <w:rPr>
            <w:rFonts w:ascii="Arial" w:eastAsia="Arial" w:hAnsi="Arial" w:cs="Arial"/>
            <w:color w:val="1155CC"/>
            <w:u w:val="single"/>
          </w:rPr>
          <w:t>df</w:t>
        </w:r>
      </w:hyperlink>
      <w:r>
        <w:rPr>
          <w:rFonts w:ascii="Arial" w:eastAsia="Arial" w:hAnsi="Arial" w:cs="Arial"/>
        </w:rPr>
        <w:t xml:space="preserve"> </w:t>
      </w:r>
    </w:p>
    <w:p w:rsidR="001815C2" w:rsidRDefault="004C2125">
      <w:pPr>
        <w:spacing w:after="240"/>
        <w:rPr>
          <w:rFonts w:ascii="Arial" w:eastAsia="Arial" w:hAnsi="Arial" w:cs="Arial"/>
        </w:rPr>
      </w:pPr>
      <w:r>
        <w:rPr>
          <w:rFonts w:ascii="Arial" w:eastAsia="Arial" w:hAnsi="Arial" w:cs="Arial"/>
        </w:rPr>
        <w:t xml:space="preserve">S&amp;P Global Energy (2026) </w:t>
      </w:r>
      <w:r>
        <w:rPr>
          <w:rFonts w:ascii="Arial" w:eastAsia="Arial" w:hAnsi="Arial" w:cs="Arial"/>
          <w:i/>
          <w:iCs/>
        </w:rPr>
        <w:t xml:space="preserve">Iron ore industry challenges </w:t>
      </w:r>
      <w:proofErr w:type="spellStart"/>
      <w:r>
        <w:rPr>
          <w:rFonts w:ascii="Arial" w:eastAsia="Arial" w:hAnsi="Arial" w:cs="Arial"/>
          <w:i/>
          <w:iCs/>
        </w:rPr>
        <w:t>Simandou’s</w:t>
      </w:r>
      <w:proofErr w:type="spellEnd"/>
      <w:r>
        <w:rPr>
          <w:rFonts w:ascii="Arial" w:eastAsia="Arial" w:hAnsi="Arial" w:cs="Arial"/>
          <w:i/>
          <w:iCs/>
        </w:rPr>
        <w:t xml:space="preserve"> “</w:t>
      </w:r>
      <w:proofErr w:type="spellStart"/>
      <w:r>
        <w:rPr>
          <w:rFonts w:ascii="Arial" w:eastAsia="Arial" w:hAnsi="Arial" w:cs="Arial"/>
          <w:i/>
          <w:iCs/>
        </w:rPr>
        <w:t>pilbara</w:t>
      </w:r>
      <w:proofErr w:type="spellEnd"/>
      <w:r>
        <w:rPr>
          <w:rFonts w:ascii="Arial" w:eastAsia="Arial" w:hAnsi="Arial" w:cs="Arial"/>
          <w:i/>
          <w:iCs/>
        </w:rPr>
        <w:t xml:space="preserve"> killer” status</w:t>
      </w:r>
      <w:r>
        <w:rPr>
          <w:rFonts w:ascii="Arial" w:eastAsia="Arial" w:hAnsi="Arial" w:cs="Arial"/>
        </w:rPr>
        <w:t xml:space="preserve">, </w:t>
      </w:r>
      <w:r>
        <w:rPr>
          <w:rFonts w:ascii="Arial" w:eastAsia="Arial" w:hAnsi="Arial" w:cs="Arial"/>
          <w:i/>
          <w:iCs/>
        </w:rPr>
        <w:t>S&amp;P Global Energy</w:t>
      </w:r>
      <w:r>
        <w:rPr>
          <w:rFonts w:ascii="Arial" w:eastAsia="Arial" w:hAnsi="Arial" w:cs="Arial"/>
        </w:rPr>
        <w:t xml:space="preserve">. Available at: </w:t>
      </w:r>
      <w:hyperlink r:id="rId58">
        <w:r>
          <w:rPr>
            <w:rFonts w:ascii="Arial" w:eastAsia="Arial" w:hAnsi="Arial" w:cs="Arial"/>
            <w:color w:val="1155CC"/>
            <w:u w:val="single"/>
          </w:rPr>
          <w:t>https://www.spglobal.com/energy/en/news-research/latest-news/metals/010526-iron-ore-industry-challenges-simandous-pilbara-killer-status</w:t>
        </w:r>
      </w:hyperlink>
      <w:r>
        <w:rPr>
          <w:rFonts w:ascii="Arial" w:eastAsia="Arial" w:hAnsi="Arial" w:cs="Arial"/>
        </w:rPr>
        <w:t xml:space="preserve"> </w:t>
      </w:r>
    </w:p>
    <w:p w:rsidR="001815C2" w:rsidRDefault="004C2125">
      <w:pPr>
        <w:spacing w:after="240"/>
        <w:rPr>
          <w:rFonts w:ascii="Arial" w:eastAsia="Arial" w:hAnsi="Arial" w:cs="Arial"/>
        </w:rPr>
      </w:pPr>
      <w:proofErr w:type="gramStart"/>
      <w:r>
        <w:rPr>
          <w:rFonts w:ascii="Arial" w:eastAsia="Arial" w:hAnsi="Arial" w:cs="Arial"/>
        </w:rPr>
        <w:t xml:space="preserve">Taxation and Customs Union (2026) </w:t>
      </w:r>
      <w:r>
        <w:rPr>
          <w:rFonts w:ascii="Arial" w:eastAsia="Arial" w:hAnsi="Arial" w:cs="Arial"/>
          <w:i/>
          <w:iCs/>
        </w:rPr>
        <w:t>CBAM definitive regime</w:t>
      </w:r>
      <w:r>
        <w:rPr>
          <w:rFonts w:ascii="Arial" w:eastAsia="Arial" w:hAnsi="Arial" w:cs="Arial"/>
        </w:rPr>
        <w:t xml:space="preserve">, </w:t>
      </w:r>
      <w:r>
        <w:rPr>
          <w:rFonts w:ascii="Arial" w:eastAsia="Arial" w:hAnsi="Arial" w:cs="Arial"/>
          <w:i/>
          <w:iCs/>
        </w:rPr>
        <w:t>Taxation and Customs Union</w:t>
      </w:r>
      <w:r>
        <w:rPr>
          <w:rFonts w:ascii="Arial" w:eastAsia="Arial" w:hAnsi="Arial" w:cs="Arial"/>
        </w:rPr>
        <w:t>.</w:t>
      </w:r>
      <w:proofErr w:type="gramEnd"/>
      <w:r>
        <w:rPr>
          <w:rFonts w:ascii="Arial" w:eastAsia="Arial" w:hAnsi="Arial" w:cs="Arial"/>
        </w:rPr>
        <w:t xml:space="preserve"> Avai</w:t>
      </w:r>
      <w:r>
        <w:rPr>
          <w:rFonts w:ascii="Arial" w:eastAsia="Arial" w:hAnsi="Arial" w:cs="Arial"/>
        </w:rPr>
        <w:t xml:space="preserve">lable at: </w:t>
      </w:r>
      <w:hyperlink r:id="rId59">
        <w:r>
          <w:rPr>
            <w:rFonts w:ascii="Arial" w:eastAsia="Arial" w:hAnsi="Arial" w:cs="Arial"/>
            <w:color w:val="1155CC"/>
            <w:u w:val="single"/>
          </w:rPr>
          <w:t>https://taxation-customs.ec.europa.eu/carbon-border-adjustment-mechanism/cbam-definitive-regime_en</w:t>
        </w:r>
      </w:hyperlink>
      <w:r>
        <w:rPr>
          <w:rFonts w:ascii="Arial" w:eastAsia="Arial" w:hAnsi="Arial" w:cs="Arial"/>
        </w:rPr>
        <w:t xml:space="preserve"> </w:t>
      </w:r>
    </w:p>
    <w:p w:rsidR="001815C2" w:rsidRDefault="004C2125">
      <w:pPr>
        <w:spacing w:after="240"/>
        <w:rPr>
          <w:rFonts w:ascii="Arial" w:eastAsia="Arial" w:hAnsi="Arial" w:cs="Arial"/>
        </w:rPr>
      </w:pPr>
      <w:proofErr w:type="spellStart"/>
      <w:r>
        <w:rPr>
          <w:rFonts w:ascii="Arial" w:eastAsia="Arial" w:hAnsi="Arial" w:cs="Arial"/>
        </w:rPr>
        <w:t>TradingView</w:t>
      </w:r>
      <w:proofErr w:type="spellEnd"/>
      <w:r>
        <w:rPr>
          <w:rFonts w:ascii="Arial" w:eastAsia="Arial" w:hAnsi="Arial" w:cs="Arial"/>
        </w:rPr>
        <w:t xml:space="preserve"> (2025) </w:t>
      </w:r>
      <w:r>
        <w:rPr>
          <w:rFonts w:ascii="Arial" w:eastAsia="Arial" w:hAnsi="Arial" w:cs="Arial"/>
          <w:i/>
          <w:iCs/>
        </w:rPr>
        <w:t>BHP Group</w:t>
      </w:r>
      <w:r>
        <w:rPr>
          <w:rFonts w:ascii="Arial" w:eastAsia="Arial" w:hAnsi="Arial" w:cs="Arial"/>
          <w:i/>
          <w:iCs/>
        </w:rPr>
        <w:t xml:space="preserve"> Limited</w:t>
      </w:r>
      <w:r>
        <w:rPr>
          <w:rFonts w:ascii="Arial" w:eastAsia="Arial" w:hAnsi="Arial" w:cs="Arial"/>
        </w:rPr>
        <w:t xml:space="preserve">, </w:t>
      </w:r>
      <w:proofErr w:type="spellStart"/>
      <w:r>
        <w:rPr>
          <w:rFonts w:ascii="Arial" w:eastAsia="Arial" w:hAnsi="Arial" w:cs="Arial"/>
          <w:i/>
          <w:iCs/>
        </w:rPr>
        <w:t>TradingView</w:t>
      </w:r>
      <w:proofErr w:type="spellEnd"/>
      <w:r>
        <w:rPr>
          <w:rFonts w:ascii="Arial" w:eastAsia="Arial" w:hAnsi="Arial" w:cs="Arial"/>
        </w:rPr>
        <w:t xml:space="preserve">. Available at: </w:t>
      </w:r>
      <w:hyperlink r:id="rId60">
        <w:r>
          <w:rPr>
            <w:rFonts w:ascii="Arial" w:eastAsia="Arial" w:hAnsi="Arial" w:cs="Arial"/>
            <w:color w:val="1155CC"/>
            <w:u w:val="single"/>
          </w:rPr>
          <w:t>https://www.tradingview.com/symbols/NYSE-BHP/</w:t>
        </w:r>
      </w:hyperlink>
      <w:r>
        <w:rPr>
          <w:rFonts w:ascii="Arial" w:eastAsia="Arial" w:hAnsi="Arial" w:cs="Arial"/>
        </w:rPr>
        <w:t xml:space="preserve"> </w:t>
      </w:r>
    </w:p>
    <w:p w:rsidR="001815C2" w:rsidRDefault="001815C2">
      <w:pPr>
        <w:rPr>
          <w:rFonts w:ascii="Arial" w:eastAsia="Arial" w:hAnsi="Arial" w:cs="Arial"/>
        </w:rPr>
      </w:pPr>
    </w:p>
    <w:sectPr w:rsidR="001815C2">
      <w:footerReference w:type="default" r:id="rId61"/>
      <w:footerReference w:type="first" r:id="rId6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C2125" w:rsidRDefault="004C2125">
      <w:pPr>
        <w:spacing w:line="240" w:lineRule="auto"/>
      </w:pPr>
      <w:r>
        <w:separator/>
      </w:r>
    </w:p>
  </w:endnote>
  <w:endnote w:type="continuationSeparator" w:id="0">
    <w:p w:rsidR="004C2125" w:rsidRDefault="004C21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CB8CE720-C2C0-4800-8901-EFF88665045C}"/>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37465483-1E4C-4623-9789-B80A4919E905}"/>
  </w:font>
  <w:font w:name="Shruti">
    <w:panose1 w:val="020B0802040204020203"/>
    <w:charset w:val="01"/>
    <w:family w:val="roman"/>
    <w:notTrueType/>
    <w:pitch w:val="variable"/>
  </w:font>
  <w:font w:name="Cambria">
    <w:panose1 w:val="02040503050406030204"/>
    <w:charset w:val="00"/>
    <w:family w:val="roman"/>
    <w:pitch w:val="variable"/>
    <w:sig w:usb0="E00006FF" w:usb1="420024FF" w:usb2="02000000" w:usb3="00000000" w:csb0="0000019F" w:csb1="00000000"/>
    <w:embedRegular r:id="rId3" w:fontKey="{A9A7778E-FF0B-46C7-B7F8-5BE54A282E28}"/>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15C2" w:rsidRDefault="001815C2">
    <w:pPr>
      <w:tabs>
        <w:tab w:val="center" w:pos="4513"/>
        <w:tab w:val="right" w:pos="9026"/>
      </w:tabs>
      <w:spacing w:after="0"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15C2" w:rsidRDefault="004C2125">
    <w:r>
      <w:rPr>
        <w:noProof/>
        <w:lang w:val="en-US" w:eastAsia="en-US" w:bidi="gu-IN"/>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rsidR="001815C2" w:rsidRDefault="004C2125">
                          <w:pPr>
                            <w:pStyle w:val="Footer"/>
                          </w:pPr>
                          <w:r>
                            <w:fldChar w:fldCharType="begin"/>
                          </w:r>
                          <w:r>
                            <w:instrText xml:space="preserve"> PAGE  \* MERGEFORMAT </w:instrText>
                          </w:r>
                          <w:r>
                            <w:fldChar w:fldCharType="separate"/>
                          </w:r>
                          <w:r w:rsidR="00E46CA1">
                            <w:rPr>
                              <w:noProof/>
                            </w:rPr>
                            <w:t>4</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" filled="f" fillcolor="white [3201]" stroked="f" strokeweight=".5pt">
              <v:textbox style="mso-fit-shape-to-text:t" inset="0,0,0,0">
                <w:txbxContent>
                  <w:p w:rsidR="001815C2" w:rsidRDefault="004C2125">
                    <w:pPr>
                      <w:pStyle w:val="Footer"/>
                    </w:pPr>
                    <w:r>
                      <w:fldChar w:fldCharType="begin"/>
                    </w:r>
                    <w:r>
                      <w:instrText xml:space="preserve"> PAGE  \* MERGEFORMAT </w:instrText>
                    </w:r>
                    <w:r>
                      <w:fldChar w:fldCharType="separate"/>
                    </w:r>
                    <w:r w:rsidR="00E46CA1">
                      <w:rPr>
                        <w:noProof/>
                      </w:rPr>
                      <w:t>4</w:t>
                    </w:r>
                    <w:r>
                      <w:fldChar w:fldCharType="end"/>
                    </w:r>
                  </w:p>
                </w:txbxContent>
              </v:textbox>
              <w10:wrap anchorx="margin"/>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15C2" w:rsidRDefault="004C2125">
    <w:r>
      <w:rPr>
        <w:noProof/>
        <w:lang w:val="en-US" w:eastAsia="en-US" w:bidi="gu-IN"/>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rsidR="001815C2" w:rsidRDefault="004C2125">
                          <w:pPr>
                            <w:pStyle w:val="Footer"/>
                          </w:pPr>
                          <w:r>
                            <w:fldChar w:fldCharType="begin"/>
                          </w:r>
                          <w:r>
                            <w:instrText xml:space="preserve"> PAGE  \* MERGEFORMAT </w:instrText>
                          </w:r>
                          <w:r>
                            <w:fldChar w:fldCharType="separate"/>
                          </w:r>
                          <w:r w:rsidR="00E46CA1">
                            <w:rPr>
                              <w:noProof/>
                            </w:rP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7" type="#_x0000_t202" style="position:absolute;left:0;text-align:left;margin-left:92.8pt;margin-top:0;width:2in;height:2in;z-index:251660288;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" filled="f" fillcolor="white [3201]" stroked="f" strokeweight=".5pt">
              <v:textbox style="mso-fit-shape-to-text:t" inset="0,0,0,0">
                <w:txbxContent>
                  <w:p w:rsidR="001815C2" w:rsidRDefault="004C2125">
                    <w:pPr>
                      <w:pStyle w:val="Footer"/>
                    </w:pPr>
                    <w:r>
                      <w:fldChar w:fldCharType="begin"/>
                    </w:r>
                    <w:r>
                      <w:instrText xml:space="preserve"> PAGE  \* MERGEFORMAT </w:instrText>
                    </w:r>
                    <w:r>
                      <w:fldChar w:fldCharType="separate"/>
                    </w:r>
                    <w:r w:rsidR="00E46CA1">
                      <w:rPr>
                        <w:noProof/>
                      </w:rP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C2125" w:rsidRDefault="004C2125">
      <w:pPr>
        <w:spacing w:after="0"/>
      </w:pPr>
      <w:r>
        <w:separator/>
      </w:r>
    </w:p>
  </w:footnote>
  <w:footnote w:type="continuationSeparator" w:id="0">
    <w:p w:rsidR="004C2125" w:rsidRDefault="004C2125">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15C2" w:rsidRDefault="001815C2">
    <w:pPr>
      <w:tabs>
        <w:tab w:val="center" w:pos="4513"/>
        <w:tab w:val="right" w:pos="9026"/>
      </w:tabs>
      <w:spacing w:after="0" w:line="240" w:lineRule="auto"/>
      <w:rPr>
        <w:color w:val="00000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15C2" w:rsidRDefault="001815C2">
    <w:pP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4E6B"/>
    <w:rsid w:val="001815C2"/>
    <w:rsid w:val="00294E6B"/>
    <w:rsid w:val="004C2125"/>
    <w:rsid w:val="00B95CD9"/>
    <w:rsid w:val="00DE5815"/>
    <w:rsid w:val="00E46CA1"/>
    <w:rsid w:val="00E96515"/>
    <w:rsid w:val="31CC78CA"/>
    <w:rsid w:val="4AF9238C"/>
    <w:rsid w:val="6F3D3575"/>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gu-IN"/>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semiHidden="0"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qFormat="1"/>
    <w:lsdException w:name="toc 2" w:semiHidden="0" w:uiPriority="39" w:qFormat="1"/>
    <w:lsdException w:name="toc 3" w:uiPriority="39"/>
    <w:lsdException w:name="toc 4" w:semiHidden="0" w:uiPriority="39" w:qFormat="1"/>
    <w:lsdException w:name="toc 5" w:uiPriority="39"/>
    <w:lsdException w:name="toc 6" w:uiPriority="39"/>
    <w:lsdException w:name="toc 7" w:uiPriority="39"/>
    <w:lsdException w:name="toc 8" w:uiPriority="39"/>
    <w:lsdException w:name="toc 9" w:uiPriority="39"/>
    <w:lsdException w:name="annotation text" w:semiHidden="0" w:qFormat="1"/>
    <w:lsdException w:name="header" w:semiHidden="0" w:qFormat="1"/>
    <w:lsdException w:name="footer" w:semiHidden="0" w:qFormat="1"/>
    <w:lsdException w:name="caption" w:uiPriority="35" w:qFormat="1"/>
    <w:lsdException w:name="annotation reference" w:qFormat="1"/>
    <w:lsdException w:name="Title" w:semiHidden="0" w:uiPriority="10" w:unhideWhenUsed="0" w:qFormat="1"/>
    <w:lsdException w:name="Default Paragraph Font" w:uiPriority="1" w:qFormat="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Table" w:qFormat="1"/>
    <w:lsdException w:name="annotation subject"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qFormat="1"/>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qFormat="1"/>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200" w:line="360" w:lineRule="auto"/>
      <w:jc w:val="both"/>
    </w:pPr>
    <w:rPr>
      <w:sz w:val="24"/>
      <w:szCs w:val="24"/>
      <w:lang w:val="en-GB" w:eastAsia="en-IN" w:bidi="ar-SA"/>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link w:val="CommentTextChar"/>
    <w:uiPriority w:val="99"/>
    <w:unhideWhenUsed/>
    <w:qFormat/>
    <w:pPr>
      <w:spacing w:after="200" w:line="360" w:lineRule="auto"/>
    </w:pPr>
    <w:rPr>
      <w:sz w:val="24"/>
      <w:szCs w:val="24"/>
      <w:lang w:val="en" w:eastAsia="en-IN" w:bidi="ar-SA"/>
    </w:rPr>
  </w:style>
  <w:style w:type="paragraph" w:styleId="CommentSubject">
    <w:name w:val="annotation subject"/>
    <w:basedOn w:val="CommentText"/>
    <w:next w:val="CommentText"/>
    <w:link w:val="CommentSubjectChar"/>
    <w:uiPriority w:val="99"/>
    <w:semiHidden/>
    <w:unhideWhenUsed/>
    <w:qFormat/>
    <w:pPr>
      <w:spacing w:line="240" w:lineRule="auto"/>
      <w:jc w:val="both"/>
    </w:pPr>
    <w:rPr>
      <w:b/>
      <w:bCs/>
      <w:sz w:val="20"/>
      <w:szCs w:val="20"/>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4">
    <w:name w:val="toc 4"/>
    <w:basedOn w:val="Normal"/>
    <w:next w:val="Normal"/>
    <w:autoRedefine/>
    <w:uiPriority w:val="39"/>
    <w:unhideWhenUsed/>
    <w:qFormat/>
    <w:pPr>
      <w:spacing w:after="100"/>
      <w:ind w:left="720"/>
    </w:pPr>
  </w:style>
  <w:style w:type="table" w:customStyle="1" w:styleId="TableNormal0">
    <w:name w:val="TableNormal"/>
    <w:qFormat/>
    <w:tblPr>
      <w:tblCellMar>
        <w:top w:w="100" w:type="dxa"/>
        <w:left w:w="100" w:type="dxa"/>
        <w:bottom w:w="100" w:type="dxa"/>
        <w:right w:w="100" w:type="dxa"/>
      </w:tblCellMar>
    </w:tblPr>
  </w:style>
  <w:style w:type="table" w:customStyle="1" w:styleId="TableNormal00">
    <w:name w:val="TableNormal0"/>
    <w:qFormat/>
    <w:tblPr>
      <w:tblCellMar>
        <w:top w:w="100" w:type="dxa"/>
        <w:left w:w="100" w:type="dxa"/>
        <w:bottom w:w="100" w:type="dxa"/>
        <w:right w:w="100" w:type="dxa"/>
      </w:tblCellMar>
    </w:tblPr>
  </w:style>
  <w:style w:type="table" w:customStyle="1" w:styleId="Style12">
    <w:name w:val="_Style 12"/>
    <w:basedOn w:val="TableNormal00"/>
    <w:qFormat/>
    <w:tblPr>
      <w:tblCellMar>
        <w:top w:w="100" w:type="dxa"/>
        <w:left w:w="100" w:type="dxa"/>
        <w:bottom w:w="100" w:type="dxa"/>
        <w:right w:w="100" w:type="dxa"/>
      </w:tblCellMar>
    </w:tblPr>
  </w:style>
  <w:style w:type="table" w:customStyle="1" w:styleId="Style16">
    <w:name w:val="_Style 16"/>
    <w:basedOn w:val="TableNormal0"/>
    <w:qFormat/>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CommentTextChar">
    <w:name w:val="Comment Text Char"/>
    <w:basedOn w:val="DefaultParagraphFont"/>
    <w:link w:val="CommentText"/>
    <w:uiPriority w:val="99"/>
    <w:qFormat/>
  </w:style>
  <w:style w:type="character" w:customStyle="1" w:styleId="CommentSubjectChar">
    <w:name w:val="Comment Subject Char"/>
    <w:basedOn w:val="CommentTextChar"/>
    <w:link w:val="CommentSubject"/>
    <w:uiPriority w:val="99"/>
    <w:semiHidden/>
    <w:qFormat/>
    <w:rPr>
      <w:b/>
      <w:bCs/>
      <w:sz w:val="20"/>
      <w:szCs w:val="20"/>
    </w:rPr>
  </w:style>
  <w:style w:type="table" w:customStyle="1" w:styleId="Style29">
    <w:name w:val="_Style 29"/>
    <w:basedOn w:val="TableNormal"/>
    <w:qFormat/>
    <w:tblPr>
      <w:tblInd w:w="0" w:type="dxa"/>
      <w:tblCellMar>
        <w:top w:w="100" w:type="dxa"/>
        <w:left w:w="100" w:type="dxa"/>
        <w:bottom w:w="100" w:type="dxa"/>
        <w:right w:w="100" w:type="dxa"/>
      </w:tblCellMar>
    </w:tblPr>
  </w:style>
  <w:style w:type="table" w:customStyle="1" w:styleId="Style31">
    <w:name w:val="_Style 31"/>
    <w:basedOn w:val="TableNormal"/>
    <w:qFormat/>
    <w:tblPr>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46C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6CA1"/>
    <w:rPr>
      <w:rFonts w:ascii="Tahoma" w:hAnsi="Tahoma" w:cs="Tahoma"/>
      <w:sz w:val="16"/>
      <w:szCs w:val="16"/>
      <w:lang w:val="en-GB" w:eastAsia="en-IN" w:bidi="ar-S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gu-IN"/>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semiHidden="0"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qFormat="1"/>
    <w:lsdException w:name="toc 2" w:semiHidden="0" w:uiPriority="39" w:qFormat="1"/>
    <w:lsdException w:name="toc 3" w:uiPriority="39"/>
    <w:lsdException w:name="toc 4" w:semiHidden="0" w:uiPriority="39" w:qFormat="1"/>
    <w:lsdException w:name="toc 5" w:uiPriority="39"/>
    <w:lsdException w:name="toc 6" w:uiPriority="39"/>
    <w:lsdException w:name="toc 7" w:uiPriority="39"/>
    <w:lsdException w:name="toc 8" w:uiPriority="39"/>
    <w:lsdException w:name="toc 9" w:uiPriority="39"/>
    <w:lsdException w:name="annotation text" w:semiHidden="0" w:qFormat="1"/>
    <w:lsdException w:name="header" w:semiHidden="0" w:qFormat="1"/>
    <w:lsdException w:name="footer" w:semiHidden="0" w:qFormat="1"/>
    <w:lsdException w:name="caption" w:uiPriority="35" w:qFormat="1"/>
    <w:lsdException w:name="annotation reference" w:qFormat="1"/>
    <w:lsdException w:name="Title" w:semiHidden="0" w:uiPriority="10" w:unhideWhenUsed="0" w:qFormat="1"/>
    <w:lsdException w:name="Default Paragraph Font" w:uiPriority="1" w:qFormat="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Table" w:qFormat="1"/>
    <w:lsdException w:name="annotation subject"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qFormat="1"/>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qFormat="1"/>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200" w:line="360" w:lineRule="auto"/>
      <w:jc w:val="both"/>
    </w:pPr>
    <w:rPr>
      <w:sz w:val="24"/>
      <w:szCs w:val="24"/>
      <w:lang w:val="en-GB" w:eastAsia="en-IN" w:bidi="ar-SA"/>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link w:val="CommentTextChar"/>
    <w:uiPriority w:val="99"/>
    <w:unhideWhenUsed/>
    <w:qFormat/>
    <w:pPr>
      <w:spacing w:after="200" w:line="360" w:lineRule="auto"/>
    </w:pPr>
    <w:rPr>
      <w:sz w:val="24"/>
      <w:szCs w:val="24"/>
      <w:lang w:val="en" w:eastAsia="en-IN" w:bidi="ar-SA"/>
    </w:rPr>
  </w:style>
  <w:style w:type="paragraph" w:styleId="CommentSubject">
    <w:name w:val="annotation subject"/>
    <w:basedOn w:val="CommentText"/>
    <w:next w:val="CommentText"/>
    <w:link w:val="CommentSubjectChar"/>
    <w:uiPriority w:val="99"/>
    <w:semiHidden/>
    <w:unhideWhenUsed/>
    <w:qFormat/>
    <w:pPr>
      <w:spacing w:line="240" w:lineRule="auto"/>
      <w:jc w:val="both"/>
    </w:pPr>
    <w:rPr>
      <w:b/>
      <w:bCs/>
      <w:sz w:val="20"/>
      <w:szCs w:val="20"/>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4">
    <w:name w:val="toc 4"/>
    <w:basedOn w:val="Normal"/>
    <w:next w:val="Normal"/>
    <w:autoRedefine/>
    <w:uiPriority w:val="39"/>
    <w:unhideWhenUsed/>
    <w:qFormat/>
    <w:pPr>
      <w:spacing w:after="100"/>
      <w:ind w:left="720"/>
    </w:pPr>
  </w:style>
  <w:style w:type="table" w:customStyle="1" w:styleId="TableNormal0">
    <w:name w:val="TableNormal"/>
    <w:qFormat/>
    <w:tblPr>
      <w:tblCellMar>
        <w:top w:w="100" w:type="dxa"/>
        <w:left w:w="100" w:type="dxa"/>
        <w:bottom w:w="100" w:type="dxa"/>
        <w:right w:w="100" w:type="dxa"/>
      </w:tblCellMar>
    </w:tblPr>
  </w:style>
  <w:style w:type="table" w:customStyle="1" w:styleId="TableNormal00">
    <w:name w:val="TableNormal0"/>
    <w:qFormat/>
    <w:tblPr>
      <w:tblCellMar>
        <w:top w:w="100" w:type="dxa"/>
        <w:left w:w="100" w:type="dxa"/>
        <w:bottom w:w="100" w:type="dxa"/>
        <w:right w:w="100" w:type="dxa"/>
      </w:tblCellMar>
    </w:tblPr>
  </w:style>
  <w:style w:type="table" w:customStyle="1" w:styleId="Style12">
    <w:name w:val="_Style 12"/>
    <w:basedOn w:val="TableNormal00"/>
    <w:qFormat/>
    <w:tblPr>
      <w:tblCellMar>
        <w:top w:w="100" w:type="dxa"/>
        <w:left w:w="100" w:type="dxa"/>
        <w:bottom w:w="100" w:type="dxa"/>
        <w:right w:w="100" w:type="dxa"/>
      </w:tblCellMar>
    </w:tblPr>
  </w:style>
  <w:style w:type="table" w:customStyle="1" w:styleId="Style16">
    <w:name w:val="_Style 16"/>
    <w:basedOn w:val="TableNormal0"/>
    <w:qFormat/>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CommentTextChar">
    <w:name w:val="Comment Text Char"/>
    <w:basedOn w:val="DefaultParagraphFont"/>
    <w:link w:val="CommentText"/>
    <w:uiPriority w:val="99"/>
    <w:qFormat/>
  </w:style>
  <w:style w:type="character" w:customStyle="1" w:styleId="CommentSubjectChar">
    <w:name w:val="Comment Subject Char"/>
    <w:basedOn w:val="CommentTextChar"/>
    <w:link w:val="CommentSubject"/>
    <w:uiPriority w:val="99"/>
    <w:semiHidden/>
    <w:qFormat/>
    <w:rPr>
      <w:b/>
      <w:bCs/>
      <w:sz w:val="20"/>
      <w:szCs w:val="20"/>
    </w:rPr>
  </w:style>
  <w:style w:type="table" w:customStyle="1" w:styleId="Style29">
    <w:name w:val="_Style 29"/>
    <w:basedOn w:val="TableNormal"/>
    <w:qFormat/>
    <w:tblPr>
      <w:tblInd w:w="0" w:type="dxa"/>
      <w:tblCellMar>
        <w:top w:w="100" w:type="dxa"/>
        <w:left w:w="100" w:type="dxa"/>
        <w:bottom w:w="100" w:type="dxa"/>
        <w:right w:w="100" w:type="dxa"/>
      </w:tblCellMar>
    </w:tblPr>
  </w:style>
  <w:style w:type="table" w:customStyle="1" w:styleId="Style31">
    <w:name w:val="_Style 31"/>
    <w:basedOn w:val="TableNormal"/>
    <w:qFormat/>
    <w:tblPr>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46C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6CA1"/>
    <w:rPr>
      <w:rFonts w:ascii="Tahoma" w:hAnsi="Tahoma" w:cs="Tahoma"/>
      <w:sz w:val="16"/>
      <w:szCs w:val="16"/>
      <w:lang w:val="en-GB" w:eastAsia="en-I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doi.org/10.1016/j.bar.2025.101594" TargetMode="External"/><Relationship Id="rId39" Type="http://schemas.openxmlformats.org/officeDocument/2006/relationships/hyperlink" Target="https://www.bhp.com/news/bhp-insights/2026/06/modifying-the-blast-furnace-route-for-lower-carbon-intensity-steelmaking" TargetMode="External"/><Relationship Id="rId21" Type="http://schemas.openxmlformats.org/officeDocument/2006/relationships/image" Target="media/image10.png"/><Relationship Id="rId34" Type="http://schemas.openxmlformats.org/officeDocument/2006/relationships/hyperlink" Target="https://www.bhp.com/-/media/documents/media/reports-and-presentations/2025/250819_bhpresultsfortheyearended30june2025_presentation.pdf" TargetMode="External"/><Relationship Id="rId42" Type="http://schemas.openxmlformats.org/officeDocument/2006/relationships/hyperlink" Target="https://minelistings.com/news/industry-news/bhp-announces-10-billion-investment-in-western-australia-iron-ore-operations/" TargetMode="External"/><Relationship Id="rId47" Type="http://schemas.openxmlformats.org/officeDocument/2006/relationships/hyperlink" Target="https://investingnews.com/copper-in-power-how-ai-driven-data-centers-affect-copper-demand/" TargetMode="External"/><Relationship Id="rId50" Type="http://schemas.openxmlformats.org/officeDocument/2006/relationships/hyperlink" Target="https://doi.org/10.1177/13558196251340549" TargetMode="External"/><Relationship Id="rId55" Type="http://schemas.openxmlformats.org/officeDocument/2006/relationships/hyperlink" Target="https://climateenergyfinance.org/wp-content/uploads/2026/07/CEF_Arc-of-Ambition_-Decarbonising-and-Safeguarding-Australian-Steel_MR_FINAL.pdf" TargetMode="External"/><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bhp.com/sustainability" TargetMode="External"/><Relationship Id="rId41" Type="http://schemas.openxmlformats.org/officeDocument/2006/relationships/hyperlink" Target="https://www.listcorp.com/asx/bhp/bhp-group-limited/news/bhp-fy2026-results-announcement-3390513.html" TargetMode="External"/><Relationship Id="rId54" Type="http://schemas.openxmlformats.org/officeDocument/2006/relationships/hyperlink" Target="https://www.oecd.org/en/publications/green-iron-opportunities-in-australia_bbd1e2b8-en/full-report/component-5.html" TargetMode="External"/><Relationship Id="rId62"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image" Target="media/image13.png"/><Relationship Id="rId32" Type="http://schemas.openxmlformats.org/officeDocument/2006/relationships/hyperlink" Target="https://www.bhp.com/es/news/media-centre/releases/2025/06/neosmelt-welcomes-federal-government-support-and-signs-two-new-participants" TargetMode="External"/><Relationship Id="rId37" Type="http://schemas.openxmlformats.org/officeDocument/2006/relationships/hyperlink" Target="https://www.bhp.com/-/media/documents/media/reports-and-presentations/2026/260818_bhpresultsfortheyearended30june2026_presentation.pdf" TargetMode="External"/><Relationship Id="rId40" Type="http://schemas.openxmlformats.org/officeDocument/2006/relationships/hyperlink" Target="https://www.bhp.com/news/bhp-insights/2025/12/steelmaking-decarbonisation" TargetMode="External"/><Relationship Id="rId45" Type="http://schemas.openxmlformats.org/officeDocument/2006/relationships/hyperlink" Target="https://www.dcceew.gov.au/about/news/setting-2035-target-path-net-zero" TargetMode="External"/><Relationship Id="rId53" Type="http://schemas.openxmlformats.org/officeDocument/2006/relationships/hyperlink" Target="https://www.theguardian.com/world/ng-interactive/2026/may/25/bhp-files-internal-memo-revealed" TargetMode="External"/><Relationship Id="rId58" Type="http://schemas.openxmlformats.org/officeDocument/2006/relationships/hyperlink" Target="https://www.spglobal.com/energy/en/news-research/latest-news/metals/010526-iron-ore-industry-challenges-simandous-pilbara-killer-status"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bhp.com/sustainability/environment" TargetMode="External"/><Relationship Id="rId36" Type="http://schemas.openxmlformats.org/officeDocument/2006/relationships/hyperlink" Target="https://www.bhp.com/news/bhp-insights/2024/10/pathways-towards-steelmaking-decarbonisation" TargetMode="External"/><Relationship Id="rId49" Type="http://schemas.openxmlformats.org/officeDocument/2006/relationships/hyperlink" Target="https://www.steelorbis.com/steel-news/latest-news/bhp-and-china-baowu-renew-steel-decarbonization-partnership-for-another-five-years-1478948.htm" TargetMode="External"/><Relationship Id="rId57" Type="http://schemas.openxmlformats.org/officeDocument/2006/relationships/hyperlink" Target="https://www.iisd.org/system/files/2026-06/navigating-eu-carbon-border-adjustment-mechanism.pdf" TargetMode="External"/><Relationship Id="rId61" Type="http://schemas.openxmlformats.org/officeDocument/2006/relationships/footer" Target="footer2.xml"/><Relationship Id="rId10" Type="http://schemas.openxmlformats.org/officeDocument/2006/relationships/header" Target="header1.xml"/><Relationship Id="rId19" Type="http://schemas.openxmlformats.org/officeDocument/2006/relationships/image" Target="media/image8.png"/><Relationship Id="rId31" Type="http://schemas.openxmlformats.org/officeDocument/2006/relationships/hyperlink" Target="https://www.bhp.com/investor-centre/reports-and-presentations/economic-and-commodity-outlook/2025/08/economic-and-commodity-outlook" TargetMode="External"/><Relationship Id="rId44" Type="http://schemas.openxmlformats.org/officeDocument/2006/relationships/hyperlink" Target="https://www.hatch.com/About-Us/News-And-Media/2026/04/CCUS-Hub-Study-identifies-five-Asia-Pacific-hub-sites" TargetMode="External"/><Relationship Id="rId52" Type="http://schemas.openxmlformats.org/officeDocument/2006/relationships/hyperlink" Target="https://doi.org/10.31181/msa31202630" TargetMode="External"/><Relationship Id="rId60" Type="http://schemas.openxmlformats.org/officeDocument/2006/relationships/hyperlink" Target="https://www.tradingview.com/symbols/NYSE-BHP/"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finance.yahoo.com/markets/commodities/articles/freeport-mcmorans-growth-projects-drive-111600222.html" TargetMode="External"/><Relationship Id="rId30" Type="http://schemas.openxmlformats.org/officeDocument/2006/relationships/hyperlink" Target="https://www.bhp.com/news/media-centre/releases/2026/09/bhp-and-china-baowu-renew-steel-decarbonisation-partnership" TargetMode="External"/><Relationship Id="rId35" Type="http://schemas.openxmlformats.org/officeDocument/2006/relationships/hyperlink" Target="https://www.bhp.com/-/media/documents/media/reports-and-presentations/2026/260217_bhpresultsforthehalfyearended31dec2025_exchangerelease.pdf" TargetMode="External"/><Relationship Id="rId43" Type="http://schemas.openxmlformats.org/officeDocument/2006/relationships/hyperlink" Target="https://www.climatechangeauthority.gov.au/sites/default/files/documents/2025-09/2035%20Targets%20Advice%20Report.pdf" TargetMode="External"/><Relationship Id="rId48" Type="http://schemas.openxmlformats.org/officeDocument/2006/relationships/hyperlink" Target="https://doi.org/10.62051/4s5byp64" TargetMode="External"/><Relationship Id="rId56" Type="http://schemas.openxmlformats.org/officeDocument/2006/relationships/hyperlink" Target="https://www.proactiveinvestors.com/companies/news/1098803/anglo-asian-mining-shows-record-first-half-for-copper-production-1098803.html" TargetMode="External"/><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smartinsights.com/marketing-planning/create-a-marketing-plan/ansoff-model/" TargetMode="Externa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yperlink" Target="https://doi.org/10.1016/j.joitmc.2025.100532" TargetMode="External"/><Relationship Id="rId33" Type="http://schemas.openxmlformats.org/officeDocument/2006/relationships/hyperlink" Target="https://www.bhp.com/news/media-centre/releases/2025/10/bhp-and-posco-partner-to-advance-hydrogen-based-ironmaking-technology" TargetMode="External"/><Relationship Id="rId38" Type="http://schemas.openxmlformats.org/officeDocument/2006/relationships/hyperlink" Target="https://www.bhp.com/-/media/documents/investors/annual-reports/2026/260818_bhpannualreport2026" TargetMode="External"/><Relationship Id="rId46" Type="http://schemas.openxmlformats.org/officeDocument/2006/relationships/hyperlink" Target="https://www.dcceew.gov.au/climate-change/emissions-reporting/national-greenhouse-energy-reporting-scheme/safeguard-mechanism" TargetMode="External"/><Relationship Id="rId59" Type="http://schemas.openxmlformats.org/officeDocument/2006/relationships/hyperlink" Target="https://taxation-customs.ec.europa.eu/carbon-border-adjustment-mechanism/cbam-definitive-regime_en"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g8MuDMt15mnRegZjlxrtmdjTqA==">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</go:docsCustomData>
</go:gDocsCustomXmlDataStorage>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4988</Words>
  <Characters>28438</Characters>
  <Application>Microsoft Office Word</Application>
  <DocSecurity>0</DocSecurity>
  <Lines>236</Lines>
  <Paragraphs>66</Paragraphs>
  <ScaleCrop>false</ScaleCrop>
  <Company/>
  <LinksUpToDate>false</LinksUpToDate>
  <CharactersWithSpaces>33360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Taonga Kaonga Sobere-Snithers</dc:creator>
  <cp:lastModifiedBy>Admin</cp:lastModifiedBy>
  <cp:revision>4</cp:revision>
  <dcterms:created xsi:type="dcterms:W3CDTF">2026-10-17T11:26:00Z</dcterms:created>
  <dcterms:modified xsi:type="dcterms:W3CDTF">2026-10-20T10:54:00Z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eyJoZGlkIjoiZThmNjAzMWJlZjFkMmQwODUwMTJkYzE2ODFiYmFmYTciLCJ1c2VySWQiOiI1NjcwNjQzMDkzMTEifQ==</vt:lpwstr>
  </property>
  <property fmtid="{D5CDD505-2E9C-101B-9397-08002B2CF9AE}" pid="3" name="KSOProductBuildVer">
    <vt:lpwstr>1033-12.1.0.29162</vt:lpwstr>
  </property>
  <property fmtid="{D5CDD505-2E9C-101B-9397-08002B2CF9AE}" pid="4" name="ICV">
    <vt:lpwstr>F6967D95FB6141BC823E074E34E7835C_12</vt:lpwstr>
  </property>
</Properties>
</file>