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9AD0D" w14:textId="77777777" w:rsidR="0035611D" w:rsidRDefault="0035611D">
      <w:pPr>
        <w:spacing w:before="200" w:after="200"/>
        <w:jc w:val="center"/>
        <w:rPr>
          <w:rFonts w:ascii="Arial" w:eastAsia="Arial" w:hAnsi="Arial" w:cs="Arial"/>
          <w:b/>
          <w:bCs/>
          <w:sz w:val="32"/>
          <w:szCs w:val="32"/>
        </w:rPr>
      </w:pPr>
    </w:p>
    <w:p w14:paraId="29D09CB9" w14:textId="77777777" w:rsidR="0035611D" w:rsidRDefault="0035611D">
      <w:pPr>
        <w:spacing w:before="200" w:after="200"/>
        <w:jc w:val="left"/>
        <w:rPr>
          <w:rFonts w:ascii="Arial" w:eastAsia="Arial" w:hAnsi="Arial" w:cs="Arial"/>
          <w:b/>
          <w:bCs/>
          <w:sz w:val="32"/>
          <w:szCs w:val="32"/>
        </w:rPr>
      </w:pPr>
    </w:p>
    <w:p w14:paraId="4319263F" w14:textId="77777777" w:rsidR="0035611D" w:rsidRDefault="0035611D">
      <w:pPr>
        <w:spacing w:before="200" w:after="200"/>
        <w:jc w:val="center"/>
        <w:rPr>
          <w:rFonts w:ascii="Arial" w:eastAsia="Arial" w:hAnsi="Arial" w:cs="Arial"/>
          <w:b/>
          <w:bCs/>
          <w:sz w:val="32"/>
          <w:szCs w:val="32"/>
        </w:rPr>
      </w:pPr>
    </w:p>
    <w:p w14:paraId="36DD0BD7" w14:textId="77777777" w:rsidR="0035611D" w:rsidRDefault="0035611D">
      <w:pPr>
        <w:spacing w:before="200" w:after="200"/>
        <w:jc w:val="center"/>
        <w:rPr>
          <w:rFonts w:ascii="Arial" w:eastAsia="Arial" w:hAnsi="Arial" w:cs="Arial"/>
          <w:b/>
          <w:bCs/>
          <w:sz w:val="32"/>
          <w:szCs w:val="32"/>
        </w:rPr>
      </w:pPr>
    </w:p>
    <w:p w14:paraId="591BFF7C" w14:textId="77777777" w:rsidR="0035611D" w:rsidRDefault="00A6742D">
      <w:pPr>
        <w:spacing w:before="200" w:after="200"/>
        <w:jc w:val="center"/>
        <w:rPr>
          <w:rFonts w:ascii="Arial" w:eastAsia="Arial" w:hAnsi="Arial" w:cs="Arial"/>
          <w:b/>
          <w:bCs/>
          <w:sz w:val="32"/>
          <w:szCs w:val="32"/>
        </w:rPr>
      </w:pPr>
      <w:r>
        <w:rPr>
          <w:rFonts w:ascii="Arial" w:eastAsia="Arial" w:hAnsi="Arial" w:cs="Arial"/>
          <w:b/>
          <w:bCs/>
          <w:sz w:val="32"/>
          <w:szCs w:val="32"/>
        </w:rPr>
        <w:t>Programme: Master of Business Administration (MBA)</w:t>
      </w:r>
    </w:p>
    <w:p w14:paraId="222523B9" w14:textId="77777777" w:rsidR="0035611D" w:rsidRDefault="00A6742D">
      <w:pPr>
        <w:spacing w:before="200" w:after="200"/>
        <w:jc w:val="center"/>
        <w:rPr>
          <w:rFonts w:ascii="Arial" w:eastAsia="Arial" w:hAnsi="Arial" w:cs="Arial"/>
          <w:b/>
          <w:bCs/>
          <w:sz w:val="32"/>
          <w:szCs w:val="32"/>
        </w:rPr>
      </w:pPr>
      <w:r>
        <w:rPr>
          <w:rFonts w:ascii="Arial" w:eastAsia="Arial" w:hAnsi="Arial" w:cs="Arial"/>
          <w:b/>
          <w:bCs/>
          <w:sz w:val="32"/>
          <w:szCs w:val="32"/>
        </w:rPr>
        <w:t>Module: Financial Management</w:t>
      </w:r>
    </w:p>
    <w:p w14:paraId="05D8245C" w14:textId="77777777" w:rsidR="0035611D" w:rsidRDefault="00A6742D">
      <w:pPr>
        <w:spacing w:before="200" w:after="200"/>
        <w:jc w:val="center"/>
        <w:rPr>
          <w:rFonts w:ascii="Arial" w:eastAsia="Arial" w:hAnsi="Arial" w:cs="Arial"/>
          <w:b/>
          <w:bCs/>
          <w:sz w:val="32"/>
          <w:szCs w:val="32"/>
        </w:rPr>
      </w:pPr>
      <w:r>
        <w:rPr>
          <w:rFonts w:ascii="Arial" w:eastAsia="Arial" w:hAnsi="Arial" w:cs="Arial"/>
          <w:b/>
          <w:bCs/>
          <w:sz w:val="32"/>
          <w:szCs w:val="32"/>
        </w:rPr>
        <w:t>Module Code: LCMB7002</w:t>
      </w:r>
    </w:p>
    <w:p w14:paraId="4FF7A115" w14:textId="77777777" w:rsidR="0035611D" w:rsidRDefault="00A6742D">
      <w:pPr>
        <w:spacing w:before="200" w:after="200"/>
        <w:jc w:val="center"/>
        <w:rPr>
          <w:rFonts w:ascii="Arial" w:eastAsia="Arial" w:hAnsi="Arial" w:cs="Arial"/>
          <w:b/>
          <w:bCs/>
          <w:sz w:val="32"/>
          <w:szCs w:val="32"/>
        </w:rPr>
      </w:pPr>
      <w:r>
        <w:rPr>
          <w:rFonts w:ascii="Arial" w:eastAsia="Arial" w:hAnsi="Arial" w:cs="Arial"/>
          <w:b/>
          <w:bCs/>
          <w:sz w:val="32"/>
          <w:szCs w:val="32"/>
        </w:rPr>
        <w:t>Assignment: Financial Performance and Management - Tesla Inc.</w:t>
      </w:r>
    </w:p>
    <w:p w14:paraId="69EB7D4A" w14:textId="77777777" w:rsidR="0035611D" w:rsidRDefault="00A6742D">
      <w:pPr>
        <w:spacing w:before="200" w:after="200"/>
        <w:jc w:val="center"/>
        <w:rPr>
          <w:rFonts w:ascii="Arial" w:eastAsia="Arial" w:hAnsi="Arial" w:cs="Arial"/>
          <w:b/>
          <w:bCs/>
          <w:sz w:val="32"/>
          <w:szCs w:val="32"/>
        </w:rPr>
      </w:pPr>
      <w:r>
        <w:rPr>
          <w:rFonts w:ascii="Arial" w:eastAsia="Arial" w:hAnsi="Arial" w:cs="Arial"/>
          <w:b/>
          <w:bCs/>
          <w:sz w:val="32"/>
          <w:szCs w:val="32"/>
        </w:rPr>
        <w:t>Student Name: Ishan Dineshbhai Rana</w:t>
      </w:r>
    </w:p>
    <w:p w14:paraId="0A3277D9" w14:textId="77777777" w:rsidR="0035611D" w:rsidRDefault="00A6742D">
      <w:pPr>
        <w:spacing w:before="200" w:after="200"/>
        <w:jc w:val="center"/>
        <w:rPr>
          <w:rFonts w:ascii="Arial" w:eastAsia="Arial" w:hAnsi="Arial" w:cs="Arial"/>
          <w:b/>
          <w:bCs/>
          <w:sz w:val="32"/>
          <w:szCs w:val="32"/>
        </w:rPr>
      </w:pPr>
      <w:r>
        <w:rPr>
          <w:rFonts w:ascii="Arial" w:eastAsia="Arial" w:hAnsi="Arial" w:cs="Arial"/>
          <w:b/>
          <w:bCs/>
          <w:sz w:val="32"/>
          <w:szCs w:val="32"/>
        </w:rPr>
        <w:t>Student ID:2507137</w:t>
      </w:r>
    </w:p>
    <w:p w14:paraId="4D2C6BE4" w14:textId="77777777" w:rsidR="0035611D" w:rsidRDefault="00A6742D">
      <w:pPr>
        <w:spacing w:before="200" w:after="200"/>
        <w:jc w:val="center"/>
        <w:rPr>
          <w:rFonts w:ascii="Arial" w:eastAsia="Arial" w:hAnsi="Arial" w:cs="Arial"/>
          <w:b/>
          <w:bCs/>
          <w:sz w:val="32"/>
          <w:szCs w:val="32"/>
        </w:rPr>
      </w:pPr>
      <w:r>
        <w:rPr>
          <w:rFonts w:ascii="Arial" w:eastAsia="Arial" w:hAnsi="Arial" w:cs="Arial"/>
          <w:b/>
          <w:bCs/>
          <w:sz w:val="32"/>
          <w:szCs w:val="32"/>
        </w:rPr>
        <w:t>Lecturers’ Name: Shengfeng Mei, and Patrick Yeboah</w:t>
      </w:r>
    </w:p>
    <w:p w14:paraId="3C33DC2D" w14:textId="77777777" w:rsidR="0035611D" w:rsidRDefault="00A6742D">
      <w:pPr>
        <w:spacing w:before="200" w:after="200"/>
        <w:jc w:val="center"/>
        <w:rPr>
          <w:rFonts w:ascii="Arial" w:eastAsia="Arial" w:hAnsi="Arial" w:cs="Arial"/>
          <w:b/>
          <w:bCs/>
          <w:sz w:val="32"/>
          <w:szCs w:val="32"/>
        </w:rPr>
      </w:pPr>
      <w:r>
        <w:rPr>
          <w:rFonts w:ascii="Arial" w:eastAsia="Arial" w:hAnsi="Arial" w:cs="Arial"/>
          <w:b/>
          <w:bCs/>
          <w:sz w:val="32"/>
          <w:szCs w:val="32"/>
        </w:rPr>
        <w:t xml:space="preserve">Submission Date: 24th April 2026 by 2PM </w:t>
      </w:r>
    </w:p>
    <w:p w14:paraId="2C9275BA" w14:textId="77777777" w:rsidR="0035611D" w:rsidRDefault="00A6742D">
      <w:pPr>
        <w:spacing w:before="200" w:after="200"/>
        <w:jc w:val="center"/>
        <w:rPr>
          <w:rFonts w:ascii="Arial" w:eastAsia="Arial" w:hAnsi="Arial" w:cs="Arial"/>
        </w:rPr>
      </w:pPr>
      <w:r>
        <w:rPr>
          <w:rFonts w:ascii="Arial" w:eastAsia="Arial" w:hAnsi="Arial" w:cs="Arial"/>
          <w:b/>
          <w:bCs/>
          <w:sz w:val="32"/>
          <w:szCs w:val="32"/>
        </w:rPr>
        <w:t>Word Count: 4906</w:t>
      </w:r>
      <w:r>
        <w:br w:type="page"/>
      </w:r>
    </w:p>
    <w:p w14:paraId="09BB3013" w14:textId="77777777" w:rsidR="0035611D" w:rsidRDefault="00A6742D">
      <w:pPr>
        <w:spacing w:before="200" w:after="200"/>
        <w:jc w:val="center"/>
        <w:rPr>
          <w:rFonts w:ascii="Arial" w:eastAsia="Arial" w:hAnsi="Arial" w:cs="Arial"/>
          <w:b/>
          <w:bCs/>
          <w:sz w:val="28"/>
          <w:szCs w:val="28"/>
        </w:rPr>
      </w:pPr>
      <w:r>
        <w:rPr>
          <w:rFonts w:ascii="Arial" w:eastAsia="Arial" w:hAnsi="Arial" w:cs="Arial"/>
          <w:b/>
          <w:bCs/>
          <w:sz w:val="28"/>
          <w:szCs w:val="28"/>
        </w:rPr>
        <w:t>Table of Contents</w:t>
      </w:r>
    </w:p>
    <w:sdt>
      <w:sdtPr>
        <w:id w:val="-1425070794"/>
        <w:docPartObj>
          <w:docPartGallery w:val="Table of Contents"/>
          <w:docPartUnique/>
        </w:docPartObj>
      </w:sdtPr>
      <w:sdtEndPr/>
      <w:sdtContent>
        <w:p w14:paraId="6D2FF1A9" w14:textId="77777777" w:rsidR="0035611D" w:rsidRDefault="00A6742D">
          <w:pPr>
            <w:pBdr>
              <w:top w:val="nil"/>
              <w:left w:val="nil"/>
              <w:bottom w:val="nil"/>
              <w:right w:val="nil"/>
              <w:between w:val="nil"/>
            </w:pBdr>
            <w:tabs>
              <w:tab w:val="right" w:leader="dot" w:pos="9019"/>
            </w:tabs>
            <w:spacing w:after="100"/>
            <w:rPr>
              <w:rFonts w:ascii="Arial" w:eastAsia="Arial" w:hAnsi="Arial" w:cs="Arial"/>
              <w:color w:val="000000"/>
            </w:rPr>
          </w:pPr>
          <w:r>
            <w:fldChar w:fldCharType="begin"/>
          </w:r>
          <w:r>
            <w:instrText xml:space="preserve"> TOC \h \u \z \t "Heading 1,1,Heading 2,2,Heading 3,3,Heading 4,4,Heading 5,5,Heading 6,6,"</w:instrText>
          </w:r>
          <w:r>
            <w:fldChar w:fldCharType="separate"/>
          </w:r>
          <w:hyperlink w:anchor="_75orvq1taipx">
            <w:r>
              <w:rPr>
                <w:rFonts w:ascii="Arial" w:eastAsia="Arial" w:hAnsi="Arial" w:cs="Arial"/>
                <w:color w:val="000000"/>
              </w:rPr>
              <w:t>1. Introduction</w:t>
            </w:r>
            <w:r>
              <w:rPr>
                <w:rFonts w:ascii="Arial" w:eastAsia="Arial" w:hAnsi="Arial" w:cs="Arial"/>
                <w:color w:val="000000"/>
              </w:rPr>
              <w:tab/>
              <w:t>5</w:t>
            </w:r>
          </w:hyperlink>
        </w:p>
        <w:p w14:paraId="6356D967"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aysuu8j5l72y">
            <w:r>
              <w:rPr>
                <w:rFonts w:ascii="Arial" w:eastAsia="Arial" w:hAnsi="Arial" w:cs="Arial"/>
                <w:color w:val="000000"/>
              </w:rPr>
              <w:t>1.1 Overview of Tesla Inc.</w:t>
            </w:r>
            <w:r>
              <w:rPr>
                <w:rFonts w:ascii="Arial" w:eastAsia="Arial" w:hAnsi="Arial" w:cs="Arial"/>
                <w:color w:val="000000"/>
              </w:rPr>
              <w:tab/>
              <w:t>5</w:t>
            </w:r>
          </w:hyperlink>
        </w:p>
        <w:p w14:paraId="15DF2BBF"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u4n2j4t94q6b">
            <w:r>
              <w:rPr>
                <w:rFonts w:ascii="Arial" w:eastAsia="Arial" w:hAnsi="Arial" w:cs="Arial"/>
                <w:color w:val="000000"/>
              </w:rPr>
              <w:t>1.2 Industry Context (EV Market)</w:t>
            </w:r>
            <w:r>
              <w:rPr>
                <w:rFonts w:ascii="Arial" w:eastAsia="Arial" w:hAnsi="Arial" w:cs="Arial"/>
                <w:color w:val="000000"/>
              </w:rPr>
              <w:tab/>
              <w:t>5</w:t>
            </w:r>
          </w:hyperlink>
        </w:p>
        <w:p w14:paraId="2D9E045F" w14:textId="77777777" w:rsidR="0035611D" w:rsidRDefault="00A6742D">
          <w:pPr>
            <w:pBdr>
              <w:top w:val="nil"/>
              <w:left w:val="nil"/>
              <w:bottom w:val="nil"/>
              <w:right w:val="nil"/>
              <w:between w:val="nil"/>
            </w:pBdr>
            <w:tabs>
              <w:tab w:val="right" w:leader="dot" w:pos="9019"/>
            </w:tabs>
            <w:spacing w:after="100"/>
            <w:rPr>
              <w:rFonts w:ascii="Arial" w:eastAsia="Arial" w:hAnsi="Arial" w:cs="Arial"/>
              <w:color w:val="000000"/>
            </w:rPr>
          </w:pPr>
          <w:hyperlink w:anchor="_swef0nuf85nt">
            <w:r>
              <w:rPr>
                <w:rFonts w:ascii="Arial" w:eastAsia="Arial" w:hAnsi="Arial" w:cs="Arial"/>
                <w:color w:val="000000"/>
              </w:rPr>
              <w:t>2. Financial Health Check</w:t>
            </w:r>
            <w:r>
              <w:rPr>
                <w:rFonts w:ascii="Arial" w:eastAsia="Arial" w:hAnsi="Arial" w:cs="Arial"/>
                <w:color w:val="000000"/>
              </w:rPr>
              <w:tab/>
              <w:t>6</w:t>
            </w:r>
          </w:hyperlink>
        </w:p>
        <w:p w14:paraId="221A7D04"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um7e792amya2">
            <w:r>
              <w:rPr>
                <w:rFonts w:ascii="Arial" w:eastAsia="Arial" w:hAnsi="Arial" w:cs="Arial"/>
                <w:color w:val="000000"/>
              </w:rPr>
              <w:t>2.1 Overview of Tesla’s Financial Performance (Last 5 Years)</w:t>
            </w:r>
            <w:r>
              <w:rPr>
                <w:rFonts w:ascii="Arial" w:eastAsia="Arial" w:hAnsi="Arial" w:cs="Arial"/>
                <w:color w:val="000000"/>
              </w:rPr>
              <w:tab/>
              <w:t>6</w:t>
            </w:r>
          </w:hyperlink>
        </w:p>
        <w:p w14:paraId="6D3AC762"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766wp0vbbbpq">
            <w:r>
              <w:rPr>
                <w:rFonts w:ascii="Arial" w:eastAsia="Arial" w:hAnsi="Arial" w:cs="Arial"/>
                <w:color w:val="000000"/>
              </w:rPr>
              <w:t>2.2 Ratio Analysis</w:t>
            </w:r>
            <w:r>
              <w:rPr>
                <w:rFonts w:ascii="Arial" w:eastAsia="Arial" w:hAnsi="Arial" w:cs="Arial"/>
                <w:color w:val="000000"/>
              </w:rPr>
              <w:tab/>
              <w:t>6</w:t>
            </w:r>
          </w:hyperlink>
        </w:p>
        <w:p w14:paraId="02FFFF01"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udndxpzcleu3">
            <w:r>
              <w:rPr>
                <w:rFonts w:ascii="Arial" w:eastAsia="Arial" w:hAnsi="Arial" w:cs="Arial"/>
                <w:color w:val="000000"/>
              </w:rPr>
              <w:t>a) Profitability Ratios</w:t>
            </w:r>
            <w:r>
              <w:rPr>
                <w:rFonts w:ascii="Arial" w:eastAsia="Arial" w:hAnsi="Arial" w:cs="Arial"/>
                <w:color w:val="000000"/>
              </w:rPr>
              <w:tab/>
              <w:t>6</w:t>
            </w:r>
          </w:hyperlink>
        </w:p>
        <w:p w14:paraId="31E67B57"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uzols8ds382v">
            <w:r>
              <w:rPr>
                <w:rFonts w:ascii="Arial" w:eastAsia="Arial" w:hAnsi="Arial" w:cs="Arial"/>
                <w:color w:val="000000"/>
              </w:rPr>
              <w:t>b) Liquidity Ratios</w:t>
            </w:r>
            <w:r>
              <w:rPr>
                <w:rFonts w:ascii="Arial" w:eastAsia="Arial" w:hAnsi="Arial" w:cs="Arial"/>
                <w:color w:val="000000"/>
              </w:rPr>
              <w:tab/>
              <w:t>7</w:t>
            </w:r>
          </w:hyperlink>
        </w:p>
        <w:p w14:paraId="7216985D"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g3olc2o693l7">
            <w:r>
              <w:rPr>
                <w:rFonts w:ascii="Arial" w:eastAsia="Arial" w:hAnsi="Arial" w:cs="Arial"/>
                <w:color w:val="000000"/>
              </w:rPr>
              <w:t>c) Efficiency Ratios</w:t>
            </w:r>
            <w:r>
              <w:rPr>
                <w:rFonts w:ascii="Arial" w:eastAsia="Arial" w:hAnsi="Arial" w:cs="Arial"/>
                <w:color w:val="000000"/>
              </w:rPr>
              <w:tab/>
              <w:t>7</w:t>
            </w:r>
          </w:hyperlink>
        </w:p>
        <w:p w14:paraId="67E01DDF"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e30eqqm2s4ux">
            <w:r>
              <w:rPr>
                <w:rFonts w:ascii="Arial" w:eastAsia="Arial" w:hAnsi="Arial" w:cs="Arial"/>
                <w:color w:val="000000"/>
              </w:rPr>
              <w:t>d) Gearing Ratios</w:t>
            </w:r>
            <w:r>
              <w:rPr>
                <w:rFonts w:ascii="Arial" w:eastAsia="Arial" w:hAnsi="Arial" w:cs="Arial"/>
                <w:color w:val="000000"/>
              </w:rPr>
              <w:tab/>
              <w:t>7</w:t>
            </w:r>
          </w:hyperlink>
        </w:p>
        <w:p w14:paraId="1BE6D80B"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2u4kwgywgzjr">
            <w:r>
              <w:rPr>
                <w:rFonts w:ascii="Arial" w:eastAsia="Arial" w:hAnsi="Arial" w:cs="Arial"/>
                <w:color w:val="000000"/>
              </w:rPr>
              <w:t>e) Investment Ratios</w:t>
            </w:r>
            <w:r>
              <w:rPr>
                <w:rFonts w:ascii="Arial" w:eastAsia="Arial" w:hAnsi="Arial" w:cs="Arial"/>
                <w:color w:val="000000"/>
              </w:rPr>
              <w:tab/>
              <w:t>8</w:t>
            </w:r>
          </w:hyperlink>
        </w:p>
        <w:p w14:paraId="01FAE448"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qnngqqtqnqmp">
            <w:r>
              <w:rPr>
                <w:rFonts w:ascii="Arial" w:eastAsia="Arial" w:hAnsi="Arial" w:cs="Arial"/>
                <w:color w:val="000000"/>
              </w:rPr>
              <w:t>f) Cash Flow Ratios</w:t>
            </w:r>
            <w:r>
              <w:rPr>
                <w:rFonts w:ascii="Arial" w:eastAsia="Arial" w:hAnsi="Arial" w:cs="Arial"/>
                <w:color w:val="000000"/>
              </w:rPr>
              <w:tab/>
              <w:t>8</w:t>
            </w:r>
          </w:hyperlink>
        </w:p>
        <w:p w14:paraId="1114602C"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a314jdoxx0az">
            <w:r>
              <w:rPr>
                <w:rFonts w:ascii="Arial" w:eastAsia="Arial" w:hAnsi="Arial" w:cs="Arial"/>
                <w:color w:val="000000"/>
              </w:rPr>
              <w:t>2.3 Key Findings</w:t>
            </w:r>
            <w:r>
              <w:rPr>
                <w:rFonts w:ascii="Arial" w:eastAsia="Arial" w:hAnsi="Arial" w:cs="Arial"/>
                <w:color w:val="000000"/>
              </w:rPr>
              <w:tab/>
              <w:t>8</w:t>
            </w:r>
          </w:hyperlink>
        </w:p>
        <w:p w14:paraId="55BA2C6F"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i4nev12jrj9k">
            <w:r>
              <w:rPr>
                <w:rFonts w:ascii="Arial" w:eastAsia="Arial" w:hAnsi="Arial" w:cs="Arial"/>
                <w:color w:val="000000"/>
              </w:rPr>
              <w:t>a) Identify Trends</w:t>
            </w:r>
            <w:r>
              <w:rPr>
                <w:rFonts w:ascii="Arial" w:eastAsia="Arial" w:hAnsi="Arial" w:cs="Arial"/>
                <w:color w:val="000000"/>
              </w:rPr>
              <w:tab/>
              <w:t>8</w:t>
            </w:r>
          </w:hyperlink>
        </w:p>
        <w:p w14:paraId="624794DC"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htunk93cryp7">
            <w:r>
              <w:rPr>
                <w:rFonts w:ascii="Arial" w:eastAsia="Arial" w:hAnsi="Arial" w:cs="Arial"/>
                <w:color w:val="000000"/>
              </w:rPr>
              <w:t>b) Identify Strengths</w:t>
            </w:r>
            <w:r>
              <w:rPr>
                <w:rFonts w:ascii="Arial" w:eastAsia="Arial" w:hAnsi="Arial" w:cs="Arial"/>
                <w:color w:val="000000"/>
              </w:rPr>
              <w:tab/>
              <w:t>9</w:t>
            </w:r>
          </w:hyperlink>
        </w:p>
        <w:p w14:paraId="6F26A365"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vqqxjc1ww41s">
            <w:r>
              <w:rPr>
                <w:rFonts w:ascii="Arial" w:eastAsia="Arial" w:hAnsi="Arial" w:cs="Arial"/>
                <w:color w:val="000000"/>
              </w:rPr>
              <w:t>c) Identify Threats</w:t>
            </w:r>
            <w:r>
              <w:rPr>
                <w:rFonts w:ascii="Arial" w:eastAsia="Arial" w:hAnsi="Arial" w:cs="Arial"/>
                <w:color w:val="000000"/>
              </w:rPr>
              <w:tab/>
              <w:t>9</w:t>
            </w:r>
          </w:hyperlink>
        </w:p>
        <w:p w14:paraId="385753FA"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y7xuqe86hte7">
            <w:r>
              <w:rPr>
                <w:rFonts w:ascii="Arial" w:eastAsia="Arial" w:hAnsi="Arial" w:cs="Arial"/>
                <w:color w:val="000000"/>
              </w:rPr>
              <w:t>2.4 Summary</w:t>
            </w:r>
            <w:r>
              <w:rPr>
                <w:rFonts w:ascii="Arial" w:eastAsia="Arial" w:hAnsi="Arial" w:cs="Arial"/>
                <w:color w:val="000000"/>
              </w:rPr>
              <w:tab/>
              <w:t>9</w:t>
            </w:r>
          </w:hyperlink>
        </w:p>
        <w:p w14:paraId="093D6215" w14:textId="77777777" w:rsidR="0035611D" w:rsidRDefault="00A6742D">
          <w:pPr>
            <w:pBdr>
              <w:top w:val="nil"/>
              <w:left w:val="nil"/>
              <w:bottom w:val="nil"/>
              <w:right w:val="nil"/>
              <w:between w:val="nil"/>
            </w:pBdr>
            <w:tabs>
              <w:tab w:val="right" w:leader="dot" w:pos="9019"/>
            </w:tabs>
            <w:spacing w:after="100"/>
            <w:rPr>
              <w:rFonts w:ascii="Arial" w:eastAsia="Arial" w:hAnsi="Arial" w:cs="Arial"/>
              <w:color w:val="000000"/>
            </w:rPr>
          </w:pPr>
          <w:hyperlink w:anchor="_4dhkh87xxkg">
            <w:r>
              <w:rPr>
                <w:rFonts w:ascii="Arial" w:eastAsia="Arial" w:hAnsi="Arial" w:cs="Arial"/>
                <w:color w:val="000000"/>
              </w:rPr>
              <w:t>3. Working Capital Management Analysis</w:t>
            </w:r>
            <w:r>
              <w:rPr>
                <w:rFonts w:ascii="Arial" w:eastAsia="Arial" w:hAnsi="Arial" w:cs="Arial"/>
                <w:color w:val="000000"/>
              </w:rPr>
              <w:tab/>
              <w:t>10</w:t>
            </w:r>
          </w:hyperlink>
        </w:p>
        <w:p w14:paraId="12E88551"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1jb5g4c29xnk">
            <w:r>
              <w:rPr>
                <w:rFonts w:ascii="Arial" w:eastAsia="Arial" w:hAnsi="Arial" w:cs="Arial"/>
                <w:color w:val="000000"/>
              </w:rPr>
              <w:t>3.1 Cash Operating Cycle</w:t>
            </w:r>
            <w:r>
              <w:rPr>
                <w:rFonts w:ascii="Arial" w:eastAsia="Arial" w:hAnsi="Arial" w:cs="Arial"/>
                <w:color w:val="000000"/>
              </w:rPr>
              <w:tab/>
              <w:t>10</w:t>
            </w:r>
          </w:hyperlink>
        </w:p>
        <w:p w14:paraId="7D4F250D"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fnngpzx7k4tb">
            <w:r>
              <w:rPr>
                <w:rFonts w:ascii="Arial" w:eastAsia="Arial" w:hAnsi="Arial" w:cs="Arial"/>
                <w:color w:val="000000"/>
              </w:rPr>
              <w:t>3.2 Evaluation of Tesla’s Liquidity</w:t>
            </w:r>
            <w:r>
              <w:rPr>
                <w:rFonts w:ascii="Arial" w:eastAsia="Arial" w:hAnsi="Arial" w:cs="Arial"/>
                <w:color w:val="000000"/>
              </w:rPr>
              <w:tab/>
              <w:t>10</w:t>
            </w:r>
          </w:hyperlink>
        </w:p>
        <w:p w14:paraId="604D5F81"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q90se3crt4pz">
            <w:r>
              <w:rPr>
                <w:rFonts w:ascii="Arial" w:eastAsia="Arial" w:hAnsi="Arial" w:cs="Arial"/>
                <w:color w:val="000000"/>
              </w:rPr>
              <w:t>a) Strengths</w:t>
            </w:r>
            <w:r>
              <w:rPr>
                <w:rFonts w:ascii="Arial" w:eastAsia="Arial" w:hAnsi="Arial" w:cs="Arial"/>
                <w:color w:val="000000"/>
              </w:rPr>
              <w:tab/>
              <w:t>10</w:t>
            </w:r>
          </w:hyperlink>
        </w:p>
        <w:p w14:paraId="1355B467"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8rhtc6k18gqt">
            <w:r>
              <w:rPr>
                <w:rFonts w:ascii="Arial" w:eastAsia="Arial" w:hAnsi="Arial" w:cs="Arial"/>
                <w:color w:val="000000"/>
              </w:rPr>
              <w:t>b) Weaknesses</w:t>
            </w:r>
            <w:r>
              <w:rPr>
                <w:rFonts w:ascii="Arial" w:eastAsia="Arial" w:hAnsi="Arial" w:cs="Arial"/>
                <w:color w:val="000000"/>
              </w:rPr>
              <w:tab/>
              <w:t>10</w:t>
            </w:r>
          </w:hyperlink>
        </w:p>
        <w:p w14:paraId="59F69368"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3zbxngktd53m">
            <w:r>
              <w:rPr>
                <w:rFonts w:ascii="Arial" w:eastAsia="Arial" w:hAnsi="Arial" w:cs="Arial"/>
                <w:color w:val="000000"/>
              </w:rPr>
              <w:t>3.3 Recommendations</w:t>
            </w:r>
            <w:r>
              <w:rPr>
                <w:rFonts w:ascii="Arial" w:eastAsia="Arial" w:hAnsi="Arial" w:cs="Arial"/>
                <w:color w:val="000000"/>
              </w:rPr>
              <w:tab/>
              <w:t>11</w:t>
            </w:r>
          </w:hyperlink>
        </w:p>
        <w:p w14:paraId="6381DB44"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931gnt1jz9wk">
            <w:r>
              <w:rPr>
                <w:rFonts w:ascii="Arial" w:eastAsia="Arial" w:hAnsi="Arial" w:cs="Arial"/>
                <w:color w:val="000000"/>
              </w:rPr>
              <w:t>a) Improve Inventory Management</w:t>
            </w:r>
            <w:r>
              <w:rPr>
                <w:rFonts w:ascii="Arial" w:eastAsia="Arial" w:hAnsi="Arial" w:cs="Arial"/>
                <w:color w:val="000000"/>
              </w:rPr>
              <w:tab/>
              <w:t>11</w:t>
            </w:r>
          </w:hyperlink>
        </w:p>
        <w:p w14:paraId="07C59B6B"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gf7a4tz76u6k">
            <w:r>
              <w:rPr>
                <w:rFonts w:ascii="Arial" w:eastAsia="Arial" w:hAnsi="Arial" w:cs="Arial"/>
                <w:color w:val="000000"/>
              </w:rPr>
              <w:t>b) Credit Policy Improvements</w:t>
            </w:r>
            <w:r>
              <w:rPr>
                <w:rFonts w:ascii="Arial" w:eastAsia="Arial" w:hAnsi="Arial" w:cs="Arial"/>
                <w:color w:val="000000"/>
              </w:rPr>
              <w:tab/>
              <w:t>11</w:t>
            </w:r>
          </w:hyperlink>
        </w:p>
        <w:p w14:paraId="42E817EF"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9pfylg9l50sz">
            <w:r>
              <w:rPr>
                <w:rFonts w:ascii="Arial" w:eastAsia="Arial" w:hAnsi="Arial" w:cs="Arial"/>
                <w:color w:val="000000"/>
              </w:rPr>
              <w:t>c) Supplier Financing Strategies</w:t>
            </w:r>
            <w:r>
              <w:rPr>
                <w:rFonts w:ascii="Arial" w:eastAsia="Arial" w:hAnsi="Arial" w:cs="Arial"/>
                <w:color w:val="000000"/>
              </w:rPr>
              <w:tab/>
              <w:t>11</w:t>
            </w:r>
          </w:hyperlink>
        </w:p>
        <w:p w14:paraId="5CEB1147"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q5yxjofdl8x7">
            <w:r>
              <w:rPr>
                <w:rFonts w:ascii="Arial" w:eastAsia="Arial" w:hAnsi="Arial" w:cs="Arial"/>
                <w:color w:val="000000"/>
              </w:rPr>
              <w:t>3.4 Financing Options</w:t>
            </w:r>
            <w:r>
              <w:rPr>
                <w:rFonts w:ascii="Arial" w:eastAsia="Arial" w:hAnsi="Arial" w:cs="Arial"/>
                <w:color w:val="000000"/>
              </w:rPr>
              <w:tab/>
              <w:t>11</w:t>
            </w:r>
          </w:hyperlink>
        </w:p>
        <w:p w14:paraId="4102A862"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66a8reygyd0w">
            <w:r>
              <w:rPr>
                <w:rFonts w:ascii="Arial" w:eastAsia="Arial" w:hAnsi="Arial" w:cs="Arial"/>
                <w:color w:val="000000"/>
              </w:rPr>
              <w:t>a) Short-term vs Long-Term Financing</w:t>
            </w:r>
            <w:r>
              <w:rPr>
                <w:rFonts w:ascii="Arial" w:eastAsia="Arial" w:hAnsi="Arial" w:cs="Arial"/>
                <w:color w:val="000000"/>
              </w:rPr>
              <w:tab/>
              <w:t>11</w:t>
            </w:r>
          </w:hyperlink>
        </w:p>
        <w:p w14:paraId="1E029E68"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5r2cj8kag3kc">
            <w:r>
              <w:rPr>
                <w:rFonts w:ascii="Arial" w:eastAsia="Arial" w:hAnsi="Arial" w:cs="Arial"/>
                <w:color w:val="000000"/>
              </w:rPr>
              <w:t>b) Pros and Cons for Tesla</w:t>
            </w:r>
            <w:r>
              <w:rPr>
                <w:rFonts w:ascii="Arial" w:eastAsia="Arial" w:hAnsi="Arial" w:cs="Arial"/>
                <w:color w:val="000000"/>
              </w:rPr>
              <w:tab/>
              <w:t>12</w:t>
            </w:r>
          </w:hyperlink>
        </w:p>
        <w:p w14:paraId="6583B759"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x6in7ekm3gu1">
            <w:r>
              <w:rPr>
                <w:rFonts w:ascii="Arial" w:eastAsia="Arial" w:hAnsi="Arial" w:cs="Arial"/>
                <w:color w:val="000000"/>
              </w:rPr>
              <w:t>3.5 Summary</w:t>
            </w:r>
            <w:r>
              <w:rPr>
                <w:rFonts w:ascii="Arial" w:eastAsia="Arial" w:hAnsi="Arial" w:cs="Arial"/>
                <w:color w:val="000000"/>
              </w:rPr>
              <w:tab/>
              <w:t>12</w:t>
            </w:r>
          </w:hyperlink>
        </w:p>
        <w:p w14:paraId="091DBAAF" w14:textId="77777777" w:rsidR="0035611D" w:rsidRDefault="00A6742D">
          <w:pPr>
            <w:pBdr>
              <w:top w:val="nil"/>
              <w:left w:val="nil"/>
              <w:bottom w:val="nil"/>
              <w:right w:val="nil"/>
              <w:between w:val="nil"/>
            </w:pBdr>
            <w:tabs>
              <w:tab w:val="right" w:leader="dot" w:pos="9019"/>
            </w:tabs>
            <w:spacing w:after="100"/>
            <w:rPr>
              <w:rFonts w:ascii="Arial" w:eastAsia="Arial" w:hAnsi="Arial" w:cs="Arial"/>
              <w:color w:val="000000"/>
            </w:rPr>
          </w:pPr>
          <w:hyperlink w:anchor="_dky7i4882w4l">
            <w:r>
              <w:rPr>
                <w:rFonts w:ascii="Arial" w:eastAsia="Arial" w:hAnsi="Arial" w:cs="Arial"/>
                <w:color w:val="000000"/>
              </w:rPr>
              <w:t>4. Strategic Financial Restructuring Plan</w:t>
            </w:r>
            <w:r>
              <w:rPr>
                <w:rFonts w:ascii="Arial" w:eastAsia="Arial" w:hAnsi="Arial" w:cs="Arial"/>
                <w:color w:val="000000"/>
              </w:rPr>
              <w:tab/>
              <w:t>13</w:t>
            </w:r>
          </w:hyperlink>
        </w:p>
        <w:p w14:paraId="548F8DE3"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4a4jx2ev4ebv">
            <w:r>
              <w:rPr>
                <w:rFonts w:ascii="Arial" w:eastAsia="Arial" w:hAnsi="Arial" w:cs="Arial"/>
                <w:color w:val="000000"/>
              </w:rPr>
              <w:t>4.1 Current Financial Issues</w:t>
            </w:r>
            <w:r>
              <w:rPr>
                <w:rFonts w:ascii="Arial" w:eastAsia="Arial" w:hAnsi="Arial" w:cs="Arial"/>
                <w:color w:val="000000"/>
              </w:rPr>
              <w:tab/>
              <w:t>13</w:t>
            </w:r>
          </w:hyperlink>
        </w:p>
        <w:p w14:paraId="22430DCA"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fq1xhtif6qag">
            <w:r>
              <w:rPr>
                <w:rFonts w:ascii="Arial" w:eastAsia="Arial" w:hAnsi="Arial" w:cs="Arial"/>
                <w:color w:val="000000"/>
              </w:rPr>
              <w:t>4.2 Proposed Strategies</w:t>
            </w:r>
            <w:r>
              <w:rPr>
                <w:rFonts w:ascii="Arial" w:eastAsia="Arial" w:hAnsi="Arial" w:cs="Arial"/>
                <w:color w:val="000000"/>
              </w:rPr>
              <w:tab/>
              <w:t>13</w:t>
            </w:r>
          </w:hyperlink>
        </w:p>
        <w:p w14:paraId="0174CD70"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20egau653cp4">
            <w:r>
              <w:rPr>
                <w:rFonts w:ascii="Arial" w:eastAsia="Arial" w:hAnsi="Arial" w:cs="Arial"/>
                <w:color w:val="000000"/>
              </w:rPr>
              <w:t>4.3 Impact Analysis</w:t>
            </w:r>
            <w:r>
              <w:rPr>
                <w:rFonts w:ascii="Arial" w:eastAsia="Arial" w:hAnsi="Arial" w:cs="Arial"/>
                <w:color w:val="000000"/>
              </w:rPr>
              <w:tab/>
              <w:t>13</w:t>
            </w:r>
          </w:hyperlink>
        </w:p>
        <w:p w14:paraId="78F9E700"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sg6ba5e3qq3h">
            <w:r>
              <w:rPr>
                <w:rFonts w:ascii="Arial" w:eastAsia="Arial" w:hAnsi="Arial" w:cs="Arial"/>
                <w:color w:val="000000"/>
              </w:rPr>
              <w:t>4.4 Global &amp; Ethical Considerations</w:t>
            </w:r>
            <w:r>
              <w:rPr>
                <w:rFonts w:ascii="Arial" w:eastAsia="Arial" w:hAnsi="Arial" w:cs="Arial"/>
                <w:color w:val="000000"/>
              </w:rPr>
              <w:tab/>
              <w:t>14</w:t>
            </w:r>
          </w:hyperlink>
        </w:p>
        <w:p w14:paraId="261FD660"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hp4bvk9lkl7">
            <w:r>
              <w:rPr>
                <w:rFonts w:ascii="Arial" w:eastAsia="Arial" w:hAnsi="Arial" w:cs="Arial"/>
                <w:color w:val="000000"/>
              </w:rPr>
              <w:t>4.5 Mitigation and Financial Control Measures related to Risk.</w:t>
            </w:r>
            <w:r>
              <w:rPr>
                <w:rFonts w:ascii="Arial" w:eastAsia="Arial" w:hAnsi="Arial" w:cs="Arial"/>
                <w:color w:val="000000"/>
              </w:rPr>
              <w:tab/>
              <w:t>14</w:t>
            </w:r>
          </w:hyperlink>
        </w:p>
        <w:p w14:paraId="2E6FEAFB"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6ku9r9tf0oeb">
            <w:r>
              <w:rPr>
                <w:rFonts w:ascii="Arial" w:eastAsia="Arial" w:hAnsi="Arial" w:cs="Arial"/>
                <w:color w:val="000000"/>
              </w:rPr>
              <w:t>4.6 Summary</w:t>
            </w:r>
            <w:r>
              <w:rPr>
                <w:rFonts w:ascii="Arial" w:eastAsia="Arial" w:hAnsi="Arial" w:cs="Arial"/>
                <w:color w:val="000000"/>
              </w:rPr>
              <w:tab/>
              <w:t>15</w:t>
            </w:r>
          </w:hyperlink>
        </w:p>
        <w:p w14:paraId="16966B50" w14:textId="77777777" w:rsidR="0035611D" w:rsidRDefault="00A6742D">
          <w:pPr>
            <w:pBdr>
              <w:top w:val="nil"/>
              <w:left w:val="nil"/>
              <w:bottom w:val="nil"/>
              <w:right w:val="nil"/>
              <w:between w:val="nil"/>
            </w:pBdr>
            <w:tabs>
              <w:tab w:val="right" w:leader="dot" w:pos="9019"/>
            </w:tabs>
            <w:spacing w:after="100"/>
            <w:rPr>
              <w:rFonts w:ascii="Arial" w:eastAsia="Arial" w:hAnsi="Arial" w:cs="Arial"/>
              <w:color w:val="000000"/>
            </w:rPr>
          </w:pPr>
          <w:hyperlink w:anchor="_5dcxfptnygdd">
            <w:r>
              <w:rPr>
                <w:rFonts w:ascii="Arial" w:eastAsia="Arial" w:hAnsi="Arial" w:cs="Arial"/>
                <w:color w:val="000000"/>
              </w:rPr>
              <w:t>5. Investment Appraisal &amp; Capital Budgeting</w:t>
            </w:r>
            <w:r>
              <w:rPr>
                <w:rFonts w:ascii="Arial" w:eastAsia="Arial" w:hAnsi="Arial" w:cs="Arial"/>
                <w:color w:val="000000"/>
              </w:rPr>
              <w:tab/>
              <w:t>15</w:t>
            </w:r>
          </w:hyperlink>
        </w:p>
        <w:p w14:paraId="239FA485"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i4zdizfrmsdp">
            <w:r>
              <w:rPr>
                <w:rFonts w:ascii="Arial" w:eastAsia="Arial" w:hAnsi="Arial" w:cs="Arial"/>
                <w:color w:val="000000"/>
              </w:rPr>
              <w:t>5.1 Project Evaluation (A, B, C)</w:t>
            </w:r>
            <w:r>
              <w:rPr>
                <w:rFonts w:ascii="Arial" w:eastAsia="Arial" w:hAnsi="Arial" w:cs="Arial"/>
                <w:color w:val="000000"/>
              </w:rPr>
              <w:tab/>
              <w:t>15</w:t>
            </w:r>
          </w:hyperlink>
        </w:p>
        <w:p w14:paraId="3E774E98"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lnqzm2wgavsz">
            <w:r>
              <w:rPr>
                <w:rFonts w:ascii="Arial" w:eastAsia="Arial" w:hAnsi="Arial" w:cs="Arial"/>
                <w:color w:val="000000"/>
              </w:rPr>
              <w:t>a) Payback Period (PBP)</w:t>
            </w:r>
            <w:r>
              <w:rPr>
                <w:rFonts w:ascii="Arial" w:eastAsia="Arial" w:hAnsi="Arial" w:cs="Arial"/>
                <w:color w:val="000000"/>
              </w:rPr>
              <w:tab/>
              <w:t>15</w:t>
            </w:r>
          </w:hyperlink>
        </w:p>
        <w:p w14:paraId="020EF39D"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9hu3myiigimw">
            <w:r>
              <w:rPr>
                <w:rFonts w:ascii="Arial" w:eastAsia="Arial" w:hAnsi="Arial" w:cs="Arial"/>
                <w:color w:val="000000"/>
              </w:rPr>
              <w:t>b) Accounting Rate of Return (ARR)</w:t>
            </w:r>
            <w:r>
              <w:rPr>
                <w:rFonts w:ascii="Arial" w:eastAsia="Arial" w:hAnsi="Arial" w:cs="Arial"/>
                <w:color w:val="000000"/>
              </w:rPr>
              <w:tab/>
              <w:t>16</w:t>
            </w:r>
          </w:hyperlink>
        </w:p>
        <w:p w14:paraId="12A49213"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47bu4uq722ka">
            <w:r>
              <w:rPr>
                <w:rFonts w:ascii="Arial" w:eastAsia="Arial" w:hAnsi="Arial" w:cs="Arial"/>
                <w:color w:val="000000"/>
              </w:rPr>
              <w:t>c) Net Present Value (NPV)</w:t>
            </w:r>
            <w:r>
              <w:rPr>
                <w:rFonts w:ascii="Arial" w:eastAsia="Arial" w:hAnsi="Arial" w:cs="Arial"/>
                <w:color w:val="000000"/>
              </w:rPr>
              <w:tab/>
              <w:t>16</w:t>
            </w:r>
          </w:hyperlink>
        </w:p>
        <w:p w14:paraId="4E8493AF"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qqpij6riwo2m">
            <w:r>
              <w:rPr>
                <w:rFonts w:ascii="Arial" w:eastAsia="Arial" w:hAnsi="Arial" w:cs="Arial"/>
                <w:color w:val="000000"/>
              </w:rPr>
              <w:t>d) Profitability Index (PI)</w:t>
            </w:r>
            <w:r>
              <w:rPr>
                <w:rFonts w:ascii="Arial" w:eastAsia="Arial" w:hAnsi="Arial" w:cs="Arial"/>
                <w:color w:val="000000"/>
              </w:rPr>
              <w:tab/>
              <w:t>16</w:t>
            </w:r>
          </w:hyperlink>
        </w:p>
        <w:p w14:paraId="4F227491"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oxq6i373t2rb">
            <w:r>
              <w:rPr>
                <w:rFonts w:ascii="Arial" w:eastAsia="Arial" w:hAnsi="Arial" w:cs="Arial"/>
                <w:color w:val="000000"/>
              </w:rPr>
              <w:t>e) Internal Rate of Return (IRR)</w:t>
            </w:r>
            <w:r>
              <w:rPr>
                <w:rFonts w:ascii="Arial" w:eastAsia="Arial" w:hAnsi="Arial" w:cs="Arial"/>
                <w:color w:val="000000"/>
              </w:rPr>
              <w:tab/>
              <w:t>17</w:t>
            </w:r>
          </w:hyperlink>
        </w:p>
        <w:p w14:paraId="77DED044"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9zmowvda2s84">
            <w:r>
              <w:rPr>
                <w:rFonts w:ascii="Arial" w:eastAsia="Arial" w:hAnsi="Arial" w:cs="Arial"/>
                <w:color w:val="000000"/>
              </w:rPr>
              <w:t>5.2 Project Comparison</w:t>
            </w:r>
            <w:r>
              <w:rPr>
                <w:rFonts w:ascii="Arial" w:eastAsia="Arial" w:hAnsi="Arial" w:cs="Arial"/>
                <w:color w:val="000000"/>
              </w:rPr>
              <w:tab/>
              <w:t>17</w:t>
            </w:r>
          </w:hyperlink>
        </w:p>
        <w:p w14:paraId="39E8A8A1"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lidpgvfll37n">
            <w:r>
              <w:rPr>
                <w:rFonts w:ascii="Arial" w:eastAsia="Arial" w:hAnsi="Arial" w:cs="Arial"/>
                <w:color w:val="000000"/>
              </w:rPr>
              <w:t>a) Financial Comparison of Results</w:t>
            </w:r>
            <w:r>
              <w:rPr>
                <w:rFonts w:ascii="Arial" w:eastAsia="Arial" w:hAnsi="Arial" w:cs="Arial"/>
                <w:color w:val="000000"/>
              </w:rPr>
              <w:tab/>
              <w:t>17</w:t>
            </w:r>
          </w:hyperlink>
        </w:p>
        <w:p w14:paraId="2D99FFEE" w14:textId="77777777" w:rsidR="0035611D" w:rsidRDefault="00A6742D">
          <w:pPr>
            <w:pBdr>
              <w:top w:val="nil"/>
              <w:left w:val="nil"/>
              <w:bottom w:val="nil"/>
              <w:right w:val="nil"/>
              <w:between w:val="nil"/>
            </w:pBdr>
            <w:tabs>
              <w:tab w:val="right" w:leader="dot" w:pos="9019"/>
            </w:tabs>
            <w:spacing w:after="100"/>
            <w:ind w:left="480"/>
            <w:rPr>
              <w:rFonts w:ascii="Arial" w:eastAsia="Arial" w:hAnsi="Arial" w:cs="Arial"/>
              <w:color w:val="000000"/>
            </w:rPr>
          </w:pPr>
          <w:hyperlink w:anchor="_w2u3okbd2da">
            <w:r>
              <w:rPr>
                <w:rFonts w:ascii="Arial" w:eastAsia="Arial" w:hAnsi="Arial" w:cs="Arial"/>
                <w:color w:val="000000"/>
              </w:rPr>
              <w:t>b) Risk Analysis</w:t>
            </w:r>
            <w:r>
              <w:rPr>
                <w:rFonts w:ascii="Arial" w:eastAsia="Arial" w:hAnsi="Arial" w:cs="Arial"/>
                <w:color w:val="000000"/>
              </w:rPr>
              <w:tab/>
              <w:t>17</w:t>
            </w:r>
          </w:hyperlink>
        </w:p>
        <w:p w14:paraId="07FC2654"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bvqm8hxmi2zu">
            <w:r>
              <w:rPr>
                <w:rFonts w:ascii="Arial" w:eastAsia="Arial" w:hAnsi="Arial" w:cs="Arial"/>
                <w:color w:val="000000"/>
              </w:rPr>
              <w:t>5.3 Recommendation of Best Project</w:t>
            </w:r>
            <w:r>
              <w:rPr>
                <w:rFonts w:ascii="Arial" w:eastAsia="Arial" w:hAnsi="Arial" w:cs="Arial"/>
                <w:color w:val="000000"/>
              </w:rPr>
              <w:tab/>
              <w:t>18</w:t>
            </w:r>
          </w:hyperlink>
        </w:p>
        <w:p w14:paraId="6F572853"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gmqjcj31wtuc">
            <w:r>
              <w:rPr>
                <w:rFonts w:ascii="Arial" w:eastAsia="Arial" w:hAnsi="Arial" w:cs="Arial"/>
                <w:color w:val="000000"/>
              </w:rPr>
              <w:t>5.4 Capital Rationing Decision</w:t>
            </w:r>
            <w:r>
              <w:rPr>
                <w:rFonts w:ascii="Arial" w:eastAsia="Arial" w:hAnsi="Arial" w:cs="Arial"/>
                <w:color w:val="000000"/>
              </w:rPr>
              <w:tab/>
              <w:t>18</w:t>
            </w:r>
          </w:hyperlink>
        </w:p>
        <w:p w14:paraId="7DB2E0C0"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sjm6yxyql72h">
            <w:r>
              <w:rPr>
                <w:rFonts w:ascii="Arial" w:eastAsia="Arial" w:hAnsi="Arial" w:cs="Arial"/>
                <w:color w:val="000000"/>
              </w:rPr>
              <w:t>5.6 Summary</w:t>
            </w:r>
            <w:r>
              <w:rPr>
                <w:rFonts w:ascii="Arial" w:eastAsia="Arial" w:hAnsi="Arial" w:cs="Arial"/>
                <w:color w:val="000000"/>
              </w:rPr>
              <w:tab/>
              <w:t>19</w:t>
            </w:r>
          </w:hyperlink>
        </w:p>
        <w:p w14:paraId="52651578" w14:textId="77777777" w:rsidR="0035611D" w:rsidRDefault="00A6742D">
          <w:pPr>
            <w:pBdr>
              <w:top w:val="nil"/>
              <w:left w:val="nil"/>
              <w:bottom w:val="nil"/>
              <w:right w:val="nil"/>
              <w:between w:val="nil"/>
            </w:pBdr>
            <w:tabs>
              <w:tab w:val="right" w:leader="dot" w:pos="9019"/>
            </w:tabs>
            <w:spacing w:after="100"/>
            <w:rPr>
              <w:rFonts w:ascii="Arial" w:eastAsia="Arial" w:hAnsi="Arial" w:cs="Arial"/>
              <w:color w:val="000000"/>
            </w:rPr>
          </w:pPr>
          <w:hyperlink w:anchor="_j0pkrqbfper6">
            <w:r>
              <w:rPr>
                <w:rFonts w:ascii="Arial" w:eastAsia="Arial" w:hAnsi="Arial" w:cs="Arial"/>
                <w:color w:val="000000"/>
              </w:rPr>
              <w:t>6. Conclusion</w:t>
            </w:r>
            <w:r>
              <w:rPr>
                <w:rFonts w:ascii="Arial" w:eastAsia="Arial" w:hAnsi="Arial" w:cs="Arial"/>
                <w:color w:val="000000"/>
              </w:rPr>
              <w:tab/>
              <w:t>19</w:t>
            </w:r>
          </w:hyperlink>
        </w:p>
        <w:p w14:paraId="0AF56FD8"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xbjqi98xv1ph">
            <w:r>
              <w:rPr>
                <w:rFonts w:ascii="Arial" w:eastAsia="Arial" w:hAnsi="Arial" w:cs="Arial"/>
                <w:color w:val="000000"/>
              </w:rPr>
              <w:t>6.1 Summary of Key Findings</w:t>
            </w:r>
            <w:r>
              <w:rPr>
                <w:rFonts w:ascii="Arial" w:eastAsia="Arial" w:hAnsi="Arial" w:cs="Arial"/>
                <w:color w:val="000000"/>
              </w:rPr>
              <w:tab/>
              <w:t>19</w:t>
            </w:r>
          </w:hyperlink>
        </w:p>
        <w:p w14:paraId="04D05D61"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c7xuvnrjgw0u">
            <w:r>
              <w:rPr>
                <w:rFonts w:ascii="Arial" w:eastAsia="Arial" w:hAnsi="Arial" w:cs="Arial"/>
                <w:color w:val="000000"/>
              </w:rPr>
              <w:t>6.2 Final Strategic Recommendations</w:t>
            </w:r>
            <w:r>
              <w:rPr>
                <w:rFonts w:ascii="Arial" w:eastAsia="Arial" w:hAnsi="Arial" w:cs="Arial"/>
                <w:color w:val="000000"/>
              </w:rPr>
              <w:tab/>
              <w:t>19</w:t>
            </w:r>
          </w:hyperlink>
        </w:p>
        <w:p w14:paraId="489B16A6"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pd8tjpn79uz7">
            <w:r>
              <w:rPr>
                <w:rFonts w:ascii="Arial" w:eastAsia="Arial" w:hAnsi="Arial" w:cs="Arial"/>
                <w:color w:val="000000"/>
              </w:rPr>
              <w:t>6.3 CFO Perspective</w:t>
            </w:r>
            <w:r>
              <w:rPr>
                <w:rFonts w:ascii="Arial" w:eastAsia="Arial" w:hAnsi="Arial" w:cs="Arial"/>
                <w:color w:val="000000"/>
              </w:rPr>
              <w:tab/>
              <w:t>20</w:t>
            </w:r>
          </w:hyperlink>
        </w:p>
        <w:p w14:paraId="00C0B1EE" w14:textId="77777777" w:rsidR="0035611D" w:rsidRDefault="00A6742D">
          <w:pPr>
            <w:pBdr>
              <w:top w:val="nil"/>
              <w:left w:val="nil"/>
              <w:bottom w:val="nil"/>
              <w:right w:val="nil"/>
              <w:between w:val="nil"/>
            </w:pBdr>
            <w:tabs>
              <w:tab w:val="right" w:leader="dot" w:pos="9019"/>
            </w:tabs>
            <w:spacing w:after="100"/>
            <w:rPr>
              <w:rFonts w:ascii="Arial" w:eastAsia="Arial" w:hAnsi="Arial" w:cs="Arial"/>
              <w:color w:val="000000"/>
            </w:rPr>
          </w:pPr>
          <w:hyperlink w:anchor="_jm8ehbjgibzy">
            <w:r>
              <w:rPr>
                <w:rFonts w:ascii="Arial" w:eastAsia="Arial" w:hAnsi="Arial" w:cs="Arial"/>
                <w:color w:val="000000"/>
              </w:rPr>
              <w:t>7. References</w:t>
            </w:r>
            <w:r>
              <w:rPr>
                <w:rFonts w:ascii="Arial" w:eastAsia="Arial" w:hAnsi="Arial" w:cs="Arial"/>
                <w:color w:val="000000"/>
              </w:rPr>
              <w:tab/>
              <w:t>21</w:t>
            </w:r>
          </w:hyperlink>
        </w:p>
        <w:p w14:paraId="7B769FD8" w14:textId="77777777" w:rsidR="0035611D" w:rsidRDefault="00A6742D">
          <w:pPr>
            <w:pBdr>
              <w:top w:val="nil"/>
              <w:left w:val="nil"/>
              <w:bottom w:val="nil"/>
              <w:right w:val="nil"/>
              <w:between w:val="nil"/>
            </w:pBdr>
            <w:tabs>
              <w:tab w:val="right" w:leader="dot" w:pos="9019"/>
            </w:tabs>
            <w:spacing w:after="100"/>
            <w:rPr>
              <w:rFonts w:ascii="Arial" w:eastAsia="Arial" w:hAnsi="Arial" w:cs="Arial"/>
              <w:color w:val="000000"/>
            </w:rPr>
          </w:pPr>
          <w:hyperlink w:anchor="_q6jimb9hmqni">
            <w:r>
              <w:rPr>
                <w:rFonts w:ascii="Arial" w:eastAsia="Arial" w:hAnsi="Arial" w:cs="Arial"/>
                <w:color w:val="000000"/>
              </w:rPr>
              <w:t>8. Appendices</w:t>
            </w:r>
            <w:r>
              <w:rPr>
                <w:rFonts w:ascii="Arial" w:eastAsia="Arial" w:hAnsi="Arial" w:cs="Arial"/>
                <w:color w:val="000000"/>
              </w:rPr>
              <w:tab/>
              <w:t>26</w:t>
            </w:r>
          </w:hyperlink>
        </w:p>
        <w:p w14:paraId="10DF1E01"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69f1eaqd35f1">
            <w:r>
              <w:rPr>
                <w:rFonts w:ascii="Arial" w:eastAsia="Arial" w:hAnsi="Arial" w:cs="Arial"/>
                <w:color w:val="000000"/>
              </w:rPr>
              <w:t>Appendix 1: "Profitability Ratio"</w:t>
            </w:r>
            <w:r>
              <w:rPr>
                <w:rFonts w:ascii="Arial" w:eastAsia="Arial" w:hAnsi="Arial" w:cs="Arial"/>
                <w:color w:val="000000"/>
              </w:rPr>
              <w:tab/>
              <w:t>26</w:t>
            </w:r>
          </w:hyperlink>
        </w:p>
        <w:p w14:paraId="5A8EC708"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veszrgtwxorm">
            <w:r>
              <w:rPr>
                <w:rFonts w:ascii="Arial" w:eastAsia="Arial" w:hAnsi="Arial" w:cs="Arial"/>
                <w:color w:val="000000"/>
              </w:rPr>
              <w:t>Appendix 2: "Liquidity ratio"</w:t>
            </w:r>
            <w:r>
              <w:rPr>
                <w:rFonts w:ascii="Arial" w:eastAsia="Arial" w:hAnsi="Arial" w:cs="Arial"/>
                <w:color w:val="000000"/>
              </w:rPr>
              <w:tab/>
              <w:t>26</w:t>
            </w:r>
          </w:hyperlink>
        </w:p>
        <w:p w14:paraId="3276605D"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j5u9asa3u466">
            <w:r>
              <w:rPr>
                <w:rFonts w:ascii="Arial" w:eastAsia="Arial" w:hAnsi="Arial" w:cs="Arial"/>
                <w:color w:val="000000"/>
              </w:rPr>
              <w:t>Appendix 3: "Efficiency ratio"</w:t>
            </w:r>
            <w:r>
              <w:rPr>
                <w:rFonts w:ascii="Arial" w:eastAsia="Arial" w:hAnsi="Arial" w:cs="Arial"/>
                <w:color w:val="000000"/>
              </w:rPr>
              <w:tab/>
              <w:t>27</w:t>
            </w:r>
          </w:hyperlink>
        </w:p>
        <w:p w14:paraId="025B9D31"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7kjjmjsh14iz">
            <w:r>
              <w:rPr>
                <w:rFonts w:ascii="Arial" w:eastAsia="Arial" w:hAnsi="Arial" w:cs="Arial"/>
                <w:color w:val="000000"/>
              </w:rPr>
              <w:t>Appendix 4: "Gearing Ratio"</w:t>
            </w:r>
            <w:r>
              <w:rPr>
                <w:rFonts w:ascii="Arial" w:eastAsia="Arial" w:hAnsi="Arial" w:cs="Arial"/>
                <w:color w:val="000000"/>
              </w:rPr>
              <w:tab/>
              <w:t>28</w:t>
            </w:r>
          </w:hyperlink>
        </w:p>
        <w:p w14:paraId="0FAA0645"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6ktx3wxs154v">
            <w:r>
              <w:rPr>
                <w:rFonts w:ascii="Arial" w:eastAsia="Arial" w:hAnsi="Arial" w:cs="Arial"/>
                <w:color w:val="000000"/>
              </w:rPr>
              <w:t>Appendix 5: "Investment ratio"</w:t>
            </w:r>
            <w:r>
              <w:rPr>
                <w:rFonts w:ascii="Arial" w:eastAsia="Arial" w:hAnsi="Arial" w:cs="Arial"/>
                <w:color w:val="000000"/>
              </w:rPr>
              <w:tab/>
              <w:t>29</w:t>
            </w:r>
          </w:hyperlink>
        </w:p>
        <w:p w14:paraId="08BF31A8"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etktbynh25fe">
            <w:r>
              <w:rPr>
                <w:rFonts w:ascii="Arial" w:eastAsia="Arial" w:hAnsi="Arial" w:cs="Arial"/>
                <w:color w:val="000000"/>
              </w:rPr>
              <w:t>Appendix 6: "Cash Flow Ratios"</w:t>
            </w:r>
            <w:r>
              <w:rPr>
                <w:rFonts w:ascii="Arial" w:eastAsia="Arial" w:hAnsi="Arial" w:cs="Arial"/>
                <w:color w:val="000000"/>
              </w:rPr>
              <w:tab/>
              <w:t>29</w:t>
            </w:r>
          </w:hyperlink>
        </w:p>
        <w:p w14:paraId="29E0A112"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g5pj4z3x5gbl">
            <w:r>
              <w:rPr>
                <w:rFonts w:ascii="Arial" w:eastAsia="Arial" w:hAnsi="Arial" w:cs="Arial"/>
                <w:color w:val="000000"/>
              </w:rPr>
              <w:t>Appendix 7: "Cash Operating Cycle"</w:t>
            </w:r>
            <w:r>
              <w:rPr>
                <w:rFonts w:ascii="Arial" w:eastAsia="Arial" w:hAnsi="Arial" w:cs="Arial"/>
                <w:color w:val="000000"/>
              </w:rPr>
              <w:tab/>
              <w:t>30</w:t>
            </w:r>
          </w:hyperlink>
        </w:p>
        <w:p w14:paraId="298FFB5E"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3t823v23c96b">
            <w:r>
              <w:rPr>
                <w:rFonts w:ascii="Arial" w:eastAsia="Arial" w:hAnsi="Arial" w:cs="Arial"/>
                <w:color w:val="000000"/>
              </w:rPr>
              <w:t>Appendix 8: Project A</w:t>
            </w:r>
            <w:r>
              <w:rPr>
                <w:rFonts w:ascii="Arial" w:eastAsia="Arial" w:hAnsi="Arial" w:cs="Arial"/>
                <w:color w:val="000000"/>
              </w:rPr>
              <w:tab/>
              <w:t>31</w:t>
            </w:r>
          </w:hyperlink>
        </w:p>
        <w:p w14:paraId="13AB1819"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ab2hqkaptg7c">
            <w:r>
              <w:rPr>
                <w:rFonts w:ascii="Arial" w:eastAsia="Arial" w:hAnsi="Arial" w:cs="Arial"/>
                <w:color w:val="000000"/>
              </w:rPr>
              <w:t>Appendix 9: Project B</w:t>
            </w:r>
            <w:r>
              <w:rPr>
                <w:rFonts w:ascii="Arial" w:eastAsia="Arial" w:hAnsi="Arial" w:cs="Arial"/>
                <w:color w:val="000000"/>
              </w:rPr>
              <w:tab/>
              <w:t>32</w:t>
            </w:r>
          </w:hyperlink>
        </w:p>
        <w:p w14:paraId="25C82D7B" w14:textId="77777777" w:rsidR="0035611D" w:rsidRDefault="00A6742D">
          <w:pPr>
            <w:pBdr>
              <w:top w:val="nil"/>
              <w:left w:val="nil"/>
              <w:bottom w:val="nil"/>
              <w:right w:val="nil"/>
              <w:between w:val="nil"/>
            </w:pBdr>
            <w:tabs>
              <w:tab w:val="right" w:leader="dot" w:pos="9019"/>
            </w:tabs>
            <w:spacing w:after="100"/>
            <w:ind w:left="240"/>
            <w:rPr>
              <w:rFonts w:ascii="Arial" w:eastAsia="Arial" w:hAnsi="Arial" w:cs="Arial"/>
              <w:color w:val="000000"/>
            </w:rPr>
          </w:pPr>
          <w:hyperlink w:anchor="_dzrkt2ejll">
            <w:r>
              <w:rPr>
                <w:rFonts w:ascii="Arial" w:eastAsia="Arial" w:hAnsi="Arial" w:cs="Arial"/>
                <w:color w:val="000000"/>
              </w:rPr>
              <w:t>Appendix 10: Project C</w:t>
            </w:r>
            <w:r>
              <w:rPr>
                <w:rFonts w:ascii="Arial" w:eastAsia="Arial" w:hAnsi="Arial" w:cs="Arial"/>
                <w:color w:val="000000"/>
              </w:rPr>
              <w:tab/>
              <w:t>33</w:t>
            </w:r>
          </w:hyperlink>
        </w:p>
        <w:p w14:paraId="0B859C95" w14:textId="77777777" w:rsidR="0035611D" w:rsidRDefault="00A6742D">
          <w:pPr>
            <w:pBdr>
              <w:top w:val="nil"/>
              <w:left w:val="nil"/>
              <w:bottom w:val="nil"/>
              <w:right w:val="nil"/>
              <w:between w:val="nil"/>
            </w:pBdr>
            <w:tabs>
              <w:tab w:val="right" w:leader="dot" w:pos="9019"/>
            </w:tabs>
            <w:spacing w:after="100"/>
            <w:rPr>
              <w:rFonts w:ascii="Arial" w:eastAsia="Arial" w:hAnsi="Arial" w:cs="Arial"/>
              <w:color w:val="000000"/>
            </w:rPr>
          </w:pPr>
          <w:hyperlink w:anchor="_ytqitsywbmnz">
            <w:r>
              <w:rPr>
                <w:rFonts w:ascii="Arial" w:eastAsia="Arial" w:hAnsi="Arial" w:cs="Arial"/>
                <w:color w:val="000000"/>
              </w:rPr>
              <w:t>9. AI Acknowledgement</w:t>
            </w:r>
            <w:r>
              <w:rPr>
                <w:rFonts w:ascii="Arial" w:eastAsia="Arial" w:hAnsi="Arial" w:cs="Arial"/>
                <w:color w:val="000000"/>
              </w:rPr>
              <w:tab/>
              <w:t>36</w:t>
            </w:r>
          </w:hyperlink>
        </w:p>
        <w:p w14:paraId="1FD4ABE4" w14:textId="77777777" w:rsidR="0035611D" w:rsidRDefault="00A6742D">
          <w:pPr>
            <w:widowControl w:val="0"/>
            <w:tabs>
              <w:tab w:val="right" w:pos="12000"/>
            </w:tabs>
            <w:spacing w:before="0" w:after="0"/>
            <w:ind w:left="360"/>
            <w:rPr>
              <w:color w:val="000000"/>
            </w:rPr>
          </w:pPr>
          <w:r>
            <w:fldChar w:fldCharType="end"/>
          </w:r>
        </w:p>
      </w:sdtContent>
    </w:sdt>
    <w:p w14:paraId="3CD3004D" w14:textId="77777777" w:rsidR="0035611D" w:rsidRDefault="00A6742D">
      <w:pPr>
        <w:rPr>
          <w:rFonts w:ascii="Arial" w:eastAsia="Arial" w:hAnsi="Arial" w:cs="Arial"/>
          <w:b/>
          <w:bCs/>
          <w:sz w:val="28"/>
          <w:szCs w:val="28"/>
        </w:rPr>
      </w:pPr>
      <w:r>
        <w:br w:type="page"/>
      </w:r>
    </w:p>
    <w:p w14:paraId="05BF65D7" w14:textId="77777777" w:rsidR="0035611D" w:rsidRDefault="00A6742D">
      <w:pPr>
        <w:pStyle w:val="Heading1"/>
      </w:pPr>
      <w:bookmarkStart w:id="0" w:name="_75orvq1taipx" w:colFirst="0" w:colLast="0"/>
      <w:bookmarkEnd w:id="0"/>
      <w:r>
        <w:t>1. Introduction</w:t>
      </w:r>
    </w:p>
    <w:p w14:paraId="1AB290BF" w14:textId="77777777" w:rsidR="0035611D" w:rsidRDefault="00A6742D">
      <w:pPr>
        <w:pStyle w:val="Heading2"/>
      </w:pPr>
      <w:bookmarkStart w:id="1" w:name="_aysuu8j5l72y" w:colFirst="0" w:colLast="0"/>
      <w:bookmarkEnd w:id="1"/>
      <w:r>
        <w:t xml:space="preserve">1.1 Overview of Tesla Inc. </w:t>
      </w:r>
    </w:p>
    <w:p w14:paraId="4F67A63C" w14:textId="77777777" w:rsidR="0035611D" w:rsidRDefault="00A6742D">
      <w:pPr>
        <w:spacing w:before="200" w:after="200"/>
        <w:rPr>
          <w:rFonts w:ascii="Arial" w:eastAsia="Arial" w:hAnsi="Arial" w:cs="Arial"/>
        </w:rPr>
      </w:pPr>
      <w:r>
        <w:rPr>
          <w:rFonts w:ascii="Arial" w:eastAsia="Arial" w:hAnsi="Arial" w:cs="Arial"/>
        </w:rPr>
        <w:t>Tesla Inc. is a dominant American electric vehicle and clean energy firm established in 2003 and located in Austin, Texas. In 2024, Tesla recorded its highest revenues of more than $97,690 million and had sold more than 1.8 million vehicles all over the world (Tesla, 2024). The company is dedicated to innovation, sustainability and technological development, creating electric vehicles, battery storage, and solar products, yet still emphasizes creating fewer carbon emissions in the world and saving more ener</w:t>
      </w:r>
      <w:r>
        <w:rPr>
          <w:rFonts w:ascii="Arial" w:eastAsia="Arial" w:hAnsi="Arial" w:cs="Arial"/>
        </w:rPr>
        <w:t>gy.</w:t>
      </w:r>
    </w:p>
    <w:p w14:paraId="56612423" w14:textId="77777777" w:rsidR="0035611D" w:rsidRDefault="00A6742D">
      <w:pPr>
        <w:pStyle w:val="Heading2"/>
      </w:pPr>
      <w:bookmarkStart w:id="2" w:name="_u4n2j4t94q6b" w:colFirst="0" w:colLast="0"/>
      <w:bookmarkEnd w:id="2"/>
      <w:r>
        <w:t>1.2 Industry Context (EV Market)</w:t>
      </w:r>
    </w:p>
    <w:p w14:paraId="67B43279" w14:textId="77777777" w:rsidR="0035611D" w:rsidRDefault="00A6742D">
      <w:pPr>
        <w:spacing w:before="200" w:after="200"/>
        <w:rPr>
          <w:rFonts w:ascii="Arial" w:eastAsia="Arial" w:hAnsi="Arial" w:cs="Arial"/>
        </w:rPr>
      </w:pPr>
      <w:r>
        <w:rPr>
          <w:rFonts w:ascii="Arial" w:eastAsia="Arial" w:hAnsi="Arial" w:cs="Arial"/>
        </w:rPr>
        <w:t>The electric vehicle (EV) market has been growing at a very fast pace, with sales reaching over 14 million vehicles in 2023, making up almost 18% of the overall automobile sales on the international market. Governments are supporting the adoption of EVs by providing subsidies and emission rules, increasing the competition between manufacturers (Quinton, 2024). Technological innovation and improvements in battery efficiency, with rising consumer demand in sustainable transportation solutions in developed and</w:t>
      </w:r>
      <w:r>
        <w:rPr>
          <w:rFonts w:ascii="Arial" w:eastAsia="Arial" w:hAnsi="Arial" w:cs="Arial"/>
        </w:rPr>
        <w:t xml:space="preserve"> emerging markets drives the industry.</w:t>
      </w:r>
    </w:p>
    <w:p w14:paraId="07012B0B" w14:textId="77777777" w:rsidR="0035611D" w:rsidRDefault="00A6742D">
      <w:pPr>
        <w:spacing w:before="200" w:after="200"/>
        <w:jc w:val="center"/>
        <w:rPr>
          <w:rFonts w:ascii="Arial" w:eastAsia="Arial" w:hAnsi="Arial" w:cs="Arial"/>
        </w:rPr>
      </w:pPr>
      <w:r>
        <w:rPr>
          <w:rFonts w:ascii="Arial" w:eastAsia="Arial" w:hAnsi="Arial" w:cs="Arial"/>
          <w:noProof/>
        </w:rPr>
        <w:drawing>
          <wp:inline distT="114300" distB="114300" distL="114300" distR="114300" wp14:anchorId="59D7A341" wp14:editId="409EEC46">
            <wp:extent cx="5731200" cy="3009900"/>
            <wp:effectExtent l="0" t="0" r="0" b="0"/>
            <wp:docPr id="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6"/>
                    <a:srcRect/>
                    <a:stretch>
                      <a:fillRect/>
                    </a:stretch>
                  </pic:blipFill>
                  <pic:spPr>
                    <a:xfrm>
                      <a:off x="0" y="0"/>
                      <a:ext cx="5731200" cy="3009900"/>
                    </a:xfrm>
                    <a:prstGeom prst="rect">
                      <a:avLst/>
                    </a:prstGeom>
                    <a:ln/>
                  </pic:spPr>
                </pic:pic>
              </a:graphicData>
            </a:graphic>
          </wp:inline>
        </w:drawing>
      </w:r>
    </w:p>
    <w:p w14:paraId="52DD0BBA" w14:textId="77777777" w:rsidR="0035611D" w:rsidRDefault="00A6742D">
      <w:pPr>
        <w:spacing w:before="200" w:after="200"/>
        <w:jc w:val="center"/>
        <w:rPr>
          <w:rFonts w:ascii="Arial" w:eastAsia="Arial" w:hAnsi="Arial" w:cs="Arial"/>
          <w:b/>
          <w:bCs/>
        </w:rPr>
      </w:pPr>
      <w:r>
        <w:rPr>
          <w:rFonts w:ascii="Arial" w:eastAsia="Arial" w:hAnsi="Arial" w:cs="Arial"/>
          <w:b/>
          <w:bCs/>
        </w:rPr>
        <w:t>Figure 1: Tesla’s Market Share in 2021 By Region</w:t>
      </w:r>
    </w:p>
    <w:p w14:paraId="0517CA65" w14:textId="77777777" w:rsidR="0035611D" w:rsidRDefault="00A6742D">
      <w:pPr>
        <w:spacing w:before="200" w:after="200"/>
        <w:jc w:val="center"/>
        <w:rPr>
          <w:rFonts w:ascii="Arial" w:eastAsia="Arial" w:hAnsi="Arial" w:cs="Arial"/>
        </w:rPr>
      </w:pPr>
      <w:r>
        <w:rPr>
          <w:rFonts w:ascii="Arial" w:eastAsia="Arial" w:hAnsi="Arial" w:cs="Arial"/>
        </w:rPr>
        <w:t>(Source: Statista, 2026)</w:t>
      </w:r>
    </w:p>
    <w:p w14:paraId="7CBC46C6" w14:textId="77777777" w:rsidR="0035611D" w:rsidRDefault="00A6742D">
      <w:pPr>
        <w:pStyle w:val="Heading1"/>
      </w:pPr>
      <w:bookmarkStart w:id="3" w:name="_swef0nuf85nt" w:colFirst="0" w:colLast="0"/>
      <w:bookmarkEnd w:id="3"/>
      <w:r>
        <w:t>2. Financial Health Check</w:t>
      </w:r>
    </w:p>
    <w:p w14:paraId="5DF42213" w14:textId="77777777" w:rsidR="0035611D" w:rsidRDefault="00A6742D">
      <w:pPr>
        <w:pStyle w:val="Heading2"/>
      </w:pPr>
      <w:bookmarkStart w:id="4" w:name="_um7e792amya2" w:colFirst="0" w:colLast="0"/>
      <w:bookmarkEnd w:id="4"/>
      <w:r>
        <w:t>2.1 Overview of Tesla’s Financial Performance (Last 5 Years)</w:t>
      </w:r>
    </w:p>
    <w:p w14:paraId="79CC0E63" w14:textId="77777777" w:rsidR="0035611D" w:rsidRDefault="00A6742D">
      <w:pPr>
        <w:spacing w:before="200" w:after="200"/>
        <w:rPr>
          <w:rFonts w:ascii="Arial" w:eastAsia="Arial" w:hAnsi="Arial" w:cs="Arial"/>
        </w:rPr>
      </w:pPr>
      <w:r>
        <w:rPr>
          <w:rFonts w:ascii="Arial" w:eastAsia="Arial" w:hAnsi="Arial" w:cs="Arial"/>
        </w:rPr>
        <w:t>Tesla Inc. demonstrated significant financial growth between 2020 and 2024, supported by expansion in production and global demand. Total assets increased from $52,148m in 2020 to $122,070m in 2024, reflecting strong investment in infrastructure and operations. Revenue grew from $31,536m in 2020 to $97,690m in 2024, while net income rose from $862m to $7,153m, indicating improved profitability despite fluctuations (Tesla, 2020; Tesla, 2024). Shareholders’ equity also strengthened from $22,225m in 2020 to $7</w:t>
      </w:r>
      <w:r>
        <w:rPr>
          <w:rFonts w:ascii="Arial" w:eastAsia="Arial" w:hAnsi="Arial" w:cs="Arial"/>
        </w:rPr>
        <w:t>2,913m in 2024, showing enhanced financial stability. But in 2022-2023, it turns out to be the most profitable, after which it will decrease in 2024, indicating the pressure on the margin. The total liabilities also rose to $48,390m as compared to $28,418m, but at a slower ratio compared to equity-enhancing leverage (Tesla, 2024). Tesla retained a high growth pace, recent drops in profit margins and cash flow productivity reflect some emerging problems in operations and competitiveness in the dynamic electr</w:t>
      </w:r>
      <w:r>
        <w:rPr>
          <w:rFonts w:ascii="Arial" w:eastAsia="Arial" w:hAnsi="Arial" w:cs="Arial"/>
        </w:rPr>
        <w:t>ic vehicle market.</w:t>
      </w:r>
    </w:p>
    <w:p w14:paraId="2450E3DA" w14:textId="77777777" w:rsidR="0035611D" w:rsidRDefault="00A6742D">
      <w:pPr>
        <w:pStyle w:val="Heading2"/>
      </w:pPr>
      <w:bookmarkStart w:id="5" w:name="_766wp0vbbbpq" w:colFirst="0" w:colLast="0"/>
      <w:bookmarkEnd w:id="5"/>
      <w:r>
        <w:t>2.2 Ratio Analysis</w:t>
      </w:r>
    </w:p>
    <w:p w14:paraId="4E41EDA6" w14:textId="77777777" w:rsidR="0035611D" w:rsidRDefault="00A6742D">
      <w:pPr>
        <w:pStyle w:val="Heading3"/>
      </w:pPr>
      <w:bookmarkStart w:id="6" w:name="_udndxpzcleu3" w:colFirst="0" w:colLast="0"/>
      <w:bookmarkEnd w:id="6"/>
      <w:r>
        <w:t>a) Profitability Ratios</w:t>
      </w:r>
    </w:p>
    <w:p w14:paraId="5246CFC5" w14:textId="77777777" w:rsidR="0035611D" w:rsidRDefault="00A6742D">
      <w:pPr>
        <w:spacing w:before="200" w:after="200"/>
        <w:rPr>
          <w:rFonts w:ascii="Arial" w:eastAsia="Arial" w:hAnsi="Arial" w:cs="Arial"/>
        </w:rPr>
      </w:pPr>
      <w:r>
        <w:rPr>
          <w:rFonts w:ascii="Arial" w:eastAsia="Arial" w:hAnsi="Arial" w:cs="Arial"/>
        </w:rPr>
        <w:t>The profitability ratios are used to measure how a firm can produce earnings in comparison to the revenue, assets, or equity as a measure of both efficiency in operations and financial performance. These ratios help stakeholders to analyze the effectiveness of the management and the long-term sustainability (Nasution and Yusleny, 2023). Increased profitability implies increased control of costs and value generation. Tesla’s profitability improved significantly from 2020 to 2022, with ROE rising from 3.88% t</w:t>
      </w:r>
      <w:r>
        <w:rPr>
          <w:rFonts w:ascii="Arial" w:eastAsia="Arial" w:hAnsi="Arial" w:cs="Arial"/>
        </w:rPr>
        <w:t xml:space="preserve">o 28.16% and net profit margin from 2.73% to 15.45%. Nevertheless, the 2024 performance was lower ROE at 9.81% and margin at 7.32% and it signifies inefficiency and high cost or competitive pressure. </w:t>
      </w:r>
      <w:r>
        <w:rPr>
          <w:rFonts w:ascii="Arial" w:eastAsia="Arial" w:hAnsi="Arial" w:cs="Arial"/>
          <w:b/>
          <w:bCs/>
          <w:i/>
          <w:iCs/>
        </w:rPr>
        <w:t>[See Appendix 1]</w:t>
      </w:r>
    </w:p>
    <w:p w14:paraId="019DA9F0" w14:textId="77777777" w:rsidR="0035611D" w:rsidRDefault="00A6742D">
      <w:pPr>
        <w:pStyle w:val="Heading3"/>
      </w:pPr>
      <w:bookmarkStart w:id="7" w:name="_uzols8ds382v" w:colFirst="0" w:colLast="0"/>
      <w:bookmarkEnd w:id="7"/>
      <w:r>
        <w:t>b) Liquidity Ratios</w:t>
      </w:r>
    </w:p>
    <w:p w14:paraId="188D08D9" w14:textId="77777777" w:rsidR="0035611D" w:rsidRDefault="00A6742D">
      <w:pPr>
        <w:spacing w:before="200" w:after="200"/>
        <w:rPr>
          <w:rFonts w:ascii="Arial" w:eastAsia="Arial" w:hAnsi="Arial" w:cs="Arial"/>
        </w:rPr>
      </w:pPr>
      <w:r>
        <w:rPr>
          <w:rFonts w:ascii="Arial" w:eastAsia="Arial" w:hAnsi="Arial" w:cs="Arial"/>
        </w:rPr>
        <w:t>Liquidity ratios identify the financial stability of a given company or its level of exposure to risks, by identifying its ability to meet its short-term liabilities by utilizing its current assets. The ratios help the stakeholders to consider the efficiency and solvency of the working capital (Blessing and Sakouvogui, 2023). There is a high rate of liquidity which increases the confidence of the creditors and offers continuity of operation. There are mixed 5-year liquidity position trends. The current rati</w:t>
      </w:r>
      <w:r>
        <w:rPr>
          <w:rFonts w:ascii="Arial" w:eastAsia="Arial" w:hAnsi="Arial" w:cs="Arial"/>
        </w:rPr>
        <w:t xml:space="preserve">o has increased to 2.02 (2024) as compared to 1.38 (2021), which shows better short-term solvency. The acid test ratio increased to 1.61 (2024) compared to 1.05 (2022), indicating an improved quick asset coverage. But the cash ratio decreased 1.36 (2020) to 0.56 (2024) indicating that there is less cash available immediately, although the overall liquidity has improved. </w:t>
      </w:r>
      <w:r>
        <w:rPr>
          <w:rFonts w:ascii="Arial" w:eastAsia="Arial" w:hAnsi="Arial" w:cs="Arial"/>
          <w:b/>
          <w:bCs/>
          <w:i/>
          <w:iCs/>
        </w:rPr>
        <w:t>[See Appendix 2]</w:t>
      </w:r>
    </w:p>
    <w:p w14:paraId="75992A32" w14:textId="77777777" w:rsidR="0035611D" w:rsidRDefault="00A6742D">
      <w:pPr>
        <w:pStyle w:val="Heading3"/>
      </w:pPr>
      <w:bookmarkStart w:id="8" w:name="_g3olc2o693l7" w:colFirst="0" w:colLast="0"/>
      <w:bookmarkEnd w:id="8"/>
      <w:r>
        <w:t>c) Efficiency Ratios</w:t>
      </w:r>
    </w:p>
    <w:p w14:paraId="0FF4C2CE" w14:textId="77777777" w:rsidR="0035611D" w:rsidRDefault="00A6742D">
      <w:pPr>
        <w:spacing w:before="200" w:after="200"/>
        <w:rPr>
          <w:rFonts w:ascii="Arial" w:eastAsia="Arial" w:hAnsi="Arial" w:cs="Arial"/>
        </w:rPr>
      </w:pPr>
      <w:r>
        <w:rPr>
          <w:rFonts w:ascii="Arial" w:eastAsia="Arial" w:hAnsi="Arial" w:cs="Arial"/>
        </w:rPr>
        <w:t>The efficiencies ratios measure the efficiency of the company in its utilization of its assets to generate revenue; operations performance is emphasized. These ratios include inventory ratio and turnover ratio, indicating that the company effectively uses its assets and can drive a cash flow (Majka, 2024). The ratio of receivables turnover decreased to 22.11 (2024) as compared to 28.14 (2021) and 27.60 (2022), which showed a slower collection efficiency. There was a decline in the asset turnover ratio (0.99</w:t>
      </w:r>
      <w:r>
        <w:rPr>
          <w:rFonts w:ascii="Arial" w:eastAsia="Arial" w:hAnsi="Arial" w:cs="Arial"/>
        </w:rPr>
        <w:t xml:space="preserve"> in 2022) to 0.80 in 2024 indicating less utilisation of the assets. In the same manner, the fixed asset turnover ratio decreased to 2.73 (2024) as compared to 3.46 (2022) indicating that the efficiency of using fixed assets to generate revenues is being weakened as time goes by. </w:t>
      </w:r>
      <w:r>
        <w:rPr>
          <w:rFonts w:ascii="Arial" w:eastAsia="Arial" w:hAnsi="Arial" w:cs="Arial"/>
          <w:b/>
          <w:bCs/>
          <w:i/>
          <w:iCs/>
        </w:rPr>
        <w:t>[See Appendix 3]</w:t>
      </w:r>
    </w:p>
    <w:p w14:paraId="3BE213A8" w14:textId="77777777" w:rsidR="0035611D" w:rsidRDefault="00A6742D">
      <w:pPr>
        <w:pStyle w:val="Heading3"/>
      </w:pPr>
      <w:bookmarkStart w:id="9" w:name="_e30eqqm2s4ux" w:colFirst="0" w:colLast="0"/>
      <w:bookmarkEnd w:id="9"/>
      <w:r>
        <w:t>d) Gearing Ratios</w:t>
      </w:r>
    </w:p>
    <w:p w14:paraId="6B18DE0F" w14:textId="77777777" w:rsidR="0035611D" w:rsidRDefault="00A6742D">
      <w:pPr>
        <w:spacing w:before="200" w:after="200"/>
        <w:rPr>
          <w:rFonts w:ascii="Arial" w:eastAsia="Arial" w:hAnsi="Arial" w:cs="Arial"/>
        </w:rPr>
      </w:pPr>
      <w:r>
        <w:rPr>
          <w:rFonts w:ascii="Arial" w:eastAsia="Arial" w:hAnsi="Arial" w:cs="Arial"/>
        </w:rPr>
        <w:t>Gearing ratios are the measurements of the degree of debt in the capital structure of a firm and are a metric of financial risk and leverage. High gearing risk will increase the financial risk but potentially increase returns (Oranefo and Egbunike, 2023). These ratios are practical in determination of long-term solvency and financial ability of the firm to pay off the debts. The 2024 debt-to-equity ratio of 0.66 showed that Tesla stopped depending on debt and has become more financially stable compared to t</w:t>
      </w:r>
      <w:r>
        <w:rPr>
          <w:rFonts w:ascii="Arial" w:eastAsia="Arial" w:hAnsi="Arial" w:cs="Arial"/>
        </w:rPr>
        <w:t xml:space="preserve">he 1.28 debt-to-equity ratio of 2020. The times interest earned ratio went up to a greatly bigger level, 25.69 out of 1.54, which means significantly greater capacity to meet interest payments and decreased financial risk. </w:t>
      </w:r>
      <w:r>
        <w:rPr>
          <w:rFonts w:ascii="Arial" w:eastAsia="Arial" w:hAnsi="Arial" w:cs="Arial"/>
          <w:b/>
          <w:bCs/>
          <w:i/>
          <w:iCs/>
        </w:rPr>
        <w:t>[See Appendix 4]</w:t>
      </w:r>
    </w:p>
    <w:p w14:paraId="340BD0F9" w14:textId="77777777" w:rsidR="0035611D" w:rsidRDefault="00A6742D">
      <w:pPr>
        <w:pStyle w:val="Heading3"/>
      </w:pPr>
      <w:bookmarkStart w:id="10" w:name="_2u4kwgywgzjr" w:colFirst="0" w:colLast="0"/>
      <w:bookmarkEnd w:id="10"/>
      <w:r>
        <w:t>e) Investment Ratios</w:t>
      </w:r>
    </w:p>
    <w:p w14:paraId="445CAD1C" w14:textId="77777777" w:rsidR="0035611D" w:rsidRDefault="00A6742D">
      <w:pPr>
        <w:spacing w:before="200" w:after="200"/>
        <w:rPr>
          <w:rFonts w:ascii="Arial" w:eastAsia="Arial" w:hAnsi="Arial" w:cs="Arial"/>
        </w:rPr>
      </w:pPr>
      <w:r>
        <w:rPr>
          <w:rFonts w:ascii="Arial" w:eastAsia="Arial" w:hAnsi="Arial" w:cs="Arial"/>
        </w:rPr>
        <w:t>Investment ratio relates to returns to shareholders of a company and the perception of the performance by the market. Dividend payout and P/E ratio metrics are used to make investment decisions and represent future growth prospects and profitability (Suroso, 2022). The performance of the investment is mixed and has numerical changes. The dividend payout ratio remained low at 0.02 in 2024, 0.01 in 2023–2022, 0.02 in 2021, and higher at 0.08 in 2020. The price earnings ratio was very high ranging between 2822</w:t>
      </w:r>
      <w:r>
        <w:rPr>
          <w:rFonts w:ascii="Arial" w:eastAsia="Arial" w:hAnsi="Arial" w:cs="Arial"/>
        </w:rPr>
        <w:t xml:space="preserve">.68 in the year 2020 and 181.09 in 2024. The return on assets rose from 0.02 in 2020 to 0.15 in 2022, then declined to 0.06 in 2024. </w:t>
      </w:r>
      <w:r>
        <w:rPr>
          <w:rFonts w:ascii="Arial" w:eastAsia="Arial" w:hAnsi="Arial" w:cs="Arial"/>
          <w:b/>
          <w:bCs/>
          <w:i/>
          <w:iCs/>
        </w:rPr>
        <w:t>[See Appendix 5]</w:t>
      </w:r>
    </w:p>
    <w:p w14:paraId="3269DE0B" w14:textId="77777777" w:rsidR="0035611D" w:rsidRDefault="00A6742D">
      <w:pPr>
        <w:pStyle w:val="Heading3"/>
      </w:pPr>
      <w:bookmarkStart w:id="11" w:name="_qnngqqtqnqmp" w:colFirst="0" w:colLast="0"/>
      <w:bookmarkEnd w:id="11"/>
      <w:r>
        <w:t>f) Cash Flow Ratios</w:t>
      </w:r>
    </w:p>
    <w:p w14:paraId="227821CB" w14:textId="77777777" w:rsidR="0035611D" w:rsidRDefault="00A6742D">
      <w:pPr>
        <w:spacing w:before="200" w:after="200"/>
        <w:rPr>
          <w:rFonts w:ascii="Arial" w:eastAsia="Arial" w:hAnsi="Arial" w:cs="Arial"/>
        </w:rPr>
      </w:pPr>
      <w:r>
        <w:rPr>
          <w:rFonts w:ascii="Arial" w:eastAsia="Arial" w:hAnsi="Arial" w:cs="Arial"/>
        </w:rPr>
        <w:t>The cash flow ratios are taken to evaluate the ability of a business to utilize cash on account of operation to cover the short-term liabilities and long-term debts. These ratios provide an insight into the liquidity, solvency, and financial flexibility (Barnabas and Oloyede, 2024). High cash flow is an indication of sustainability and reduced financial risk. Tesla has increased its operating cash flow ratio, operating gross cash flow increased favourably to 0.42 in 2020 and 0.52 in 2024 respectively. Nonet</w:t>
      </w:r>
      <w:r>
        <w:rPr>
          <w:rFonts w:ascii="Arial" w:eastAsia="Arial" w:hAnsi="Arial" w:cs="Arial"/>
        </w:rPr>
        <w:t xml:space="preserve">heless, it was lower than 1 with an implication of limited coverage of current liabilities. Cash flow to debt ratio rose to 0.31 as compared to 0.21 indicating a better yet average long-term debt payment ability. </w:t>
      </w:r>
      <w:r>
        <w:rPr>
          <w:rFonts w:ascii="Arial" w:eastAsia="Arial" w:hAnsi="Arial" w:cs="Arial"/>
          <w:b/>
          <w:bCs/>
          <w:i/>
          <w:iCs/>
        </w:rPr>
        <w:t>[See Appendix 6]</w:t>
      </w:r>
    </w:p>
    <w:p w14:paraId="75B51B65" w14:textId="77777777" w:rsidR="0035611D" w:rsidRDefault="00A6742D">
      <w:pPr>
        <w:pStyle w:val="Heading2"/>
      </w:pPr>
      <w:bookmarkStart w:id="12" w:name="_a314jdoxx0az" w:colFirst="0" w:colLast="0"/>
      <w:bookmarkEnd w:id="12"/>
      <w:r>
        <w:t>2.3 Key Findings</w:t>
      </w:r>
    </w:p>
    <w:p w14:paraId="3FE8E9CD" w14:textId="77777777" w:rsidR="0035611D" w:rsidRDefault="00A6742D">
      <w:pPr>
        <w:pStyle w:val="Heading3"/>
      </w:pPr>
      <w:bookmarkStart w:id="13" w:name="_i4nev12jrj9k" w:colFirst="0" w:colLast="0"/>
      <w:bookmarkEnd w:id="13"/>
      <w:r>
        <w:t>a) Identify Trends</w:t>
      </w:r>
    </w:p>
    <w:p w14:paraId="655E3DE7" w14:textId="77777777" w:rsidR="0035611D" w:rsidRDefault="00A6742D">
      <w:pPr>
        <w:spacing w:before="200" w:after="200"/>
        <w:rPr>
          <w:rFonts w:ascii="Arial" w:eastAsia="Arial" w:hAnsi="Arial" w:cs="Arial"/>
        </w:rPr>
      </w:pPr>
      <w:r>
        <w:rPr>
          <w:rFonts w:ascii="Arial" w:eastAsia="Arial" w:hAnsi="Arial" w:cs="Arial"/>
        </w:rPr>
        <w:t>Tesla presents a high growth pattern in 2020-2024 in terms of revenues, assets, and equity, which means expansion and access into a new market. The profitability grew significantly until 2022-2023 and dropped in 2024. The liquidity and leverage became better, and the efficiency ratios were at a constant level, which indicates a steady operational performance even under the current financial strains (Tesla, 2024).</w:t>
      </w:r>
    </w:p>
    <w:p w14:paraId="6B79BE5A" w14:textId="77777777" w:rsidR="0035611D" w:rsidRDefault="00A6742D">
      <w:pPr>
        <w:pStyle w:val="Heading3"/>
      </w:pPr>
      <w:bookmarkStart w:id="14" w:name="_htunk93cryp7" w:colFirst="0" w:colLast="0"/>
      <w:bookmarkEnd w:id="14"/>
      <w:r>
        <w:t>b) Identify Strengths</w:t>
      </w:r>
    </w:p>
    <w:p w14:paraId="38887111" w14:textId="77777777" w:rsidR="0035611D" w:rsidRDefault="00A6742D">
      <w:pPr>
        <w:spacing w:before="200" w:after="200"/>
      </w:pPr>
      <w:r>
        <w:rPr>
          <w:rFonts w:ascii="Arial" w:eastAsia="Arial" w:hAnsi="Arial" w:cs="Arial"/>
        </w:rPr>
        <w:t>The strengths of Tesla are its high revenue growth, growth in total assets, and growth in shareholders' equity, which reflect financial stability and its ability to grow. A better debt-to-equity relationship means that the risk of finances is lower (Huang, 2023). The good receivables management and robust operating cash flows underscore the good operations, whereas long-term profitability provides strong support to its competitiveness in the EV market.</w:t>
      </w:r>
    </w:p>
    <w:p w14:paraId="65666214" w14:textId="77777777" w:rsidR="0035611D" w:rsidRDefault="00A6742D">
      <w:pPr>
        <w:pStyle w:val="Heading3"/>
      </w:pPr>
      <w:bookmarkStart w:id="15" w:name="_vqqxjc1ww41s" w:colFirst="0" w:colLast="0"/>
      <w:bookmarkEnd w:id="15"/>
      <w:r>
        <w:t>c) Identify Threats</w:t>
      </w:r>
    </w:p>
    <w:p w14:paraId="23CD8F5B" w14:textId="77777777" w:rsidR="0035611D" w:rsidRDefault="00A6742D">
      <w:pPr>
        <w:spacing w:before="200" w:after="200"/>
        <w:rPr>
          <w:rFonts w:ascii="Arial" w:eastAsia="Arial" w:hAnsi="Arial" w:cs="Arial"/>
        </w:rPr>
      </w:pPr>
      <w:r>
        <w:rPr>
          <w:rFonts w:ascii="Arial" w:eastAsia="Arial" w:hAnsi="Arial" w:cs="Arial"/>
        </w:rPr>
        <w:t>Tesla is threatened by the reduction in profitability in 2024, which means that the margin will become strained, and the cost of operations is increasing. Competitors are becoming more active in the EV market globally, which threatens the market share (Li, 2025). The short-term financial flexibility might be affected by a lower liquidity trend and moderate coverage of cash flow, whereas economic unpredictability and price decreases might also influence financial performance.</w:t>
      </w:r>
    </w:p>
    <w:p w14:paraId="200153BA" w14:textId="77777777" w:rsidR="0035611D" w:rsidRDefault="00A6742D">
      <w:pPr>
        <w:pStyle w:val="Heading2"/>
      </w:pPr>
      <w:bookmarkStart w:id="16" w:name="_y7xuqe86hte7" w:colFirst="0" w:colLast="0"/>
      <w:bookmarkEnd w:id="16"/>
      <w:r>
        <w:t>2.4 Summary</w:t>
      </w:r>
    </w:p>
    <w:p w14:paraId="6DF5CCDA" w14:textId="77777777" w:rsidR="0035611D" w:rsidRDefault="00A6742D">
      <w:pPr>
        <w:spacing w:before="200" w:after="200"/>
        <w:rPr>
          <w:rFonts w:ascii="Arial" w:eastAsia="Arial" w:hAnsi="Arial" w:cs="Arial"/>
        </w:rPr>
      </w:pPr>
      <w:r>
        <w:rPr>
          <w:rFonts w:ascii="Arial" w:eastAsia="Arial" w:hAnsi="Arial" w:cs="Arial"/>
        </w:rPr>
        <w:t>The financial forecast of Tesla Inc. indicates a high growth in 2020-2024 due to the increase in revenue, assets, and equity. The profitability rose to a high level until 2022-2023 but dropped in 2024, which points to margin pressure. The liquidity and gearing positions have improved, and it shows the enhanced solvency and minimized financial risk. Nonetheless, efficiency ratios deteriorated, indicating inefficiency in asset utilisation and decreased receivables collection. The performance of investment was</w:t>
      </w:r>
      <w:r>
        <w:rPr>
          <w:rFonts w:ascii="Arial" w:eastAsia="Arial" w:hAnsi="Arial" w:cs="Arial"/>
        </w:rPr>
        <w:t xml:space="preserve"> still unstable, whereas the cash flow ratios showed the average coverage ability. All in all, Tesla is a company with strong growth and financial health, yet with new issues of dwindling profitability, inefficiencies in its operations, and growing rivalry in the international electric vehicle segment.</w:t>
      </w:r>
    </w:p>
    <w:p w14:paraId="09C0AF93" w14:textId="77777777" w:rsidR="0035611D" w:rsidRDefault="00A6742D">
      <w:pPr>
        <w:pStyle w:val="Heading1"/>
      </w:pPr>
      <w:bookmarkStart w:id="17" w:name="_4dhkh87xxkg" w:colFirst="0" w:colLast="0"/>
      <w:bookmarkEnd w:id="17"/>
      <w:r>
        <w:t>3. Working Capital Management Analysis</w:t>
      </w:r>
    </w:p>
    <w:p w14:paraId="401C4EED" w14:textId="77777777" w:rsidR="0035611D" w:rsidRDefault="00A6742D">
      <w:pPr>
        <w:pStyle w:val="Heading2"/>
      </w:pPr>
      <w:bookmarkStart w:id="18" w:name="_1jb5g4c29xnk" w:colFirst="0" w:colLast="0"/>
      <w:bookmarkEnd w:id="18"/>
      <w:r>
        <w:t>3.1 Cash Operating Cycle</w:t>
      </w:r>
    </w:p>
    <w:p w14:paraId="190CC09A" w14:textId="77777777" w:rsidR="0035611D" w:rsidRDefault="00A6742D">
      <w:pPr>
        <w:spacing w:before="200" w:after="200"/>
        <w:rPr>
          <w:rFonts w:ascii="Arial" w:eastAsia="Arial" w:hAnsi="Arial" w:cs="Arial"/>
        </w:rPr>
      </w:pPr>
      <w:r>
        <w:rPr>
          <w:rFonts w:ascii="Arial" w:eastAsia="Arial" w:hAnsi="Arial" w:cs="Arial"/>
        </w:rPr>
        <w:t xml:space="preserve">The cash operating cycle entails measuring the amount of time a company uses to make investments in its inventory and receivables and convert them to cash after the payables. It indicates efficiency and management of the working capital (Asman et al., 2022). A smaller cycle means that there is greater control over the cash flow and efficiency. Cash operating cycle of Tesla varied between -0.74 days in 2020 and 14.80 days in 2024. Negative cycles experienced in 2020 and 2021 show effective management of the </w:t>
      </w:r>
      <w:r>
        <w:rPr>
          <w:rFonts w:ascii="Arial" w:eastAsia="Arial" w:hAnsi="Arial" w:cs="Arial"/>
        </w:rPr>
        <w:t xml:space="preserve">cash; cash receivable was received prior to payments (Tesla, 2024). Nonetheless, the rise to 14.80 days in 2024 indicates slower cash conversion, which is an indicator of lower working capital efficiency and high liquidity pressure. </w:t>
      </w:r>
      <w:r>
        <w:rPr>
          <w:rFonts w:ascii="Arial" w:eastAsia="Arial" w:hAnsi="Arial" w:cs="Arial"/>
          <w:b/>
          <w:bCs/>
          <w:i/>
          <w:iCs/>
        </w:rPr>
        <w:t>[See Appendix 7]</w:t>
      </w:r>
    </w:p>
    <w:p w14:paraId="19459A02" w14:textId="77777777" w:rsidR="0035611D" w:rsidRDefault="00A6742D">
      <w:pPr>
        <w:pStyle w:val="Heading2"/>
      </w:pPr>
      <w:bookmarkStart w:id="19" w:name="_fnngpzx7k4tb" w:colFirst="0" w:colLast="0"/>
      <w:bookmarkEnd w:id="19"/>
      <w:r>
        <w:t>3.2 Evaluation of Tesla’s Liquidity</w:t>
      </w:r>
    </w:p>
    <w:p w14:paraId="1E31EBD6" w14:textId="77777777" w:rsidR="0035611D" w:rsidRDefault="00A6742D">
      <w:pPr>
        <w:pStyle w:val="Heading3"/>
      </w:pPr>
      <w:bookmarkStart w:id="20" w:name="_q90se3crt4pz" w:colFirst="0" w:colLast="0"/>
      <w:bookmarkEnd w:id="20"/>
      <w:r>
        <w:t>a) Strengths</w:t>
      </w:r>
    </w:p>
    <w:p w14:paraId="7C31318D" w14:textId="77777777" w:rsidR="0035611D" w:rsidRDefault="00A6742D">
      <w:pPr>
        <w:spacing w:before="200" w:after="200"/>
        <w:rPr>
          <w:rFonts w:ascii="Arial" w:eastAsia="Arial" w:hAnsi="Arial" w:cs="Arial"/>
        </w:rPr>
      </w:pPr>
      <w:r>
        <w:rPr>
          <w:rFonts w:ascii="Arial" w:eastAsia="Arial" w:hAnsi="Arial" w:cs="Arial"/>
        </w:rPr>
        <w:t>The liquidity position of Tesla is good because the ratio of current decreased in 2021, reaching 1.38, and increased in 2024, reaching 2.02, showing an increase in the short-term debtor capacity. The acid-test ratio also grew to 1.61, indicating adequate liquid assets without having to use inventory (Tesla, 2024). Moreover, positive operating cash flows help sustain financial stability in the short-term and effective management of working capital.</w:t>
      </w:r>
    </w:p>
    <w:p w14:paraId="0646F300" w14:textId="77777777" w:rsidR="0035611D" w:rsidRDefault="00A6742D">
      <w:pPr>
        <w:pStyle w:val="Heading3"/>
      </w:pPr>
      <w:bookmarkStart w:id="21" w:name="_8rhtc6k18gqt" w:colFirst="0" w:colLast="0"/>
      <w:bookmarkEnd w:id="21"/>
      <w:r>
        <w:t>b) Weaknesses</w:t>
      </w:r>
    </w:p>
    <w:p w14:paraId="6AE4F561" w14:textId="77777777" w:rsidR="0035611D" w:rsidRDefault="00A6742D">
      <w:pPr>
        <w:spacing w:before="200" w:after="200"/>
        <w:rPr>
          <w:rFonts w:ascii="Arial" w:eastAsia="Arial" w:hAnsi="Arial" w:cs="Arial"/>
        </w:rPr>
      </w:pPr>
      <w:r>
        <w:rPr>
          <w:rFonts w:ascii="Arial" w:eastAsia="Arial" w:hAnsi="Arial" w:cs="Arial"/>
        </w:rPr>
        <w:t>Tesla has improved, but the pressure on the liquidity of Tesla is reflected in the fluctuations of the cash operating cycle, which has risen to 14.80 days in 2024. This signifies a reduced rate of cash conversion (Tesla, 2024). Moreover, the use of inventory to provide liquidity in the previous years and average cash flow ratios less than 1 indicate that they may be unable to sufficiently meet liabilities on an operating cash basis.</w:t>
      </w:r>
    </w:p>
    <w:p w14:paraId="6CA674C9" w14:textId="77777777" w:rsidR="0035611D" w:rsidRDefault="00A6742D">
      <w:pPr>
        <w:pStyle w:val="Heading2"/>
      </w:pPr>
      <w:bookmarkStart w:id="22" w:name="_3zbxngktd53m" w:colFirst="0" w:colLast="0"/>
      <w:bookmarkEnd w:id="22"/>
      <w:r>
        <w:t>3.3 Recommendations</w:t>
      </w:r>
    </w:p>
    <w:p w14:paraId="48DB2819" w14:textId="77777777" w:rsidR="0035611D" w:rsidRDefault="00A6742D">
      <w:pPr>
        <w:pStyle w:val="Heading3"/>
      </w:pPr>
      <w:bookmarkStart w:id="23" w:name="_931gnt1jz9wk" w:colFirst="0" w:colLast="0"/>
      <w:bookmarkEnd w:id="23"/>
      <w:r>
        <w:t xml:space="preserve">a) Improve Inventory Management </w:t>
      </w:r>
    </w:p>
    <w:p w14:paraId="1A9E2246" w14:textId="77777777" w:rsidR="0035611D" w:rsidRDefault="00A6742D">
      <w:pPr>
        <w:spacing w:before="200" w:after="200"/>
        <w:rPr>
          <w:rFonts w:ascii="Arial" w:eastAsia="Arial" w:hAnsi="Arial" w:cs="Arial"/>
        </w:rPr>
      </w:pPr>
      <w:r>
        <w:rPr>
          <w:rFonts w:ascii="Arial" w:eastAsia="Arial" w:hAnsi="Arial" w:cs="Arial"/>
        </w:rPr>
        <w:t>Tesla needs to improve their inventory control through the adoption of just-in-time (JIT) systems and advanced demand forecasting technologies in order to minimize the holding costs and enhance the efficiency of turnover. The reduction of excess stock and optimization of the production schedule will minimize inventory days, increase cash flow, and operational efficiency, which will allow the resources to be utilized more effectively and better working capital management (Ramadani et al., 2024).</w:t>
      </w:r>
    </w:p>
    <w:p w14:paraId="3F958D14" w14:textId="77777777" w:rsidR="0035611D" w:rsidRDefault="00A6742D">
      <w:pPr>
        <w:pStyle w:val="Heading3"/>
      </w:pPr>
      <w:bookmarkStart w:id="24" w:name="_gf7a4tz76u6k" w:colFirst="0" w:colLast="0"/>
      <w:bookmarkEnd w:id="24"/>
      <w:r>
        <w:t xml:space="preserve">b) Credit Policy Improvements </w:t>
      </w:r>
    </w:p>
    <w:p w14:paraId="67521433" w14:textId="77777777" w:rsidR="0035611D" w:rsidRDefault="00A6742D">
      <w:pPr>
        <w:spacing w:before="200" w:after="200"/>
        <w:rPr>
          <w:rFonts w:ascii="Arial" w:eastAsia="Arial" w:hAnsi="Arial" w:cs="Arial"/>
        </w:rPr>
      </w:pPr>
      <w:r>
        <w:rPr>
          <w:rFonts w:ascii="Arial" w:eastAsia="Arial" w:hAnsi="Arial" w:cs="Arial"/>
        </w:rPr>
        <w:t>Tesla can reinforce its credit policy by imposing more rigorous credit evaluation and cutting down the collection times of its receivables. Early payment discounts and better customer credit monitoring systems will increase cash inflows (Deng, 2024). Efficient receivables management will shorten the receivable days, enhance liquidity, and convert sales into cash more quickly, which will result in financial stability.</w:t>
      </w:r>
    </w:p>
    <w:p w14:paraId="52DDE3DC" w14:textId="77777777" w:rsidR="0035611D" w:rsidRDefault="00A6742D">
      <w:pPr>
        <w:pStyle w:val="Heading3"/>
      </w:pPr>
      <w:bookmarkStart w:id="25" w:name="_9pfylg9l50sz" w:colFirst="0" w:colLast="0"/>
      <w:bookmarkEnd w:id="25"/>
      <w:r>
        <w:t>c) Supplier Financing Strategies</w:t>
      </w:r>
    </w:p>
    <w:p w14:paraId="257B4803" w14:textId="77777777" w:rsidR="0035611D" w:rsidRDefault="00A6742D">
      <w:pPr>
        <w:spacing w:before="200" w:after="200"/>
        <w:rPr>
          <w:rFonts w:ascii="Arial" w:eastAsia="Arial" w:hAnsi="Arial" w:cs="Arial"/>
        </w:rPr>
      </w:pPr>
      <w:r>
        <w:rPr>
          <w:rFonts w:ascii="Arial" w:eastAsia="Arial" w:hAnsi="Arial" w:cs="Arial"/>
        </w:rPr>
        <w:t>Tesla should be having a longer payment term with the suppliers in such a way that it does not compromise with its suppliers. The solutions to sustain cash during preserving the stability of the supply chain can be the implementation of supplier financing or trade credit (Ren et al., 2025). This approach increases liquidity by pushing cash expenditures out, increasing the cash operating cycle and gaining more flexibility in meeting short-term financial commitments.</w:t>
      </w:r>
    </w:p>
    <w:p w14:paraId="058673CF" w14:textId="77777777" w:rsidR="0035611D" w:rsidRDefault="00A6742D">
      <w:pPr>
        <w:pStyle w:val="Heading2"/>
      </w:pPr>
      <w:bookmarkStart w:id="26" w:name="_q5yxjofdl8x7" w:colFirst="0" w:colLast="0"/>
      <w:bookmarkEnd w:id="26"/>
      <w:r>
        <w:t>3.4 Financing Options</w:t>
      </w:r>
    </w:p>
    <w:p w14:paraId="12158213" w14:textId="77777777" w:rsidR="0035611D" w:rsidRDefault="00A6742D">
      <w:pPr>
        <w:pStyle w:val="Heading3"/>
      </w:pPr>
      <w:bookmarkStart w:id="27" w:name="_66a8reygyd0w" w:colFirst="0" w:colLast="0"/>
      <w:bookmarkEnd w:id="27"/>
      <w:r>
        <w:t>a) Short-term vs Long-Term Financing</w:t>
      </w:r>
    </w:p>
    <w:p w14:paraId="5E2BDD61" w14:textId="77777777" w:rsidR="0035611D" w:rsidRDefault="00A6742D">
      <w:pPr>
        <w:spacing w:before="200" w:after="200"/>
        <w:rPr>
          <w:rFonts w:ascii="Arial" w:eastAsia="Arial" w:hAnsi="Arial" w:cs="Arial"/>
        </w:rPr>
      </w:pPr>
      <w:r>
        <w:rPr>
          <w:rFonts w:ascii="Arial" w:eastAsia="Arial" w:hAnsi="Arial" w:cs="Arial"/>
        </w:rPr>
        <w:t>Short-term financing is the sum of money that is borrowed in periods less than a year, like trade credit and short-term loans, and is mainly used in relation to work capital requirements. Long-term financing refers to the financing obtained over a period of more than one year, such as equity and long-term debt, and that applies to expansion and capital investment (Ding, 2025). This decision will require cost, risk and financial flexibility.</w:t>
      </w:r>
    </w:p>
    <w:p w14:paraId="53D8C135" w14:textId="77777777" w:rsidR="0035611D" w:rsidRDefault="00A6742D">
      <w:pPr>
        <w:pStyle w:val="Heading3"/>
      </w:pPr>
      <w:bookmarkStart w:id="28" w:name="_5r2cj8kag3kc" w:colFirst="0" w:colLast="0"/>
      <w:bookmarkEnd w:id="28"/>
      <w:r>
        <w:t xml:space="preserve">b) Pros and Cons for Tesla </w:t>
      </w:r>
    </w:p>
    <w:p w14:paraId="3D78E878" w14:textId="77777777" w:rsidR="0035611D" w:rsidRDefault="00A6742D">
      <w:pPr>
        <w:spacing w:before="200" w:after="200"/>
        <w:rPr>
          <w:rFonts w:ascii="Arial" w:eastAsia="Arial" w:hAnsi="Arial" w:cs="Arial"/>
        </w:rPr>
      </w:pPr>
      <w:r>
        <w:rPr>
          <w:rFonts w:ascii="Arial" w:eastAsia="Arial" w:hAnsi="Arial" w:cs="Arial"/>
        </w:rPr>
        <w:t>Short-term financing provides Tesla with flexibility and decreases initial costs but increases the refinancing and liquidity risk. Alternatively, long-term funding is more stable and allows large-scale investments, but with a possible increase in cost and obligation in the long-term (Cao, 2025). Tesla must compromise between both in order to optimise its capital structure, assume risk, and facilitate long-term growth and efficiency.</w:t>
      </w:r>
    </w:p>
    <w:p w14:paraId="627B11BE" w14:textId="77777777" w:rsidR="0035611D" w:rsidRDefault="00A6742D">
      <w:pPr>
        <w:pStyle w:val="Heading2"/>
      </w:pPr>
      <w:bookmarkStart w:id="29" w:name="_x6in7ekm3gu1" w:colFirst="0" w:colLast="0"/>
      <w:bookmarkEnd w:id="29"/>
      <w:r>
        <w:t>3.5 Summary</w:t>
      </w:r>
    </w:p>
    <w:p w14:paraId="2664912C" w14:textId="77777777" w:rsidR="0035611D" w:rsidRDefault="00A6742D">
      <w:pPr>
        <w:spacing w:before="200" w:after="200"/>
        <w:rPr>
          <w:rFonts w:ascii="Arial" w:eastAsia="Arial" w:hAnsi="Arial" w:cs="Arial"/>
        </w:rPr>
      </w:pPr>
      <w:r>
        <w:rPr>
          <w:rFonts w:ascii="Arial" w:eastAsia="Arial" w:hAnsi="Arial" w:cs="Arial"/>
        </w:rPr>
        <w:t>The working capital management in Tesla Inc. indicates how the company has changed in terms of cash flows and liquidity in the past years. The cash operating cycle showed an increase in negative in 2020-21 to 14.80 days in 2024, which means that there is less cash conversion and increasing pressure on working capital efficiency. Nevertheless, Tesla is still very liquid, and the ratio of current ratio now stands at 2.02 and the acid-test ratio at 1.61 which points to sufficient short-term solvency. The posit</w:t>
      </w:r>
      <w:r>
        <w:rPr>
          <w:rFonts w:ascii="Arial" w:eastAsia="Arial" w:hAnsi="Arial" w:cs="Arial"/>
        </w:rPr>
        <w:t>ive operating cash flows also contribute to financial stability. Nonetheless, there are weaknesses in changing cash cycles and cash flow ratios of less than one, which indicates a restriction in meeting liabilities solely through operations. To mitigate such problems, Tesla should be advised to improve the inventory management by using just-in-time, and the demand forecasting to minimize the holding costs and turnover. Enhancing credit policy and shortening receivables collection time would speed up cash in</w:t>
      </w:r>
      <w:r>
        <w:rPr>
          <w:rFonts w:ascii="Arial" w:eastAsia="Arial" w:hAnsi="Arial" w:cs="Arial"/>
        </w:rPr>
        <w:t>flows and enhance liquidity. Moreover, short-term cash strains might be alleviated through adopting supplier financing strategies and negotiating long-term payment terms. In terms of financing, short-term financing offers flexibility and risk of liquidity, but long-term financing offers stability but can be quite expensive. The combination of financing will play a crucial role in balancing the capital structure to ensure risk management and sustainable growth.</w:t>
      </w:r>
    </w:p>
    <w:p w14:paraId="7B221514" w14:textId="77777777" w:rsidR="0035611D" w:rsidRDefault="00A6742D">
      <w:pPr>
        <w:pStyle w:val="Heading1"/>
      </w:pPr>
      <w:bookmarkStart w:id="30" w:name="_dky7i4882w4l" w:colFirst="0" w:colLast="0"/>
      <w:bookmarkEnd w:id="30"/>
      <w:r>
        <w:t>4. Strategic Financial Restructuring Plan</w:t>
      </w:r>
    </w:p>
    <w:p w14:paraId="658FA722" w14:textId="77777777" w:rsidR="0035611D" w:rsidRDefault="00A6742D">
      <w:pPr>
        <w:pStyle w:val="Heading2"/>
      </w:pPr>
      <w:bookmarkStart w:id="31" w:name="_4a4jx2ev4ebv" w:colFirst="0" w:colLast="0"/>
      <w:bookmarkEnd w:id="31"/>
      <w:r>
        <w:t>4.1 Current Financial Issues</w:t>
      </w:r>
    </w:p>
    <w:p w14:paraId="530BC1C1" w14:textId="77777777" w:rsidR="0035611D" w:rsidRDefault="00A6742D">
      <w:pPr>
        <w:spacing w:before="200" w:after="200"/>
        <w:rPr>
          <w:rFonts w:ascii="Arial" w:eastAsia="Arial" w:hAnsi="Arial" w:cs="Arial"/>
        </w:rPr>
      </w:pPr>
      <w:r>
        <w:rPr>
          <w:rFonts w:ascii="Arial" w:eastAsia="Arial" w:hAnsi="Arial" w:cs="Arial"/>
        </w:rPr>
        <w:t>Tesla has been experiencing several financial challenges pertaining to its capital structure, pressure on its costs, and risk points of expansion. Although its debt-to-equity ratio decreased from 1.28 in 2020 to 0.66 in 2024, overall liabilities have grown to reach $48,390m, which indicates still enjoying external funding. Increased production and raw material prices, especially lithium and battery materials, have caused a reduction in the profit margin in 2024. Moreover, profitability has also been further</w:t>
      </w:r>
      <w:r>
        <w:rPr>
          <w:rFonts w:ascii="Arial" w:eastAsia="Arial" w:hAnsi="Arial" w:cs="Arial"/>
        </w:rPr>
        <w:t xml:space="preserve"> squeezed down by aggressive pricing to retain market share (Olesia and Zhou, 2023). Diversification through global markets into new gigafactories will expose the company to operational and financial risks such as high capital investment and unpredictable returns. These aspects demonstrate the necessity of the successful restructuring of finance to retain stable growth and competitive ability.</w:t>
      </w:r>
    </w:p>
    <w:p w14:paraId="0514F35E" w14:textId="77777777" w:rsidR="0035611D" w:rsidRDefault="00A6742D">
      <w:pPr>
        <w:pStyle w:val="Heading2"/>
      </w:pPr>
      <w:bookmarkStart w:id="32" w:name="_fq1xhtif6qag" w:colFirst="0" w:colLast="0"/>
      <w:bookmarkEnd w:id="32"/>
      <w:r>
        <w:t>4.2 Proposed Strategies</w:t>
      </w:r>
    </w:p>
    <w:p w14:paraId="0FC8FFFE" w14:textId="77777777" w:rsidR="0035611D" w:rsidRDefault="00A6742D">
      <w:pPr>
        <w:spacing w:before="200" w:after="200"/>
        <w:rPr>
          <w:rFonts w:ascii="Arial" w:eastAsia="Arial" w:hAnsi="Arial" w:cs="Arial"/>
        </w:rPr>
      </w:pPr>
      <w:r>
        <w:rPr>
          <w:rFonts w:ascii="Arial" w:eastAsia="Arial" w:hAnsi="Arial" w:cs="Arial"/>
        </w:rPr>
        <w:t>Tesla can take several financial steps towards improving its financial situation. There is also the use of equity financing to raise funds without any additional financial risk and additional expansion and a healthy balance sheet. Financial pressures can be reduced by restructuring the debt, such as refinancing old debts at lower rate or even extending the maturity of the debt, which would promote a more stable cash flow. Also, Tesla can streamline the portfolio by selling poorly performing assets and redis</w:t>
      </w:r>
      <w:r>
        <w:rPr>
          <w:rFonts w:ascii="Arial" w:eastAsia="Arial" w:hAnsi="Arial" w:cs="Arial"/>
        </w:rPr>
        <w:t>tributing investments in high-growth business opportunities like energy storage and driverless technology. The growth plans must be centred on cost-effective manufacturing and geographic diversification to reduce the risks to a minimum (Paakko, 2024). These strategies will assist Tesla to increase financial flexibility, lower leverage risks, and sustain the creation of long-term value at the same time as enhance operational efficiency.</w:t>
      </w:r>
    </w:p>
    <w:p w14:paraId="2D117882" w14:textId="77777777" w:rsidR="0035611D" w:rsidRDefault="00A6742D">
      <w:pPr>
        <w:pStyle w:val="Heading2"/>
      </w:pPr>
      <w:bookmarkStart w:id="33" w:name="_20egau653cp4" w:colFirst="0" w:colLast="0"/>
      <w:bookmarkEnd w:id="33"/>
      <w:r>
        <w:t>4.3 Impact Analysis</w:t>
      </w:r>
    </w:p>
    <w:p w14:paraId="1248E6C6" w14:textId="77777777" w:rsidR="0035611D" w:rsidRDefault="00A6742D">
      <w:pPr>
        <w:spacing w:before="200" w:after="200"/>
        <w:rPr>
          <w:rFonts w:ascii="Arial" w:eastAsia="Arial" w:hAnsi="Arial" w:cs="Arial"/>
        </w:rPr>
      </w:pPr>
      <w:r>
        <w:rPr>
          <w:rFonts w:ascii="Arial" w:eastAsia="Arial" w:hAnsi="Arial" w:cs="Arial"/>
        </w:rPr>
        <w:t>It is argued that the suggested restructuring plans will have a positive influence on the overall financial performance of Tesla. The equity financing will enhance the equity of the shareholders, as well as decrease leverage, and the financial risk will be decreased. The interest coverage and cash flow stability will be improved with debt restructuring, and Tesla will be more capable of fulfilling its financial obligations. Efficiency in operations and profitability will also be enhanced by strategic positi</w:t>
      </w:r>
      <w:r>
        <w:rPr>
          <w:rFonts w:ascii="Arial" w:eastAsia="Arial" w:hAnsi="Arial" w:cs="Arial"/>
        </w:rPr>
        <w:t>oning of assets and focus, leading to long-term shareholder value (Purnawan, 2024). Relying too much on equity financing, however, can dilute the existing shareholders' ownership. Better financial freedom will enable Tesla to adapt to the market and competition changes effectively. The net effect of these strategies will be a balanced capital structure, risk management, and an improved ability of the company to maintain growth in an extremely competitive industry.</w:t>
      </w:r>
    </w:p>
    <w:p w14:paraId="11CA01B7" w14:textId="77777777" w:rsidR="0035611D" w:rsidRDefault="00A6742D">
      <w:pPr>
        <w:pStyle w:val="Heading2"/>
      </w:pPr>
      <w:bookmarkStart w:id="34" w:name="_sg6ba5e3qq3h" w:colFirst="0" w:colLast="0"/>
      <w:bookmarkEnd w:id="34"/>
      <w:r>
        <w:t>4.4 Global &amp; Ethical Considerations</w:t>
      </w:r>
    </w:p>
    <w:p w14:paraId="0DB07D69" w14:textId="77777777" w:rsidR="0035611D" w:rsidRDefault="00A6742D">
      <w:pPr>
        <w:spacing w:before="200" w:after="200"/>
        <w:rPr>
          <w:rFonts w:ascii="Arial" w:eastAsia="Arial" w:hAnsi="Arial" w:cs="Arial"/>
        </w:rPr>
      </w:pPr>
      <w:r>
        <w:rPr>
          <w:rFonts w:ascii="Arial" w:eastAsia="Arial" w:hAnsi="Arial" w:cs="Arial"/>
        </w:rPr>
        <w:t>Tesla is making filings in an international setting where it will be exposed to fluctuations on currency, inflation and variation in taxation systems. There is a currency risk due to global operations, which affects revenue and cost structure. The cost of production is raised, especially raw materials by inflation, which impacts profitability (Nwosu et al., 2025). The financial planning and net returns of Tesla are affected by taxation policies in various countries. Besides, environmental, social, and gover</w:t>
      </w:r>
      <w:r>
        <w:rPr>
          <w:rFonts w:ascii="Arial" w:eastAsia="Arial" w:hAnsi="Arial" w:cs="Arial"/>
        </w:rPr>
        <w:t>nance (ESG) issues are vital since the business model of Tesla is interconnected with sustainability and clean energy. Initiatives like ethical sourcing of materials, including lithium and cobalt, and responsible labour practices are critical in ensuring corporate reputation (Deberdt and Le Billon, 2022). Adherence to international law and corporate social responsibility increases the trust of stakeholders as well as long-term sustainability. The response to these factors will help Tesla to direct their fin</w:t>
      </w:r>
      <w:r>
        <w:rPr>
          <w:rFonts w:ascii="Arial" w:eastAsia="Arial" w:hAnsi="Arial" w:cs="Arial"/>
        </w:rPr>
        <w:t>ancial strategies towards ethical standards and expectations of the market around the world.</w:t>
      </w:r>
    </w:p>
    <w:p w14:paraId="46C7D3E6" w14:textId="77777777" w:rsidR="0035611D" w:rsidRDefault="00A6742D">
      <w:pPr>
        <w:pStyle w:val="Heading2"/>
      </w:pPr>
      <w:bookmarkStart w:id="35" w:name="_hp4bvk9lkl7" w:colFirst="0" w:colLast="0"/>
      <w:bookmarkEnd w:id="35"/>
      <w:r>
        <w:t>4.5 Mitigation and Financial Control Measures related to Risk.</w:t>
      </w:r>
    </w:p>
    <w:p w14:paraId="7B190594" w14:textId="77777777" w:rsidR="0035611D" w:rsidRDefault="00A6742D">
      <w:pPr>
        <w:spacing w:before="200" w:after="200"/>
        <w:rPr>
          <w:rFonts w:ascii="Arial" w:eastAsia="Arial" w:hAnsi="Arial" w:cs="Arial"/>
        </w:rPr>
      </w:pPr>
      <w:r>
        <w:rPr>
          <w:rFonts w:ascii="Arial" w:eastAsia="Arial" w:hAnsi="Arial" w:cs="Arial"/>
        </w:rPr>
        <w:t>Tesla Inc. needs to embrace sound risk mitigation and financial management strategies to enhance financial restructuring. Advanced financial forecasting and scenario analysis can be used to predict market turmoil, price changes, and market unpredictability. The introduction of a stringent system of cost control, such as budgeting discipline and variance analysis, will be used to observe operational efficiency and minimize wasteful spending (Purnawan, 2024). The Tesla Company needs to diversify its supply ch</w:t>
      </w:r>
      <w:r>
        <w:rPr>
          <w:rFonts w:ascii="Arial" w:eastAsia="Arial" w:hAnsi="Arial" w:cs="Arial"/>
        </w:rPr>
        <w:t xml:space="preserve">ain also to reduce its reliance on a few sources of key raw materials like lithium and cobalt thus limiting the risk of disruption of supplies. Also, the foreign exchange and commodity price risks can be hedged to achieve more predictable financial results. The enhancement of internal controls, the transparency, and performance monitoring systems will enhance the decision making and accountability. Real-time financial tracking and strategic planning can be further improved by investing in digital financial </w:t>
      </w:r>
      <w:r>
        <w:rPr>
          <w:rFonts w:ascii="Arial" w:eastAsia="Arial" w:hAnsi="Arial" w:cs="Arial"/>
        </w:rPr>
        <w:t>systems and data analytics (Deberdt and Le Billon, 2022). All these measures contribute to the enhancement of financial resilience, mitigation of exposure to external shocks and sustainable long-term growth and operational efficiency and investor confidence.</w:t>
      </w:r>
    </w:p>
    <w:p w14:paraId="09F7F59B" w14:textId="77777777" w:rsidR="0035611D" w:rsidRDefault="00A6742D">
      <w:pPr>
        <w:pStyle w:val="Heading2"/>
      </w:pPr>
      <w:bookmarkStart w:id="36" w:name="_6ku9r9tf0oeb" w:colFirst="0" w:colLast="0"/>
      <w:bookmarkEnd w:id="36"/>
      <w:r>
        <w:t>4.6 Summary</w:t>
      </w:r>
    </w:p>
    <w:p w14:paraId="0895F1EF" w14:textId="77777777" w:rsidR="0035611D" w:rsidRDefault="00A6742D">
      <w:pPr>
        <w:spacing w:before="200" w:after="200"/>
        <w:rPr>
          <w:rFonts w:ascii="Arial" w:eastAsia="Arial" w:hAnsi="Arial" w:cs="Arial"/>
        </w:rPr>
      </w:pPr>
      <w:r>
        <w:rPr>
          <w:rFonts w:ascii="Arial" w:eastAsia="Arial" w:hAnsi="Arial" w:cs="Arial"/>
        </w:rPr>
        <w:t>The strategic financial restructuring plan of Tesla Inc. focuses on the major problems; increasing expenses, risks associated with expansion, and challenges of capital structure. Strategies, such as equity financing, debt restructuring and asset optimisation, are proposed to enhance financial stability and flexibility. The strategy is likely to boost profitability, lessen financial risk, and promote long-term growth. Also, global and ethical concerns, as well as, risk management aspects, make it comply with</w:t>
      </w:r>
      <w:r>
        <w:rPr>
          <w:rFonts w:ascii="Arial" w:eastAsia="Arial" w:hAnsi="Arial" w:cs="Arial"/>
        </w:rPr>
        <w:t xml:space="preserve"> sustainability and regulatory standards. On the whole, the restructuring strategy puts Tesla in a position to be competitive and financially stable in the dynamic global market.</w:t>
      </w:r>
    </w:p>
    <w:p w14:paraId="7B6F2142" w14:textId="77777777" w:rsidR="0035611D" w:rsidRDefault="00A6742D">
      <w:pPr>
        <w:pStyle w:val="Heading1"/>
      </w:pPr>
      <w:bookmarkStart w:id="37" w:name="_5dcxfptnygdd" w:colFirst="0" w:colLast="0"/>
      <w:bookmarkEnd w:id="37"/>
      <w:r>
        <w:t>5. Investment Appraisal &amp; Capital Budgeting</w:t>
      </w:r>
    </w:p>
    <w:p w14:paraId="715BCD18" w14:textId="77777777" w:rsidR="0035611D" w:rsidRDefault="00A6742D">
      <w:pPr>
        <w:pStyle w:val="Heading2"/>
      </w:pPr>
      <w:bookmarkStart w:id="38" w:name="_i4zdizfrmsdp" w:colFirst="0" w:colLast="0"/>
      <w:bookmarkEnd w:id="38"/>
      <w:r>
        <w:t>5.1 Project Evaluation (A, B, C)</w:t>
      </w:r>
    </w:p>
    <w:p w14:paraId="69D8161D" w14:textId="77777777" w:rsidR="0035611D" w:rsidRDefault="00A6742D">
      <w:pPr>
        <w:pStyle w:val="Heading3"/>
      </w:pPr>
      <w:bookmarkStart w:id="39" w:name="_lnqzm2wgavsz" w:colFirst="0" w:colLast="0"/>
      <w:bookmarkEnd w:id="39"/>
      <w:r>
        <w:t>a) Payback Period (PBP)</w:t>
      </w:r>
    </w:p>
    <w:p w14:paraId="21D5553E" w14:textId="77777777" w:rsidR="0035611D" w:rsidRDefault="00A6742D">
      <w:pPr>
        <w:spacing w:before="200" w:after="200"/>
        <w:rPr>
          <w:rFonts w:ascii="Arial" w:eastAsia="Arial" w:hAnsi="Arial" w:cs="Arial"/>
          <w:b/>
          <w:bCs/>
          <w:i/>
          <w:iCs/>
        </w:rPr>
      </w:pPr>
      <w:r>
        <w:rPr>
          <w:rFonts w:ascii="Arial" w:eastAsia="Arial" w:hAnsi="Arial" w:cs="Arial"/>
        </w:rPr>
        <w:t>A payback period is used to determine the number of years it takes to cover the investment using the inflows of cash of a project. It analyzes the risk of liquidity and the rate of recovery of investments. The shorter the payback period, the better because it minimizes uncertainty and better manages cash flow, but it does not consider the time value of money (Sinaga et al., 2023). Projects B, C, and A did not pay back: none of the projects recaptured the original investment amount of 50 million pounds in fi</w:t>
      </w:r>
      <w:r>
        <w:rPr>
          <w:rFonts w:ascii="Arial" w:eastAsia="Arial" w:hAnsi="Arial" w:cs="Arial"/>
        </w:rPr>
        <w:t xml:space="preserve">ve years. This implies increased liquidity risk and a reduced rate of cash recovery. The projects all fall short of the payback criterion despite the difference in their cash inflows, thus being not so attractive in terms of cash in the short term. </w:t>
      </w:r>
      <w:r>
        <w:rPr>
          <w:rFonts w:ascii="Arial" w:eastAsia="Arial" w:hAnsi="Arial" w:cs="Arial"/>
          <w:b/>
          <w:bCs/>
          <w:i/>
          <w:iCs/>
        </w:rPr>
        <w:t>[Referred to Appendix 8, 9 and 10]</w:t>
      </w:r>
    </w:p>
    <w:p w14:paraId="1033E4EC" w14:textId="77777777" w:rsidR="0035611D" w:rsidRDefault="00A6742D">
      <w:pPr>
        <w:pStyle w:val="Heading3"/>
      </w:pPr>
      <w:bookmarkStart w:id="40" w:name="_9hu3myiigimw" w:colFirst="0" w:colLast="0"/>
      <w:bookmarkEnd w:id="40"/>
      <w:r>
        <w:t>b) Accounting Rate of Return (ARR)</w:t>
      </w:r>
    </w:p>
    <w:p w14:paraId="31E1EA75" w14:textId="77777777" w:rsidR="0035611D" w:rsidRDefault="00A6742D">
      <w:pPr>
        <w:spacing w:before="200" w:after="200"/>
        <w:rPr>
          <w:rFonts w:ascii="Arial" w:eastAsia="Arial" w:hAnsi="Arial" w:cs="Arial"/>
        </w:rPr>
      </w:pPr>
      <w:r>
        <w:rPr>
          <w:rFonts w:ascii="Arial" w:eastAsia="Arial" w:hAnsi="Arial" w:cs="Arial"/>
        </w:rPr>
        <w:t>Accounting rate of return is used to evaluate the mean annual accounting profit of a given investment as a percentage of the original investment. It considers profitability based on accounting information other than cash flows. Higher ARR is a signal of greater ROI, although it does not consider the time value of money and the time of cash flows (Huang and Tanaka, 2022). Project C has an ARR of 6%, then 2% of Project B and 1.6% of Project A. This means that Project C will have a high accounting profitabilit</w:t>
      </w:r>
      <w:r>
        <w:rPr>
          <w:rFonts w:ascii="Arial" w:eastAsia="Arial" w:hAnsi="Arial" w:cs="Arial"/>
        </w:rPr>
        <w:t xml:space="preserve">y. The outcomes reveal that Project C is more appealing in terms of average returns, and Projects A and B have relatively lower profits. </w:t>
      </w:r>
      <w:r>
        <w:rPr>
          <w:rFonts w:ascii="Arial" w:eastAsia="Arial" w:hAnsi="Arial" w:cs="Arial"/>
          <w:b/>
          <w:bCs/>
          <w:i/>
          <w:iCs/>
        </w:rPr>
        <w:t>[Referred to Appendix 8, 9 and 10]</w:t>
      </w:r>
    </w:p>
    <w:p w14:paraId="42EC513D" w14:textId="77777777" w:rsidR="0035611D" w:rsidRDefault="00A6742D">
      <w:pPr>
        <w:pStyle w:val="Heading3"/>
      </w:pPr>
      <w:bookmarkStart w:id="41" w:name="_47bu4uq722ka" w:colFirst="0" w:colLast="0"/>
      <w:bookmarkEnd w:id="41"/>
      <w:r>
        <w:t>c) Net Present Value (NPV)</w:t>
      </w:r>
    </w:p>
    <w:p w14:paraId="7EF5569D" w14:textId="77777777" w:rsidR="0035611D" w:rsidRDefault="00A6742D">
      <w:pPr>
        <w:spacing w:before="200" w:after="200"/>
        <w:rPr>
          <w:rFonts w:ascii="Arial" w:eastAsia="Arial" w:hAnsi="Arial" w:cs="Arial"/>
        </w:rPr>
      </w:pPr>
      <w:r>
        <w:rPr>
          <w:rFonts w:ascii="Arial" w:eastAsia="Arial" w:hAnsi="Arial" w:cs="Arial"/>
        </w:rPr>
        <w:t>Net present value computes the value of the difference between the present value of inflows of cash and the initial investment, taking into consideration the time value of money. When the NPV is positive, it shows that it creates value and the project is acceptable. It is a popular investment appraisal technique to maximise shareholder wealth (Shou, 2022). Project C would have the best NPV of £1.98 million, then Project B with the £8.30 million and Project A with the £8.68 million (considering a negative va</w:t>
      </w:r>
      <w:r>
        <w:rPr>
          <w:rFonts w:ascii="Arial" w:eastAsia="Arial" w:hAnsi="Arial" w:cs="Arial"/>
        </w:rPr>
        <w:t xml:space="preserve">lue). Project C shows a smaller loss and is quite favourable despite all the NPVs being negative. This implies that not all of the projects are valuable at the 10% discount rate. </w:t>
      </w:r>
      <w:r>
        <w:rPr>
          <w:rFonts w:ascii="Arial" w:eastAsia="Arial" w:hAnsi="Arial" w:cs="Arial"/>
          <w:b/>
          <w:bCs/>
          <w:i/>
          <w:iCs/>
        </w:rPr>
        <w:t>[Referred to Appendix 8, 9 and 10]</w:t>
      </w:r>
    </w:p>
    <w:p w14:paraId="2508D3DA" w14:textId="77777777" w:rsidR="0035611D" w:rsidRDefault="00A6742D">
      <w:pPr>
        <w:pStyle w:val="Heading3"/>
      </w:pPr>
      <w:bookmarkStart w:id="42" w:name="_qqpij6riwo2m" w:colFirst="0" w:colLast="0"/>
      <w:bookmarkEnd w:id="42"/>
      <w:r>
        <w:t>d) Profitability Index (PI)</w:t>
      </w:r>
    </w:p>
    <w:p w14:paraId="5EB40D9D" w14:textId="77777777" w:rsidR="0035611D" w:rsidRDefault="00A6742D">
      <w:pPr>
        <w:spacing w:before="200" w:after="200"/>
        <w:rPr>
          <w:rFonts w:ascii="Arial" w:eastAsia="Arial" w:hAnsi="Arial" w:cs="Arial"/>
        </w:rPr>
      </w:pPr>
      <w:r>
        <w:rPr>
          <w:rFonts w:ascii="Arial" w:eastAsia="Arial" w:hAnsi="Arial" w:cs="Arial"/>
        </w:rPr>
        <w:t xml:space="preserve">Profitability index is used to quantify or measure the value generated concerning investment per unit of investment, dividing the present value of inflows by the initial investment. A PI above one indicates a good project. It has found application in the capital rationing process where scarce resources are to be resourcefully allocated (Al-Ali and Al-Shabeeb, 2024). The profitability index of Project A and Project B is both 1.17, whilst that of Project C is 1.04. Projects A and B have high returns per unit </w:t>
      </w:r>
      <w:r>
        <w:rPr>
          <w:rFonts w:ascii="Arial" w:eastAsia="Arial" w:hAnsi="Arial" w:cs="Arial"/>
        </w:rPr>
        <w:t xml:space="preserve">of investment, though they all exceed one, which shows their acceptability. Nevertheless, the variation is minimal, implying a similar efficiency in projects in constrained investment conditions. </w:t>
      </w:r>
      <w:r>
        <w:rPr>
          <w:rFonts w:ascii="Arial" w:eastAsia="Arial" w:hAnsi="Arial" w:cs="Arial"/>
          <w:b/>
          <w:bCs/>
          <w:i/>
          <w:iCs/>
        </w:rPr>
        <w:t>[Referred to Appendix 8, 9 and 10]</w:t>
      </w:r>
    </w:p>
    <w:p w14:paraId="3C7B1B73" w14:textId="77777777" w:rsidR="0035611D" w:rsidRDefault="00A6742D">
      <w:pPr>
        <w:pStyle w:val="Heading3"/>
      </w:pPr>
      <w:bookmarkStart w:id="43" w:name="_oxq6i373t2rb" w:colFirst="0" w:colLast="0"/>
      <w:bookmarkEnd w:id="43"/>
      <w:r>
        <w:t>e) Internal Rate of Return (IRR)</w:t>
      </w:r>
    </w:p>
    <w:p w14:paraId="59D8D554" w14:textId="77777777" w:rsidR="0035611D" w:rsidRDefault="00A6742D">
      <w:pPr>
        <w:spacing w:before="200" w:after="200"/>
        <w:rPr>
          <w:rFonts w:ascii="Arial" w:eastAsia="Arial" w:hAnsi="Arial" w:cs="Arial"/>
        </w:rPr>
      </w:pPr>
      <w:r>
        <w:rPr>
          <w:rFonts w:ascii="Arial" w:eastAsia="Arial" w:hAnsi="Arial" w:cs="Arial"/>
        </w:rPr>
        <w:t xml:space="preserve">The internal rate of return refers to the discount rate at which the net present value of a project is equal to zero. It applies to the anticipated rate of return on the project (Pranoto et al., 2025). It is an important decision-making tool because projects whose IRR exceeds the required rate of return are accepted. Project C has the largest IRR of 8.59%, then Project B with an IRR of 3.26%, and lastly Project A with an IRR of 2.72%. None of the projects is financially viable since all the IRRs fall short </w:t>
      </w:r>
      <w:r>
        <w:rPr>
          <w:rFonts w:ascii="Arial" w:eastAsia="Arial" w:hAnsi="Arial" w:cs="Arial"/>
        </w:rPr>
        <w:t xml:space="preserve">of the target discount rate of 10%. Nonetheless, Project C is the most desirable choice since it has a relatively higher yield. </w:t>
      </w:r>
      <w:r>
        <w:rPr>
          <w:rFonts w:ascii="Arial" w:eastAsia="Arial" w:hAnsi="Arial" w:cs="Arial"/>
          <w:b/>
          <w:bCs/>
          <w:i/>
          <w:iCs/>
        </w:rPr>
        <w:t>[Referred to Appendix 8, 9 and 10]</w:t>
      </w:r>
    </w:p>
    <w:p w14:paraId="6E7CED73" w14:textId="77777777" w:rsidR="0035611D" w:rsidRDefault="00A6742D">
      <w:pPr>
        <w:pStyle w:val="Heading2"/>
      </w:pPr>
      <w:bookmarkStart w:id="44" w:name="_9zmowvda2s84" w:colFirst="0" w:colLast="0"/>
      <w:bookmarkEnd w:id="44"/>
      <w:r>
        <w:t>5.2 Project Comparison</w:t>
      </w:r>
    </w:p>
    <w:p w14:paraId="49AE513C" w14:textId="77777777" w:rsidR="0035611D" w:rsidRDefault="00A6742D">
      <w:pPr>
        <w:pStyle w:val="Heading3"/>
      </w:pPr>
      <w:bookmarkStart w:id="45" w:name="_lidpgvfll37n" w:colFirst="0" w:colLast="0"/>
      <w:bookmarkEnd w:id="45"/>
      <w:r>
        <w:t>a) Financial Comparison of Results</w:t>
      </w:r>
    </w:p>
    <w:p w14:paraId="3F6F3966" w14:textId="77777777" w:rsidR="0035611D" w:rsidRDefault="00A6742D">
      <w:pPr>
        <w:spacing w:before="200" w:after="200"/>
        <w:rPr>
          <w:rFonts w:ascii="Arial" w:eastAsia="Arial" w:hAnsi="Arial" w:cs="Arial"/>
        </w:rPr>
      </w:pPr>
      <w:r>
        <w:rPr>
          <w:rFonts w:ascii="Arial" w:eastAsia="Arial" w:hAnsi="Arial" w:cs="Arial"/>
        </w:rPr>
        <w:t>The financial comparison of Projects A, B, and C demonstrates different performance under the investment appraisal techniques. Project C shows the best returns in terms of profitability with an ARR of 6% and an IRR of 8.59%. But Project A and Project B yield higher NPVs of £8.68 million and £8.30 million respectively, rather than 1.98 million in Project C, which is a strong indication of value creation. Also, the profitability index value of Project A and Project B (1.17) is greater than that of Project C (</w:t>
      </w:r>
      <w:r>
        <w:rPr>
          <w:rFonts w:ascii="Arial" w:eastAsia="Arial" w:hAnsi="Arial" w:cs="Arial"/>
        </w:rPr>
        <w:t>1.04), indicating a more optimal use of the investment. Projects A and B are better in their overall contribution to finances, though neither of the projects is at the 10% required rate of return.</w:t>
      </w:r>
    </w:p>
    <w:p w14:paraId="28F9C64A" w14:textId="77777777" w:rsidR="0035611D" w:rsidRDefault="00A6742D">
      <w:pPr>
        <w:pStyle w:val="Heading3"/>
      </w:pPr>
      <w:bookmarkStart w:id="46" w:name="_w2u3okbd2da" w:colFirst="0" w:colLast="0"/>
      <w:bookmarkEnd w:id="46"/>
      <w:r>
        <w:t>b) Risk Analysis</w:t>
      </w:r>
    </w:p>
    <w:p w14:paraId="1138BC42" w14:textId="77777777" w:rsidR="0035611D" w:rsidRDefault="00A6742D">
      <w:pPr>
        <w:spacing w:before="200" w:after="200"/>
        <w:rPr>
          <w:rFonts w:ascii="Arial" w:eastAsia="Arial" w:hAnsi="Arial" w:cs="Arial"/>
        </w:rPr>
      </w:pPr>
      <w:r>
        <w:rPr>
          <w:rFonts w:ascii="Arial" w:eastAsia="Arial" w:hAnsi="Arial" w:cs="Arial"/>
        </w:rPr>
        <w:t>The project C comes with a greater risk given inconsistent and varying cash inflows and growing uncertainty in returns. Project B provides predictable and constant cash flows, thereby minimizing the risk to finance, increasing predictability. Project A involves average risk and inflows that are variable inflows. There is a trade-off between financial and operational risk given the failing profitability and competitive advantage of Tesla, and it is wise to opt for stable cash flows on the project (Huang, 202</w:t>
      </w:r>
      <w:r>
        <w:rPr>
          <w:rFonts w:ascii="Arial" w:eastAsia="Arial" w:hAnsi="Arial" w:cs="Arial"/>
        </w:rPr>
        <w:t>3).</w:t>
      </w:r>
    </w:p>
    <w:p w14:paraId="489AEC5E" w14:textId="77777777" w:rsidR="0035611D" w:rsidRDefault="00A6742D">
      <w:pPr>
        <w:pStyle w:val="Heading2"/>
      </w:pPr>
      <w:bookmarkStart w:id="47" w:name="_bvqm8hxmi2zu" w:colFirst="0" w:colLast="0"/>
      <w:bookmarkEnd w:id="47"/>
      <w:r>
        <w:t>5.3 Recommendation of Best Project</w:t>
      </w:r>
    </w:p>
    <w:p w14:paraId="7A6ABB6B" w14:textId="77777777" w:rsidR="0035611D" w:rsidRDefault="00A6742D">
      <w:pPr>
        <w:spacing w:before="200" w:after="200"/>
        <w:rPr>
          <w:rFonts w:ascii="Arial" w:eastAsia="Arial" w:hAnsi="Arial" w:cs="Arial"/>
        </w:rPr>
      </w:pPr>
      <w:r>
        <w:rPr>
          <w:rFonts w:ascii="Arial" w:eastAsia="Arial" w:hAnsi="Arial" w:cs="Arial"/>
        </w:rPr>
        <w:t>Project C can be selected as the most suitable investment even though all projects have IRRs which are lower than the required discount rate of 10%. Project C has also shown high ARR (6%), IRR (8.59%), which implies that it is more profitable than the other two projects (Project A and B). It has also shown a low negative NPV (£1.98m), which implies that the value loss is not as immense. Financial performance-wise, Tesla has experienced a decreasing profitability and a rising cost pressure in 2024, and it is</w:t>
      </w:r>
      <w:r>
        <w:rPr>
          <w:rFonts w:ascii="Arial" w:eastAsia="Arial" w:hAnsi="Arial" w:cs="Arial"/>
        </w:rPr>
        <w:t xml:space="preserve"> critical to choose a project with higher return prospects (De Almeida, 2024). The increased returns of project C would better suit the interests of Tesla, which would need to increase its margin and efficiency. Non-financially, the increment of Project C variable-cash inflows could increase growth opportunities and innovation potential, customer loyalty and competitive positioning. Despite the presence of the additional risk, Tesla has a very robust liquidity position and a better capital structure, which </w:t>
      </w:r>
      <w:r>
        <w:rPr>
          <w:rFonts w:ascii="Arial" w:eastAsia="Arial" w:hAnsi="Arial" w:cs="Arial"/>
        </w:rPr>
        <w:t>can absorb the risk, and thus, Project C is the most strategic among the options.</w:t>
      </w:r>
    </w:p>
    <w:p w14:paraId="6BA4FFF0" w14:textId="77777777" w:rsidR="0035611D" w:rsidRDefault="00A6742D">
      <w:pPr>
        <w:pStyle w:val="Heading2"/>
      </w:pPr>
      <w:bookmarkStart w:id="48" w:name="_gmqjcj31wtuc" w:colFirst="0" w:colLast="0"/>
      <w:bookmarkEnd w:id="48"/>
      <w:r>
        <w:t>5.4 Capital Rationing Decision</w:t>
      </w:r>
    </w:p>
    <w:p w14:paraId="33FB94FF" w14:textId="77777777" w:rsidR="0035611D" w:rsidRDefault="00A6742D">
      <w:pPr>
        <w:spacing w:before="200" w:after="200"/>
        <w:rPr>
          <w:rFonts w:ascii="Arial" w:eastAsia="Arial" w:hAnsi="Arial" w:cs="Arial"/>
        </w:rPr>
      </w:pPr>
      <w:r>
        <w:rPr>
          <w:rFonts w:ascii="Arial" w:eastAsia="Arial" w:hAnsi="Arial" w:cs="Arial"/>
        </w:rPr>
        <w:t>Tesla can invest in a restriction of two projects under capital rationing, with the limitation of £100m since each project will be an investment of £50m. The choice must be determined based on the maximum total Net Present Value (NPV) and returns in general. Project A and Project B give an NPV of £8.68M and £8.30M, respectively, and Project C gives £1.98M. Hence, Project A and Project B give the best combination of NPV of £16.98m, which is a lot more superior compared to any other combination.</w:t>
      </w:r>
    </w:p>
    <w:p w14:paraId="558FC963" w14:textId="77777777" w:rsidR="0035611D" w:rsidRDefault="00A6742D">
      <w:pPr>
        <w:spacing w:before="200" w:after="200"/>
        <w:rPr>
          <w:rFonts w:ascii="Arial" w:eastAsia="Arial" w:hAnsi="Arial" w:cs="Arial"/>
        </w:rPr>
      </w:pPr>
      <w:r>
        <w:rPr>
          <w:rFonts w:ascii="Arial" w:eastAsia="Arial" w:hAnsi="Arial" w:cs="Arial"/>
        </w:rPr>
        <w:t>Project C has the highest ARR and IRR, but with a lower NPV, it has poor value creation in comparison with Projects A and B. In the financial aspect, Tesla ought to work on initiatives that will yield maximum shareholder wealth, thus NPV is the best criterion. Also, Projects A and B offer smoother and more predictable cash flow, minimizing financial risk and benefiting liquidity management. The strategically selected Projects A and B are associated with the fact that Tesla needs stabilized returns amidst in</w:t>
      </w:r>
      <w:r>
        <w:rPr>
          <w:rFonts w:ascii="Arial" w:eastAsia="Arial" w:hAnsi="Arial" w:cs="Arial"/>
        </w:rPr>
        <w:t>creasing competition and price pressures. The combination minimises risk whilst maximising value and thus is the most effective means by which to deploy limited amounts of capital in a capital rationing environment.</w:t>
      </w:r>
    </w:p>
    <w:p w14:paraId="082DB123" w14:textId="77777777" w:rsidR="0035611D" w:rsidRDefault="00A6742D">
      <w:pPr>
        <w:pStyle w:val="Heading2"/>
      </w:pPr>
      <w:bookmarkStart w:id="49" w:name="_sjm6yxyql72h" w:colFirst="0" w:colLast="0"/>
      <w:bookmarkEnd w:id="49"/>
      <w:r>
        <w:t>5.6 Summary</w:t>
      </w:r>
    </w:p>
    <w:p w14:paraId="5BF13AD8" w14:textId="77777777" w:rsidR="0035611D" w:rsidRDefault="00A6742D">
      <w:pPr>
        <w:spacing w:before="200" w:after="200"/>
        <w:rPr>
          <w:rFonts w:ascii="Arial" w:eastAsia="Arial" w:hAnsi="Arial" w:cs="Arial"/>
        </w:rPr>
      </w:pPr>
      <w:r>
        <w:rPr>
          <w:rFonts w:ascii="Arial" w:eastAsia="Arial" w:hAnsi="Arial" w:cs="Arial"/>
        </w:rPr>
        <w:t xml:space="preserve">Projects A, B and C are compared based on the main techniques of PBP, ARR, NPV, PI and IRR when the investment appraisal analysis of Tesla Inc. is provided. All the projects have 10% returns that are not satisfactory, and each has constraints in both payback and value creation. Project C has the best ARR and IRR, which means that it is more profitable but involves a greater risk. Nevertheless, the combined NPV of Projects A and B is more beneficial and stable in cash flows. In capital rationing, Projects A </w:t>
      </w:r>
      <w:r>
        <w:rPr>
          <w:rFonts w:ascii="Arial" w:eastAsia="Arial" w:hAnsi="Arial" w:cs="Arial"/>
        </w:rPr>
        <w:t>and B should be chosen, which still maximises shareholder value, and minimises financial risk and more predictable returns.</w:t>
      </w:r>
    </w:p>
    <w:p w14:paraId="506B53F9" w14:textId="77777777" w:rsidR="0035611D" w:rsidRDefault="00A6742D">
      <w:pPr>
        <w:pStyle w:val="Heading1"/>
      </w:pPr>
      <w:bookmarkStart w:id="50" w:name="_j0pkrqbfper6" w:colFirst="0" w:colLast="0"/>
      <w:bookmarkEnd w:id="50"/>
      <w:r>
        <w:t>6. Conclusion</w:t>
      </w:r>
    </w:p>
    <w:p w14:paraId="408159B0" w14:textId="77777777" w:rsidR="0035611D" w:rsidRDefault="00A6742D">
      <w:pPr>
        <w:pStyle w:val="Heading2"/>
      </w:pPr>
      <w:bookmarkStart w:id="51" w:name="_xbjqi98xv1ph" w:colFirst="0" w:colLast="0"/>
      <w:bookmarkEnd w:id="51"/>
      <w:r>
        <w:t>6.1 Summary of Key Findings</w:t>
      </w:r>
    </w:p>
    <w:p w14:paraId="3D5A93CC" w14:textId="77777777" w:rsidR="0035611D" w:rsidRDefault="00A6742D">
      <w:pPr>
        <w:spacing w:before="200" w:after="200"/>
        <w:rPr>
          <w:rFonts w:ascii="Arial" w:eastAsia="Arial" w:hAnsi="Arial" w:cs="Arial"/>
        </w:rPr>
      </w:pPr>
      <w:r>
        <w:rPr>
          <w:rFonts w:ascii="Arial" w:eastAsia="Arial" w:hAnsi="Arial" w:cs="Arial"/>
        </w:rPr>
        <w:t>In the analysis, Tesla has experienced high growth in revenue, assets, and equity and this is a sign that Tesla has grown and dominated the market within the past five years. In 2024, profitability declined, which is an indication of cost and competition issues. The liquidity was boosted overall, and the working capital efficiency decreased slightly. The findings of the investment appraisal show that the profitability of Project C is relatively higher and thus pass the 10% required of the undertaking as com</w:t>
      </w:r>
      <w:r>
        <w:rPr>
          <w:rFonts w:ascii="Arial" w:eastAsia="Arial" w:hAnsi="Arial" w:cs="Arial"/>
        </w:rPr>
        <w:t>pared to both Projects A and B which have higher value creation as indicated by NPV.</w:t>
      </w:r>
    </w:p>
    <w:p w14:paraId="56E4D14D" w14:textId="77777777" w:rsidR="0035611D" w:rsidRDefault="00A6742D">
      <w:pPr>
        <w:pStyle w:val="Heading2"/>
      </w:pPr>
      <w:bookmarkStart w:id="52" w:name="_c7xuvnrjgw0u" w:colFirst="0" w:colLast="0"/>
      <w:bookmarkEnd w:id="52"/>
      <w:r>
        <w:t>6.2 Final Strategic Recommendations</w:t>
      </w:r>
    </w:p>
    <w:p w14:paraId="233E48CC" w14:textId="77777777" w:rsidR="0035611D" w:rsidRDefault="00A6742D">
      <w:pPr>
        <w:spacing w:before="200" w:after="200"/>
        <w:rPr>
          <w:rFonts w:ascii="Arial" w:eastAsia="Arial" w:hAnsi="Arial" w:cs="Arial"/>
        </w:rPr>
      </w:pPr>
      <w:r>
        <w:rPr>
          <w:rFonts w:ascii="Arial" w:eastAsia="Arial" w:hAnsi="Arial" w:cs="Arial"/>
        </w:rPr>
        <w:t>Tesla needs to concentrate on enhancing profitability and performance through cost containment and effective price discipline. An increase in liquidity will be achieved through the improvement of working capital management, especially the inventory and cash conversion cycle (Sogomi et al., 2024). Investment-wise, Project C can be preferred because it gives better returns, whereas Projects A and B should be an option due to their better NPVs under capital rationing. Tesla must consider a moderate approach to</w:t>
      </w:r>
      <w:r>
        <w:rPr>
          <w:rFonts w:ascii="Arial" w:eastAsia="Arial" w:hAnsi="Arial" w:cs="Arial"/>
        </w:rPr>
        <w:t xml:space="preserve"> financing, which involves equity and low-cost debt, in order to finance the expansion and reduce the financial risk. Also, the financial metric is to be considered by the investment decisions, along with the strategic appeal for future development. The focus on innovation, cost-efficiency, and global diversification will help Tesla to be competitive and attain sustainable financial results in the fast-changing electric vehicle market.</w:t>
      </w:r>
    </w:p>
    <w:p w14:paraId="277B7B13" w14:textId="77777777" w:rsidR="0035611D" w:rsidRDefault="00A6742D">
      <w:pPr>
        <w:pStyle w:val="Heading2"/>
      </w:pPr>
      <w:bookmarkStart w:id="53" w:name="_pd8tjpn79uz7" w:colFirst="0" w:colLast="0"/>
      <w:bookmarkEnd w:id="53"/>
      <w:r>
        <w:t xml:space="preserve">6.3 CFO Perspective </w:t>
      </w:r>
    </w:p>
    <w:p w14:paraId="472D4DE3" w14:textId="77777777" w:rsidR="0035611D" w:rsidRDefault="00A6742D">
      <w:pPr>
        <w:spacing w:before="200" w:after="200"/>
      </w:pPr>
      <w:r>
        <w:rPr>
          <w:rFonts w:ascii="Arial" w:eastAsia="Arial" w:hAnsi="Arial" w:cs="Arial"/>
        </w:rPr>
        <w:t>As a Chief Financial Officer, it is crucial to have a good balance between growth and financial stability. Tesla needs to focus more on investments that are most likely to give high value to the shareholders and face financial risks effectively. This is dependent on strategic capital deployment, a better approach to liquidity management, and a keen assessment of investment prospects (Li, 2024). CFO must aim at improving profitability and retaining a consistent capital structure, as well as ensuring long-ter</w:t>
      </w:r>
      <w:r>
        <w:rPr>
          <w:rFonts w:ascii="Arial" w:eastAsia="Arial" w:hAnsi="Arial" w:cs="Arial"/>
        </w:rPr>
        <w:t>m sustainability with strong financial planning and strategic decision-making.</w:t>
      </w:r>
    </w:p>
    <w:p w14:paraId="3011C9F8" w14:textId="77777777" w:rsidR="0035611D" w:rsidRDefault="00A6742D">
      <w:pPr>
        <w:rPr>
          <w:rFonts w:ascii="Arial" w:eastAsia="Arial" w:hAnsi="Arial" w:cs="Arial"/>
          <w:b/>
          <w:bCs/>
          <w:sz w:val="28"/>
          <w:szCs w:val="28"/>
        </w:rPr>
      </w:pPr>
      <w:bookmarkStart w:id="54" w:name="_6dullpicsf5t" w:colFirst="0" w:colLast="0"/>
      <w:bookmarkEnd w:id="54"/>
      <w:r>
        <w:br w:type="page"/>
      </w:r>
    </w:p>
    <w:p w14:paraId="357DF407" w14:textId="77777777" w:rsidR="0035611D" w:rsidRDefault="00A6742D">
      <w:pPr>
        <w:pStyle w:val="Heading1"/>
      </w:pPr>
      <w:bookmarkStart w:id="55" w:name="_jm8ehbjgibzy" w:colFirst="0" w:colLast="0"/>
      <w:bookmarkEnd w:id="55"/>
      <w:r>
        <w:t>7. References</w:t>
      </w:r>
    </w:p>
    <w:p w14:paraId="3C078E94" w14:textId="77777777" w:rsidR="0035611D" w:rsidRDefault="00A6742D">
      <w:pPr>
        <w:rPr>
          <w:rFonts w:ascii="Arial" w:eastAsia="Arial" w:hAnsi="Arial" w:cs="Arial"/>
        </w:rPr>
      </w:pPr>
      <w:r>
        <w:rPr>
          <w:rFonts w:ascii="Arial" w:eastAsia="Arial" w:hAnsi="Arial" w:cs="Arial"/>
        </w:rPr>
        <w:t xml:space="preserve">Al-Ali, A.H.H. and Al-Shabeeb, S.K.I., 2024. Relationship between profitability indicators and maximization market value added and intrinsic for the industrial companies. </w:t>
      </w:r>
      <w:r>
        <w:rPr>
          <w:rFonts w:ascii="Arial" w:eastAsia="Arial" w:hAnsi="Arial" w:cs="Arial"/>
          <w:i/>
          <w:iCs/>
        </w:rPr>
        <w:t>Global Business &amp; Finance Review (GBFR)</w:t>
      </w:r>
      <w:r>
        <w:rPr>
          <w:rFonts w:ascii="Arial" w:eastAsia="Arial" w:hAnsi="Arial" w:cs="Arial"/>
        </w:rPr>
        <w:t xml:space="preserve">, </w:t>
      </w:r>
      <w:r>
        <w:rPr>
          <w:rFonts w:ascii="Arial" w:eastAsia="Arial" w:hAnsi="Arial" w:cs="Arial"/>
          <w:i/>
          <w:iCs/>
        </w:rPr>
        <w:t>29</w:t>
      </w:r>
      <w:r>
        <w:rPr>
          <w:rFonts w:ascii="Arial" w:eastAsia="Arial" w:hAnsi="Arial" w:cs="Arial"/>
        </w:rPr>
        <w:t xml:space="preserve">(2), pp.71-84. </w:t>
      </w:r>
      <w:hyperlink r:id="rId7">
        <w:r>
          <w:rPr>
            <w:rFonts w:ascii="Arial" w:eastAsia="Arial" w:hAnsi="Arial" w:cs="Arial"/>
            <w:color w:val="1155CC"/>
            <w:u w:val="single"/>
          </w:rPr>
          <w:t>https://www.econstor.eu/bitstream/10419/305960/1/id596.pdf</w:t>
        </w:r>
      </w:hyperlink>
      <w:r>
        <w:rPr>
          <w:rFonts w:ascii="Arial" w:eastAsia="Arial" w:hAnsi="Arial" w:cs="Arial"/>
        </w:rPr>
        <w:t xml:space="preserve"> </w:t>
      </w:r>
    </w:p>
    <w:p w14:paraId="08F59C09" w14:textId="77777777" w:rsidR="0035611D" w:rsidRDefault="00A6742D">
      <w:pPr>
        <w:rPr>
          <w:rFonts w:ascii="Arial" w:eastAsia="Arial" w:hAnsi="Arial" w:cs="Arial"/>
        </w:rPr>
      </w:pPr>
      <w:r>
        <w:rPr>
          <w:rFonts w:ascii="Arial" w:eastAsia="Arial" w:hAnsi="Arial" w:cs="Arial"/>
        </w:rPr>
        <w:t xml:space="preserve">Asman, F.N., Fernandez, D., Jamaludin, N.A., Omar Zaki, H. and Ghazali, A.W., 2022. Cash conversion cycle and firm’s performance. </w:t>
      </w:r>
      <w:r>
        <w:rPr>
          <w:rFonts w:ascii="Arial" w:eastAsia="Arial" w:hAnsi="Arial" w:cs="Arial"/>
          <w:i/>
          <w:iCs/>
        </w:rPr>
        <w:t>International Journal of Academic Research in Business and Social Sciences</w:t>
      </w:r>
      <w:r>
        <w:rPr>
          <w:rFonts w:ascii="Arial" w:eastAsia="Arial" w:hAnsi="Arial" w:cs="Arial"/>
        </w:rPr>
        <w:t xml:space="preserve">, </w:t>
      </w:r>
      <w:r>
        <w:rPr>
          <w:rFonts w:ascii="Arial" w:eastAsia="Arial" w:hAnsi="Arial" w:cs="Arial"/>
          <w:i/>
          <w:iCs/>
        </w:rPr>
        <w:t>12</w:t>
      </w:r>
      <w:r>
        <w:rPr>
          <w:rFonts w:ascii="Arial" w:eastAsia="Arial" w:hAnsi="Arial" w:cs="Arial"/>
        </w:rPr>
        <w:t xml:space="preserve">(11), pp.2682-2692. </w:t>
      </w:r>
      <w:hyperlink r:id="rId8">
        <w:r>
          <w:rPr>
            <w:rFonts w:ascii="Arial" w:eastAsia="Arial" w:hAnsi="Arial" w:cs="Arial"/>
            <w:color w:val="1155CC"/>
            <w:u w:val="single"/>
          </w:rPr>
          <w:t>https://www.academia.edu/download/106769993/cash-conversion-cycle-and-firms-performance.pdf</w:t>
        </w:r>
      </w:hyperlink>
      <w:r>
        <w:rPr>
          <w:rFonts w:ascii="Arial" w:eastAsia="Arial" w:hAnsi="Arial" w:cs="Arial"/>
        </w:rPr>
        <w:t xml:space="preserve"> </w:t>
      </w:r>
    </w:p>
    <w:p w14:paraId="516FB7B2" w14:textId="77777777" w:rsidR="0035611D" w:rsidRDefault="00A6742D">
      <w:pPr>
        <w:rPr>
          <w:rFonts w:ascii="Arial" w:eastAsia="Arial" w:hAnsi="Arial" w:cs="Arial"/>
        </w:rPr>
      </w:pPr>
      <w:r>
        <w:rPr>
          <w:rFonts w:ascii="Arial" w:eastAsia="Arial" w:hAnsi="Arial" w:cs="Arial"/>
        </w:rPr>
        <w:t xml:space="preserve">Barnabas, B. and Oloyede, J., 2024. Cash flow optimization: Strategies for enhancing short-term liquidity. </w:t>
      </w:r>
      <w:r>
        <w:rPr>
          <w:rFonts w:ascii="Arial" w:eastAsia="Arial" w:hAnsi="Arial" w:cs="Arial"/>
          <w:i/>
          <w:iCs/>
        </w:rPr>
        <w:t>Available at SSRN 5004465</w:t>
      </w:r>
      <w:r>
        <w:rPr>
          <w:rFonts w:ascii="Arial" w:eastAsia="Arial" w:hAnsi="Arial" w:cs="Arial"/>
        </w:rPr>
        <w:t xml:space="preserve">. </w:t>
      </w:r>
      <w:hyperlink r:id="rId9">
        <w:r>
          <w:rPr>
            <w:rFonts w:ascii="Arial" w:eastAsia="Arial" w:hAnsi="Arial" w:cs="Arial"/>
            <w:color w:val="1155CC"/>
            <w:u w:val="single"/>
          </w:rPr>
          <w:t>https://papers.ssrn.com/sol3/Delivery.cfm?abstractid=5004465</w:t>
        </w:r>
      </w:hyperlink>
      <w:r>
        <w:rPr>
          <w:rFonts w:ascii="Arial" w:eastAsia="Arial" w:hAnsi="Arial" w:cs="Arial"/>
        </w:rPr>
        <w:t xml:space="preserve"> </w:t>
      </w:r>
    </w:p>
    <w:p w14:paraId="45E70ADE" w14:textId="77777777" w:rsidR="0035611D" w:rsidRDefault="00A6742D">
      <w:pPr>
        <w:rPr>
          <w:rFonts w:ascii="Arial" w:eastAsia="Arial" w:hAnsi="Arial" w:cs="Arial"/>
        </w:rPr>
      </w:pPr>
      <w:r>
        <w:rPr>
          <w:rFonts w:ascii="Arial" w:eastAsia="Arial" w:hAnsi="Arial" w:cs="Arial"/>
        </w:rPr>
        <w:t xml:space="preserve">Blessing, H. and Sakouvogui, G., 2023. Impact of liquidity and solvency ratios on financial performance: a comprehensive analysis. </w:t>
      </w:r>
      <w:r>
        <w:rPr>
          <w:rFonts w:ascii="Arial" w:eastAsia="Arial" w:hAnsi="Arial" w:cs="Arial"/>
          <w:i/>
          <w:iCs/>
        </w:rPr>
        <w:t>Indonesia Auditing Research Journal</w:t>
      </w:r>
      <w:r>
        <w:rPr>
          <w:rFonts w:ascii="Arial" w:eastAsia="Arial" w:hAnsi="Arial" w:cs="Arial"/>
        </w:rPr>
        <w:t xml:space="preserve">, </w:t>
      </w:r>
      <w:r>
        <w:rPr>
          <w:rFonts w:ascii="Arial" w:eastAsia="Arial" w:hAnsi="Arial" w:cs="Arial"/>
          <w:i/>
          <w:iCs/>
        </w:rPr>
        <w:t>12</w:t>
      </w:r>
      <w:r>
        <w:rPr>
          <w:rFonts w:ascii="Arial" w:eastAsia="Arial" w:hAnsi="Arial" w:cs="Arial"/>
        </w:rPr>
        <w:t xml:space="preserve">(3), pp.102-115. </w:t>
      </w:r>
      <w:hyperlink r:id="rId10">
        <w:r>
          <w:rPr>
            <w:rFonts w:ascii="Arial" w:eastAsia="Arial" w:hAnsi="Arial" w:cs="Arial"/>
            <w:color w:val="1155CC"/>
            <w:u w:val="single"/>
          </w:rPr>
          <w:t>http://journals.iarn.or.id/index.php/ARJ/article/download/208/141</w:t>
        </w:r>
      </w:hyperlink>
      <w:r>
        <w:rPr>
          <w:rFonts w:ascii="Arial" w:eastAsia="Arial" w:hAnsi="Arial" w:cs="Arial"/>
        </w:rPr>
        <w:t xml:space="preserve"> </w:t>
      </w:r>
    </w:p>
    <w:p w14:paraId="4B98D35E" w14:textId="77777777" w:rsidR="0035611D" w:rsidRDefault="00A6742D">
      <w:pPr>
        <w:rPr>
          <w:rFonts w:ascii="Arial" w:eastAsia="Arial" w:hAnsi="Arial" w:cs="Arial"/>
        </w:rPr>
      </w:pPr>
      <w:r>
        <w:rPr>
          <w:rFonts w:ascii="Arial" w:eastAsia="Arial" w:hAnsi="Arial" w:cs="Arial"/>
        </w:rPr>
        <w:t xml:space="preserve">Cao, X., 2025, August. A Comparative Analysis of Financial Performance of Tesla and BYD Based on Financial Statements Ratios. In </w:t>
      </w:r>
      <w:r>
        <w:rPr>
          <w:rFonts w:ascii="Arial" w:eastAsia="Arial" w:hAnsi="Arial" w:cs="Arial"/>
          <w:i/>
          <w:iCs/>
        </w:rPr>
        <w:t>2025 5th International Conference on Enterprise Management and Economic Development (ICEMED 2025)</w:t>
      </w:r>
      <w:r>
        <w:rPr>
          <w:rFonts w:ascii="Arial" w:eastAsia="Arial" w:hAnsi="Arial" w:cs="Arial"/>
        </w:rPr>
        <w:t xml:space="preserve"> (pp. 544-559). Atlantis Press. </w:t>
      </w:r>
      <w:hyperlink r:id="rId11">
        <w:r>
          <w:rPr>
            <w:rFonts w:ascii="Arial" w:eastAsia="Arial" w:hAnsi="Arial" w:cs="Arial"/>
            <w:color w:val="1155CC"/>
            <w:u w:val="single"/>
          </w:rPr>
          <w:t>https://www.atlantis-press.com/article/126014981.pdf</w:t>
        </w:r>
      </w:hyperlink>
      <w:r>
        <w:rPr>
          <w:rFonts w:ascii="Arial" w:eastAsia="Arial" w:hAnsi="Arial" w:cs="Arial"/>
        </w:rPr>
        <w:t xml:space="preserve"> </w:t>
      </w:r>
    </w:p>
    <w:p w14:paraId="40F1AC7E" w14:textId="77777777" w:rsidR="0035611D" w:rsidRDefault="00A6742D">
      <w:pPr>
        <w:rPr>
          <w:rFonts w:ascii="Arial" w:eastAsia="Arial" w:hAnsi="Arial" w:cs="Arial"/>
        </w:rPr>
      </w:pPr>
      <w:r>
        <w:rPr>
          <w:rFonts w:ascii="Arial" w:eastAsia="Arial" w:hAnsi="Arial" w:cs="Arial"/>
        </w:rPr>
        <w:t xml:space="preserve">De Almeida, J.B.T., 2024. </w:t>
      </w:r>
      <w:r>
        <w:rPr>
          <w:rFonts w:ascii="Arial" w:eastAsia="Arial" w:hAnsi="Arial" w:cs="Arial"/>
          <w:i/>
          <w:iCs/>
        </w:rPr>
        <w:t>Unraveling the Tesla phenomenon: A comprehensive analysis of stock valuation and discrepancy between price and value factors</w:t>
      </w:r>
      <w:r>
        <w:rPr>
          <w:rFonts w:ascii="Arial" w:eastAsia="Arial" w:hAnsi="Arial" w:cs="Arial"/>
        </w:rPr>
        <w:t xml:space="preserve"> (Master's thesis, ISCTE-Instituto Universitario de Lisboa (Portugal)). </w:t>
      </w:r>
      <w:hyperlink r:id="rId12">
        <w:r>
          <w:rPr>
            <w:rFonts w:ascii="Arial" w:eastAsia="Arial" w:hAnsi="Arial" w:cs="Arial"/>
            <w:color w:val="1155CC"/>
            <w:u w:val="single"/>
          </w:rPr>
          <w:t>https://search.proquest.com/openview/d14f2c634ea17c5724049e371b9bf5b1/1?pq-origsite=gscholar&amp;cbl=2026366&amp;diss=y</w:t>
        </w:r>
      </w:hyperlink>
      <w:r>
        <w:rPr>
          <w:rFonts w:ascii="Arial" w:eastAsia="Arial" w:hAnsi="Arial" w:cs="Arial"/>
        </w:rPr>
        <w:t xml:space="preserve"> </w:t>
      </w:r>
    </w:p>
    <w:p w14:paraId="12733478" w14:textId="77777777" w:rsidR="0035611D" w:rsidRDefault="00A6742D">
      <w:pPr>
        <w:rPr>
          <w:rFonts w:ascii="Arial" w:eastAsia="Arial" w:hAnsi="Arial" w:cs="Arial"/>
        </w:rPr>
      </w:pPr>
      <w:r>
        <w:rPr>
          <w:rFonts w:ascii="Arial" w:eastAsia="Arial" w:hAnsi="Arial" w:cs="Arial"/>
        </w:rPr>
        <w:t xml:space="preserve">Deberdt, R. and Le Billon, P., 2022. The green transition in context—cobalt responsible sourcing for battery manufacturing. </w:t>
      </w:r>
      <w:r>
        <w:rPr>
          <w:rFonts w:ascii="Arial" w:eastAsia="Arial" w:hAnsi="Arial" w:cs="Arial"/>
          <w:i/>
          <w:iCs/>
        </w:rPr>
        <w:t>Society &amp; Natural Resources</w:t>
      </w:r>
      <w:r>
        <w:rPr>
          <w:rFonts w:ascii="Arial" w:eastAsia="Arial" w:hAnsi="Arial" w:cs="Arial"/>
        </w:rPr>
        <w:t xml:space="preserve">, </w:t>
      </w:r>
      <w:r>
        <w:rPr>
          <w:rFonts w:ascii="Arial" w:eastAsia="Arial" w:hAnsi="Arial" w:cs="Arial"/>
          <w:i/>
          <w:iCs/>
        </w:rPr>
        <w:t>35</w:t>
      </w:r>
      <w:r>
        <w:rPr>
          <w:rFonts w:ascii="Arial" w:eastAsia="Arial" w:hAnsi="Arial" w:cs="Arial"/>
        </w:rPr>
        <w:t xml:space="preserve">(7), pp.784-803. </w:t>
      </w:r>
      <w:hyperlink r:id="rId13">
        <w:r>
          <w:rPr>
            <w:rFonts w:ascii="Arial" w:eastAsia="Arial" w:hAnsi="Arial" w:cs="Arial"/>
            <w:color w:val="1155CC"/>
            <w:u w:val="single"/>
          </w:rPr>
          <w:t>https://www.tandfonline.com/doi/abs/10.1080/08941920.2022.2049410</w:t>
        </w:r>
      </w:hyperlink>
      <w:r>
        <w:rPr>
          <w:rFonts w:ascii="Arial" w:eastAsia="Arial" w:hAnsi="Arial" w:cs="Arial"/>
        </w:rPr>
        <w:t xml:space="preserve"> </w:t>
      </w:r>
    </w:p>
    <w:p w14:paraId="68B09923" w14:textId="77777777" w:rsidR="0035611D" w:rsidRDefault="00A6742D">
      <w:pPr>
        <w:rPr>
          <w:rFonts w:ascii="Arial" w:eastAsia="Arial" w:hAnsi="Arial" w:cs="Arial"/>
        </w:rPr>
      </w:pPr>
      <w:r>
        <w:rPr>
          <w:rFonts w:ascii="Arial" w:eastAsia="Arial" w:hAnsi="Arial" w:cs="Arial"/>
        </w:rPr>
        <w:t xml:space="preserve">Deng, Y., 2024. Future Development Analysis Based on the Price Reduction Trend of Tesla. </w:t>
      </w:r>
      <w:r>
        <w:rPr>
          <w:rFonts w:ascii="Arial" w:eastAsia="Arial" w:hAnsi="Arial" w:cs="Arial"/>
          <w:i/>
          <w:iCs/>
        </w:rPr>
        <w:t>Advances in Economics, Management and Political Sciences</w:t>
      </w:r>
      <w:r>
        <w:rPr>
          <w:rFonts w:ascii="Arial" w:eastAsia="Arial" w:hAnsi="Arial" w:cs="Arial"/>
        </w:rPr>
        <w:t xml:space="preserve">, </w:t>
      </w:r>
      <w:r>
        <w:rPr>
          <w:rFonts w:ascii="Arial" w:eastAsia="Arial" w:hAnsi="Arial" w:cs="Arial"/>
          <w:i/>
          <w:iCs/>
        </w:rPr>
        <w:t>112</w:t>
      </w:r>
      <w:r>
        <w:rPr>
          <w:rFonts w:ascii="Arial" w:eastAsia="Arial" w:hAnsi="Arial" w:cs="Arial"/>
        </w:rPr>
        <w:t xml:space="preserve">(1), pp.156-162. </w:t>
      </w:r>
      <w:hyperlink r:id="rId14">
        <w:r>
          <w:rPr>
            <w:rFonts w:ascii="Arial" w:eastAsia="Arial" w:hAnsi="Arial" w:cs="Arial"/>
            <w:color w:val="1155CC"/>
            <w:u w:val="single"/>
          </w:rPr>
          <w:t>https://sure.sunderland.ac.uk/id/eprint/18412/1/pdf.pdf</w:t>
        </w:r>
      </w:hyperlink>
      <w:r>
        <w:rPr>
          <w:rFonts w:ascii="Arial" w:eastAsia="Arial" w:hAnsi="Arial" w:cs="Arial"/>
        </w:rPr>
        <w:t xml:space="preserve"> </w:t>
      </w:r>
    </w:p>
    <w:p w14:paraId="59EFC0BC" w14:textId="77777777" w:rsidR="0035611D" w:rsidRDefault="00A6742D">
      <w:pPr>
        <w:rPr>
          <w:rFonts w:ascii="Arial" w:eastAsia="Arial" w:hAnsi="Arial" w:cs="Arial"/>
          <w:sz w:val="28"/>
          <w:szCs w:val="28"/>
        </w:rPr>
      </w:pPr>
      <w:r>
        <w:rPr>
          <w:rFonts w:ascii="Arial" w:eastAsia="Arial" w:hAnsi="Arial" w:cs="Arial"/>
        </w:rPr>
        <w:t xml:space="preserve">Ding, R., 2025, July. Value Investing in the EV Industry: A Case Study of Tesla. In </w:t>
      </w:r>
      <w:r>
        <w:rPr>
          <w:rFonts w:ascii="Arial" w:eastAsia="Arial" w:hAnsi="Arial" w:cs="Arial"/>
          <w:i/>
          <w:iCs/>
        </w:rPr>
        <w:t>2025 International Conference on Financial Risk and Investment Management (ICFRIM 2025)</w:t>
      </w:r>
      <w:r>
        <w:rPr>
          <w:rFonts w:ascii="Arial" w:eastAsia="Arial" w:hAnsi="Arial" w:cs="Arial"/>
        </w:rPr>
        <w:t xml:space="preserve"> (pp. 929-937). Atlantis Press. </w:t>
      </w:r>
      <w:hyperlink r:id="rId15">
        <w:r>
          <w:rPr>
            <w:rFonts w:ascii="Arial" w:eastAsia="Arial" w:hAnsi="Arial" w:cs="Arial"/>
            <w:color w:val="1155CC"/>
            <w:u w:val="single"/>
          </w:rPr>
          <w:t>https://www.atlantis-press.com/article/126013059.pdf</w:t>
        </w:r>
      </w:hyperlink>
      <w:r>
        <w:rPr>
          <w:rFonts w:ascii="Arial" w:eastAsia="Arial" w:hAnsi="Arial" w:cs="Arial"/>
        </w:rPr>
        <w:t xml:space="preserve"> </w:t>
      </w:r>
    </w:p>
    <w:p w14:paraId="5DC1D126" w14:textId="77777777" w:rsidR="0035611D" w:rsidRDefault="00A6742D">
      <w:pPr>
        <w:rPr>
          <w:rFonts w:ascii="Arial" w:eastAsia="Arial" w:hAnsi="Arial" w:cs="Arial"/>
        </w:rPr>
      </w:pPr>
      <w:r>
        <w:rPr>
          <w:rFonts w:ascii="Arial" w:eastAsia="Arial" w:hAnsi="Arial" w:cs="Arial"/>
        </w:rPr>
        <w:t xml:space="preserve">Huang, W., 2023. Understanding Tesla’s Financial Strength: Analysis of Financial Reports and DuPont Analysis. </w:t>
      </w:r>
      <w:r>
        <w:rPr>
          <w:rFonts w:ascii="Arial" w:eastAsia="Arial" w:hAnsi="Arial" w:cs="Arial"/>
          <w:i/>
          <w:iCs/>
        </w:rPr>
        <w:t>Highlights in Business, Economics and Management</w:t>
      </w:r>
      <w:r>
        <w:rPr>
          <w:rFonts w:ascii="Arial" w:eastAsia="Arial" w:hAnsi="Arial" w:cs="Arial"/>
        </w:rPr>
        <w:t xml:space="preserve">, </w:t>
      </w:r>
      <w:r>
        <w:rPr>
          <w:rFonts w:ascii="Arial" w:eastAsia="Arial" w:hAnsi="Arial" w:cs="Arial"/>
          <w:i/>
          <w:iCs/>
        </w:rPr>
        <w:t>6</w:t>
      </w:r>
      <w:r>
        <w:rPr>
          <w:rFonts w:ascii="Arial" w:eastAsia="Arial" w:hAnsi="Arial" w:cs="Arial"/>
        </w:rPr>
        <w:t xml:space="preserve">, pp.250-261. </w:t>
      </w:r>
      <w:hyperlink r:id="rId16">
        <w:r>
          <w:rPr>
            <w:rFonts w:ascii="Arial" w:eastAsia="Arial" w:hAnsi="Arial" w:cs="Arial"/>
            <w:color w:val="1155CC"/>
            <w:u w:val="single"/>
          </w:rPr>
          <w:t>https://pdfs.semanticscholar.org/13d2/10f4a9e7d5c3806b1f364c066b5617a3823c.pdf</w:t>
        </w:r>
      </w:hyperlink>
      <w:r>
        <w:rPr>
          <w:rFonts w:ascii="Arial" w:eastAsia="Arial" w:hAnsi="Arial" w:cs="Arial"/>
        </w:rPr>
        <w:t xml:space="preserve"> </w:t>
      </w:r>
    </w:p>
    <w:p w14:paraId="6F818B60" w14:textId="77777777" w:rsidR="0035611D" w:rsidRDefault="00A6742D">
      <w:pPr>
        <w:rPr>
          <w:rFonts w:ascii="Arial" w:eastAsia="Arial" w:hAnsi="Arial" w:cs="Arial"/>
        </w:rPr>
      </w:pPr>
      <w:r>
        <w:rPr>
          <w:rFonts w:ascii="Arial" w:eastAsia="Arial" w:hAnsi="Arial" w:cs="Arial"/>
        </w:rPr>
        <w:t xml:space="preserve">Huang, Z. and Tanaka, F., 2022. MSPM: A modularized and scalable multi-agent reinforcement learning-based system for financial portfolio management. </w:t>
      </w:r>
      <w:r>
        <w:rPr>
          <w:rFonts w:ascii="Arial" w:eastAsia="Arial" w:hAnsi="Arial" w:cs="Arial"/>
          <w:i/>
          <w:iCs/>
        </w:rPr>
        <w:t>Plos one</w:t>
      </w:r>
      <w:r>
        <w:rPr>
          <w:rFonts w:ascii="Arial" w:eastAsia="Arial" w:hAnsi="Arial" w:cs="Arial"/>
        </w:rPr>
        <w:t xml:space="preserve">, </w:t>
      </w:r>
      <w:r>
        <w:rPr>
          <w:rFonts w:ascii="Arial" w:eastAsia="Arial" w:hAnsi="Arial" w:cs="Arial"/>
          <w:i/>
          <w:iCs/>
        </w:rPr>
        <w:t>17</w:t>
      </w:r>
      <w:r>
        <w:rPr>
          <w:rFonts w:ascii="Arial" w:eastAsia="Arial" w:hAnsi="Arial" w:cs="Arial"/>
        </w:rPr>
        <w:t xml:space="preserve">(2), p.e0263689. </w:t>
      </w:r>
      <w:hyperlink r:id="rId17">
        <w:r>
          <w:rPr>
            <w:rFonts w:ascii="Arial" w:eastAsia="Arial" w:hAnsi="Arial" w:cs="Arial"/>
            <w:color w:val="1155CC"/>
            <w:u w:val="single"/>
          </w:rPr>
          <w:t>https://journals.plos.org/plosone/article/file?id=10.1371/journal.pone.0263689&amp;type=printable</w:t>
        </w:r>
      </w:hyperlink>
      <w:r>
        <w:rPr>
          <w:rFonts w:ascii="Arial" w:eastAsia="Arial" w:hAnsi="Arial" w:cs="Arial"/>
        </w:rPr>
        <w:t xml:space="preserve"> </w:t>
      </w:r>
    </w:p>
    <w:p w14:paraId="57CCC348" w14:textId="77777777" w:rsidR="0035611D" w:rsidRDefault="00A6742D">
      <w:pPr>
        <w:rPr>
          <w:rFonts w:ascii="Arial" w:eastAsia="Arial" w:hAnsi="Arial" w:cs="Arial"/>
        </w:rPr>
      </w:pPr>
      <w:r>
        <w:rPr>
          <w:rFonts w:ascii="Arial" w:eastAsia="Arial" w:hAnsi="Arial" w:cs="Arial"/>
        </w:rPr>
        <w:t xml:space="preserve">Li, Y., 2025, February. Financial Analysis of the Company Tesla. In </w:t>
      </w:r>
      <w:r>
        <w:rPr>
          <w:rFonts w:ascii="Arial" w:eastAsia="Arial" w:hAnsi="Arial" w:cs="Arial"/>
          <w:i/>
          <w:iCs/>
        </w:rPr>
        <w:t>International Workshop on Navigating the Digital Business Frontier for Sustainable Financial Innovation (ICDEBA 2024)</w:t>
      </w:r>
      <w:r>
        <w:rPr>
          <w:rFonts w:ascii="Arial" w:eastAsia="Arial" w:hAnsi="Arial" w:cs="Arial"/>
        </w:rPr>
        <w:t xml:space="preserve"> (pp. 566-575). Atlantis Press. </w:t>
      </w:r>
      <w:hyperlink r:id="rId18">
        <w:r>
          <w:rPr>
            <w:rFonts w:ascii="Arial" w:eastAsia="Arial" w:hAnsi="Arial" w:cs="Arial"/>
            <w:color w:val="1155CC"/>
            <w:u w:val="single"/>
          </w:rPr>
          <w:t>https://www.atlantis-press.com/article/126008536.pdf</w:t>
        </w:r>
      </w:hyperlink>
      <w:r>
        <w:rPr>
          <w:rFonts w:ascii="Arial" w:eastAsia="Arial" w:hAnsi="Arial" w:cs="Arial"/>
        </w:rPr>
        <w:t xml:space="preserve"> </w:t>
      </w:r>
    </w:p>
    <w:p w14:paraId="656C8017" w14:textId="77777777" w:rsidR="0035611D" w:rsidRDefault="00A6742D">
      <w:pPr>
        <w:rPr>
          <w:rFonts w:ascii="Arial" w:eastAsia="Arial" w:hAnsi="Arial" w:cs="Arial"/>
        </w:rPr>
      </w:pPr>
      <w:r>
        <w:rPr>
          <w:rFonts w:ascii="Arial" w:eastAsia="Arial" w:hAnsi="Arial" w:cs="Arial"/>
        </w:rPr>
        <w:t xml:space="preserve">Li, Y., 2025, November. Analysis of Company’s Financial Situation: Taking Tesla Company as an Example. In </w:t>
      </w:r>
      <w:r>
        <w:rPr>
          <w:rFonts w:ascii="Arial" w:eastAsia="Arial" w:hAnsi="Arial" w:cs="Arial"/>
          <w:i/>
          <w:iCs/>
        </w:rPr>
        <w:t>2025 International Conference on Financial Innovation and Marketing Management (FIMM 2025)</w:t>
      </w:r>
      <w:r>
        <w:rPr>
          <w:rFonts w:ascii="Arial" w:eastAsia="Arial" w:hAnsi="Arial" w:cs="Arial"/>
        </w:rPr>
        <w:t xml:space="preserve"> (pp. 845-852). Atlantis Press. </w:t>
      </w:r>
      <w:hyperlink r:id="rId19">
        <w:r>
          <w:rPr>
            <w:rFonts w:ascii="Arial" w:eastAsia="Arial" w:hAnsi="Arial" w:cs="Arial"/>
            <w:color w:val="1155CC"/>
            <w:u w:val="single"/>
          </w:rPr>
          <w:t>https://www.atlantis-press.com/article/126017147.pdf</w:t>
        </w:r>
      </w:hyperlink>
      <w:r>
        <w:rPr>
          <w:rFonts w:ascii="Arial" w:eastAsia="Arial" w:hAnsi="Arial" w:cs="Arial"/>
        </w:rPr>
        <w:t xml:space="preserve"> </w:t>
      </w:r>
    </w:p>
    <w:p w14:paraId="0E7AD185" w14:textId="77777777" w:rsidR="0035611D" w:rsidRDefault="00A6742D">
      <w:pPr>
        <w:rPr>
          <w:rFonts w:ascii="Arial" w:eastAsia="Arial" w:hAnsi="Arial" w:cs="Arial"/>
        </w:rPr>
      </w:pPr>
      <w:r>
        <w:rPr>
          <w:rFonts w:ascii="Arial" w:eastAsia="Arial" w:hAnsi="Arial" w:cs="Arial"/>
        </w:rPr>
        <w:t xml:space="preserve">Majka, M., 2024. Understanding Efficiency Ratios. </w:t>
      </w:r>
      <w:hyperlink r:id="rId20">
        <w:r>
          <w:rPr>
            <w:rFonts w:ascii="Arial" w:eastAsia="Arial" w:hAnsi="Arial" w:cs="Arial"/>
            <w:color w:val="1155CC"/>
            <w:u w:val="single"/>
          </w:rPr>
          <w:t>https://www.researchgate.net/profile/Marcin-Majka-2/publication/381402363_Understanding_Efficiency_Ratios/links/666b64b9de777205a32c2aa5/Understanding-Efficiency-Ratios.pdf</w:t>
        </w:r>
      </w:hyperlink>
      <w:r>
        <w:rPr>
          <w:rFonts w:ascii="Arial" w:eastAsia="Arial" w:hAnsi="Arial" w:cs="Arial"/>
        </w:rPr>
        <w:t xml:space="preserve"> </w:t>
      </w:r>
    </w:p>
    <w:p w14:paraId="18C482A8" w14:textId="77777777" w:rsidR="0035611D" w:rsidRDefault="00A6742D">
      <w:pPr>
        <w:rPr>
          <w:rFonts w:ascii="Arial" w:eastAsia="Arial" w:hAnsi="Arial" w:cs="Arial"/>
        </w:rPr>
      </w:pPr>
      <w:r>
        <w:rPr>
          <w:rFonts w:ascii="Arial" w:eastAsia="Arial" w:hAnsi="Arial" w:cs="Arial"/>
        </w:rPr>
        <w:t xml:space="preserve">Nasution, Y.A. and Yusleny, Y., 2023, February. Financial Performance Measurement Using Profitability Ratios And Liquidity Ratios. In </w:t>
      </w:r>
      <w:r>
        <w:rPr>
          <w:rFonts w:ascii="Arial" w:eastAsia="Arial" w:hAnsi="Arial" w:cs="Arial"/>
          <w:i/>
          <w:iCs/>
        </w:rPr>
        <w:t>Proceeding Medan International Conference on Economic and Business</w:t>
      </w:r>
      <w:r>
        <w:rPr>
          <w:rFonts w:ascii="Arial" w:eastAsia="Arial" w:hAnsi="Arial" w:cs="Arial"/>
        </w:rPr>
        <w:t xml:space="preserve"> (Vol. 1, pp. 1730-1741). </w:t>
      </w:r>
      <w:hyperlink r:id="rId21">
        <w:r>
          <w:rPr>
            <w:rFonts w:ascii="Arial" w:eastAsia="Arial" w:hAnsi="Arial" w:cs="Arial"/>
            <w:color w:val="1155CC"/>
            <w:u w:val="single"/>
          </w:rPr>
          <w:t>https://proceeding.umsu.ac.id/index.php/Miceb/article/download/282/303</w:t>
        </w:r>
      </w:hyperlink>
      <w:r>
        <w:rPr>
          <w:rFonts w:ascii="Arial" w:eastAsia="Arial" w:hAnsi="Arial" w:cs="Arial"/>
        </w:rPr>
        <w:t xml:space="preserve"> </w:t>
      </w:r>
    </w:p>
    <w:p w14:paraId="45D5285E" w14:textId="77777777" w:rsidR="0035611D" w:rsidRDefault="00A6742D">
      <w:pPr>
        <w:rPr>
          <w:rFonts w:ascii="Arial" w:eastAsia="Arial" w:hAnsi="Arial" w:cs="Arial"/>
        </w:rPr>
      </w:pPr>
      <w:r>
        <w:rPr>
          <w:rFonts w:ascii="Arial" w:eastAsia="Arial" w:hAnsi="Arial" w:cs="Arial"/>
        </w:rPr>
        <w:t xml:space="preserve">Nwosu, O., Mairafi, S.L., Musa, A.A. and Kolo, I., 2025. Effect of Inflation and Exchange Rates on Financial Performance of Selected Quoted Manufacturing Companies in Nigeria. </w:t>
      </w:r>
      <w:r>
        <w:rPr>
          <w:rFonts w:ascii="Arial" w:eastAsia="Arial" w:hAnsi="Arial" w:cs="Arial"/>
          <w:i/>
          <w:iCs/>
        </w:rPr>
        <w:t>Journal of Business Development and Management Research</w:t>
      </w:r>
      <w:r>
        <w:rPr>
          <w:rFonts w:ascii="Arial" w:eastAsia="Arial" w:hAnsi="Arial" w:cs="Arial"/>
        </w:rPr>
        <w:t xml:space="preserve">. </w:t>
      </w:r>
      <w:hyperlink r:id="rId22">
        <w:r>
          <w:rPr>
            <w:rFonts w:ascii="Arial" w:eastAsia="Arial" w:hAnsi="Arial" w:cs="Arial"/>
            <w:color w:val="1155CC"/>
            <w:u w:val="single"/>
          </w:rPr>
          <w:t>https://africanscholarpub.com/ajbdmr/article/download/573/577</w:t>
        </w:r>
      </w:hyperlink>
      <w:r>
        <w:rPr>
          <w:rFonts w:ascii="Arial" w:eastAsia="Arial" w:hAnsi="Arial" w:cs="Arial"/>
        </w:rPr>
        <w:t xml:space="preserve"> </w:t>
      </w:r>
    </w:p>
    <w:p w14:paraId="1D7A86FA" w14:textId="77777777" w:rsidR="0035611D" w:rsidRDefault="00A6742D">
      <w:pPr>
        <w:rPr>
          <w:rFonts w:ascii="Arial" w:eastAsia="Arial" w:hAnsi="Arial" w:cs="Arial"/>
        </w:rPr>
      </w:pPr>
      <w:r>
        <w:rPr>
          <w:rFonts w:ascii="Arial" w:eastAsia="Arial" w:hAnsi="Arial" w:cs="Arial"/>
        </w:rPr>
        <w:t xml:space="preserve">Olesia, D. and Zhou, J., 2023. Financial risks in mergers and acquisitions (M&amp;A): a case study of SolarCity’s acquisition by Tesla. </w:t>
      </w:r>
      <w:r>
        <w:rPr>
          <w:rFonts w:ascii="Arial" w:eastAsia="Arial" w:hAnsi="Arial" w:cs="Arial"/>
          <w:i/>
          <w:iCs/>
        </w:rPr>
        <w:t>Front. Bus. Econ. Manage</w:t>
      </w:r>
      <w:r>
        <w:rPr>
          <w:rFonts w:ascii="Arial" w:eastAsia="Arial" w:hAnsi="Arial" w:cs="Arial"/>
        </w:rPr>
        <w:t xml:space="preserve">, </w:t>
      </w:r>
      <w:r>
        <w:rPr>
          <w:rFonts w:ascii="Arial" w:eastAsia="Arial" w:hAnsi="Arial" w:cs="Arial"/>
          <w:i/>
          <w:iCs/>
        </w:rPr>
        <w:t>11</w:t>
      </w:r>
      <w:r>
        <w:rPr>
          <w:rFonts w:ascii="Arial" w:eastAsia="Arial" w:hAnsi="Arial" w:cs="Arial"/>
        </w:rPr>
        <w:t xml:space="preserve">(3), pp.99-110. </w:t>
      </w:r>
      <w:hyperlink r:id="rId23">
        <w:r>
          <w:rPr>
            <w:rFonts w:ascii="Arial" w:eastAsia="Arial" w:hAnsi="Arial" w:cs="Arial"/>
            <w:color w:val="1155CC"/>
            <w:u w:val="single"/>
          </w:rPr>
          <w:t>https://pdfs.semanticscholar.org/1cfd/04e51b1da883ff13930e4e44ad206ccd3840.pdf</w:t>
        </w:r>
      </w:hyperlink>
      <w:r>
        <w:rPr>
          <w:rFonts w:ascii="Arial" w:eastAsia="Arial" w:hAnsi="Arial" w:cs="Arial"/>
        </w:rPr>
        <w:t xml:space="preserve"> </w:t>
      </w:r>
    </w:p>
    <w:p w14:paraId="0098DCB9" w14:textId="77777777" w:rsidR="0035611D" w:rsidRDefault="00A6742D">
      <w:pPr>
        <w:rPr>
          <w:rFonts w:ascii="Arial" w:eastAsia="Arial" w:hAnsi="Arial" w:cs="Arial"/>
        </w:rPr>
      </w:pPr>
      <w:r>
        <w:rPr>
          <w:rFonts w:ascii="Arial" w:eastAsia="Arial" w:hAnsi="Arial" w:cs="Arial"/>
        </w:rPr>
        <w:t xml:space="preserve">Oranefo, P.C. and Egbunike, C.F., 2023. Gearing ratio and operating cash flow performance of quoted manufacturing firms in Nigeria. </w:t>
      </w:r>
      <w:r>
        <w:rPr>
          <w:rFonts w:ascii="Arial" w:eastAsia="Arial" w:hAnsi="Arial" w:cs="Arial"/>
          <w:i/>
          <w:iCs/>
        </w:rPr>
        <w:t>International Journal of Financial, Accounting, and Management</w:t>
      </w:r>
      <w:r>
        <w:rPr>
          <w:rFonts w:ascii="Arial" w:eastAsia="Arial" w:hAnsi="Arial" w:cs="Arial"/>
        </w:rPr>
        <w:t xml:space="preserve">, </w:t>
      </w:r>
      <w:r>
        <w:rPr>
          <w:rFonts w:ascii="Arial" w:eastAsia="Arial" w:hAnsi="Arial" w:cs="Arial"/>
          <w:i/>
          <w:iCs/>
        </w:rPr>
        <w:t>4</w:t>
      </w:r>
      <w:r>
        <w:rPr>
          <w:rFonts w:ascii="Arial" w:eastAsia="Arial" w:hAnsi="Arial" w:cs="Arial"/>
        </w:rPr>
        <w:t xml:space="preserve">(4), pp.395-410. </w:t>
      </w:r>
      <w:hyperlink r:id="rId24">
        <w:r>
          <w:rPr>
            <w:rFonts w:ascii="Arial" w:eastAsia="Arial" w:hAnsi="Arial" w:cs="Arial"/>
            <w:color w:val="1155CC"/>
            <w:u w:val="single"/>
          </w:rPr>
          <w:t>https://www.neliti.com/publications/620973/gearing-ratio-and-operating-cash-flow-performance-of-quoted-manufacturing-firms</w:t>
        </w:r>
      </w:hyperlink>
      <w:r>
        <w:rPr>
          <w:rFonts w:ascii="Arial" w:eastAsia="Arial" w:hAnsi="Arial" w:cs="Arial"/>
        </w:rPr>
        <w:t xml:space="preserve"> </w:t>
      </w:r>
    </w:p>
    <w:p w14:paraId="035845A8" w14:textId="77777777" w:rsidR="0035611D" w:rsidRDefault="00A6742D">
      <w:pPr>
        <w:rPr>
          <w:rFonts w:ascii="Arial" w:eastAsia="Arial" w:hAnsi="Arial" w:cs="Arial"/>
        </w:rPr>
      </w:pPr>
      <w:r>
        <w:rPr>
          <w:rFonts w:ascii="Arial" w:eastAsia="Arial" w:hAnsi="Arial" w:cs="Arial"/>
        </w:rPr>
        <w:t xml:space="preserve">Paakko, O., 2024. Supply chain complexities in developing electric autonomous vehicles: a comparative analysis of Tesla and Waymo. </w:t>
      </w:r>
      <w:hyperlink r:id="rId25">
        <w:r>
          <w:rPr>
            <w:rFonts w:ascii="Arial" w:eastAsia="Arial" w:hAnsi="Arial" w:cs="Arial"/>
            <w:color w:val="1155CC"/>
            <w:u w:val="single"/>
          </w:rPr>
          <w:t>https://lutpub.lut.fi/bitstream/handle/10024/168870/bachelorsthesis_paakko_otto.pdf?sequence=1</w:t>
        </w:r>
      </w:hyperlink>
      <w:r>
        <w:rPr>
          <w:rFonts w:ascii="Arial" w:eastAsia="Arial" w:hAnsi="Arial" w:cs="Arial"/>
        </w:rPr>
        <w:t xml:space="preserve"> </w:t>
      </w:r>
    </w:p>
    <w:p w14:paraId="6C74E418" w14:textId="77777777" w:rsidR="0035611D" w:rsidRDefault="00A6742D">
      <w:pPr>
        <w:rPr>
          <w:rFonts w:ascii="Arial" w:eastAsia="Arial" w:hAnsi="Arial" w:cs="Arial"/>
        </w:rPr>
      </w:pPr>
      <w:r>
        <w:rPr>
          <w:rFonts w:ascii="Arial" w:eastAsia="Arial" w:hAnsi="Arial" w:cs="Arial"/>
        </w:rPr>
        <w:t xml:space="preserve">Pranoto, A., Hermawan, H. and Albart, N., 2025. A Systematic Literature Review: Business Feasibility Analysis Using Net Present Value (NPV) and Internal Rate of Return (IRR) Methods in the Automotive Industry. </w:t>
      </w:r>
      <w:r>
        <w:rPr>
          <w:rFonts w:ascii="Arial" w:eastAsia="Arial" w:hAnsi="Arial" w:cs="Arial"/>
          <w:i/>
          <w:iCs/>
        </w:rPr>
        <w:t>Jurnal Indonesia Sosial Sains</w:t>
      </w:r>
      <w:r>
        <w:rPr>
          <w:rFonts w:ascii="Arial" w:eastAsia="Arial" w:hAnsi="Arial" w:cs="Arial"/>
        </w:rPr>
        <w:t xml:space="preserve">, </w:t>
      </w:r>
      <w:r>
        <w:rPr>
          <w:rFonts w:ascii="Arial" w:eastAsia="Arial" w:hAnsi="Arial" w:cs="Arial"/>
          <w:i/>
          <w:iCs/>
        </w:rPr>
        <w:t>6</w:t>
      </w:r>
      <w:r>
        <w:rPr>
          <w:rFonts w:ascii="Arial" w:eastAsia="Arial" w:hAnsi="Arial" w:cs="Arial"/>
        </w:rPr>
        <w:t xml:space="preserve">(1), pp.171-184. </w:t>
      </w:r>
      <w:hyperlink r:id="rId26">
        <w:r>
          <w:rPr>
            <w:rFonts w:ascii="Arial" w:eastAsia="Arial" w:hAnsi="Arial" w:cs="Arial"/>
            <w:color w:val="1155CC"/>
            <w:u w:val="single"/>
          </w:rPr>
          <w:t>https://elibrary.ru/item.asp?id=81154433</w:t>
        </w:r>
      </w:hyperlink>
      <w:r>
        <w:rPr>
          <w:rFonts w:ascii="Arial" w:eastAsia="Arial" w:hAnsi="Arial" w:cs="Arial"/>
        </w:rPr>
        <w:t xml:space="preserve"> </w:t>
      </w:r>
    </w:p>
    <w:p w14:paraId="5B5F5C8C" w14:textId="77777777" w:rsidR="0035611D" w:rsidRDefault="00A6742D">
      <w:pPr>
        <w:rPr>
          <w:rFonts w:ascii="Arial" w:eastAsia="Arial" w:hAnsi="Arial" w:cs="Arial"/>
        </w:rPr>
      </w:pPr>
      <w:r>
        <w:rPr>
          <w:rFonts w:ascii="Arial" w:eastAsia="Arial" w:hAnsi="Arial" w:cs="Arial"/>
        </w:rPr>
        <w:t xml:space="preserve">Purnawan, B.G., 2024. Accelerating the Future Tesla Market Strategy and Growth Opportunities. </w:t>
      </w:r>
      <w:hyperlink r:id="rId27">
        <w:r>
          <w:rPr>
            <w:rFonts w:ascii="Arial" w:eastAsia="Arial" w:hAnsi="Arial" w:cs="Arial"/>
            <w:color w:val="1155CC"/>
            <w:u w:val="single"/>
          </w:rPr>
          <w:t>https://www.academia.edu/download/124198295/Accelerating_the_Future_Tesla_Market_Strategy_and_Growth_Opportunities.pdf</w:t>
        </w:r>
      </w:hyperlink>
      <w:r>
        <w:rPr>
          <w:rFonts w:ascii="Arial" w:eastAsia="Arial" w:hAnsi="Arial" w:cs="Arial"/>
        </w:rPr>
        <w:t xml:space="preserve"> </w:t>
      </w:r>
    </w:p>
    <w:p w14:paraId="746E57A0" w14:textId="77777777" w:rsidR="0035611D" w:rsidRDefault="00A6742D">
      <w:pPr>
        <w:rPr>
          <w:rFonts w:ascii="Arial" w:eastAsia="Arial" w:hAnsi="Arial" w:cs="Arial"/>
        </w:rPr>
      </w:pPr>
      <w:r>
        <w:rPr>
          <w:rFonts w:ascii="Arial" w:eastAsia="Arial" w:hAnsi="Arial" w:cs="Arial"/>
        </w:rPr>
        <w:t xml:space="preserve">Quinton, C., 2024. The Impact of Government Subsidies on EV Manufacturers. </w:t>
      </w:r>
      <w:hyperlink r:id="rId28">
        <w:r>
          <w:rPr>
            <w:rFonts w:ascii="Arial" w:eastAsia="Arial" w:hAnsi="Arial" w:cs="Arial"/>
            <w:color w:val="1155CC"/>
            <w:u w:val="single"/>
          </w:rPr>
          <w:t>https://digitalcommons.liberty.edu/cgi/viewcontent.cgi?article=2469&amp;context=honors</w:t>
        </w:r>
      </w:hyperlink>
      <w:r>
        <w:rPr>
          <w:rFonts w:ascii="Arial" w:eastAsia="Arial" w:hAnsi="Arial" w:cs="Arial"/>
        </w:rPr>
        <w:t xml:space="preserve"> </w:t>
      </w:r>
    </w:p>
    <w:p w14:paraId="48247D20" w14:textId="77777777" w:rsidR="0035611D" w:rsidRDefault="00A6742D">
      <w:pPr>
        <w:rPr>
          <w:rFonts w:ascii="Arial" w:eastAsia="Arial" w:hAnsi="Arial" w:cs="Arial"/>
        </w:rPr>
      </w:pPr>
      <w:r>
        <w:rPr>
          <w:rFonts w:ascii="Arial" w:eastAsia="Arial" w:hAnsi="Arial" w:cs="Arial"/>
        </w:rPr>
        <w:t xml:space="preserve">Ramadani, R.A., Hati, B.K. and Setiawan, Z., 2024. Warehousing and inventory management analysis: case study Tesla. INC. </w:t>
      </w:r>
      <w:r>
        <w:rPr>
          <w:rFonts w:ascii="Arial" w:eastAsia="Arial" w:hAnsi="Arial" w:cs="Arial"/>
          <w:i/>
          <w:iCs/>
        </w:rPr>
        <w:t>Jurnal media akademik (JMA)</w:t>
      </w:r>
      <w:r>
        <w:rPr>
          <w:rFonts w:ascii="Arial" w:eastAsia="Arial" w:hAnsi="Arial" w:cs="Arial"/>
        </w:rPr>
        <w:t xml:space="preserve">, </w:t>
      </w:r>
      <w:r>
        <w:rPr>
          <w:rFonts w:ascii="Arial" w:eastAsia="Arial" w:hAnsi="Arial" w:cs="Arial"/>
          <w:i/>
          <w:iCs/>
        </w:rPr>
        <w:t>2</w:t>
      </w:r>
      <w:r>
        <w:rPr>
          <w:rFonts w:ascii="Arial" w:eastAsia="Arial" w:hAnsi="Arial" w:cs="Arial"/>
        </w:rPr>
        <w:t xml:space="preserve">(9). </w:t>
      </w:r>
      <w:hyperlink r:id="rId29">
        <w:r>
          <w:rPr>
            <w:rFonts w:ascii="Arial" w:eastAsia="Arial" w:hAnsi="Arial" w:cs="Arial"/>
            <w:color w:val="1155CC"/>
            <w:u w:val="single"/>
          </w:rPr>
          <w:t>https://jurnal.mediaakademik.com/index.php/jma/article/download/773/718</w:t>
        </w:r>
      </w:hyperlink>
      <w:r>
        <w:rPr>
          <w:rFonts w:ascii="Arial" w:eastAsia="Arial" w:hAnsi="Arial" w:cs="Arial"/>
        </w:rPr>
        <w:t xml:space="preserve"> </w:t>
      </w:r>
    </w:p>
    <w:p w14:paraId="3AE112F6" w14:textId="77777777" w:rsidR="0035611D" w:rsidRDefault="00A6742D">
      <w:pPr>
        <w:rPr>
          <w:rFonts w:ascii="Arial" w:eastAsia="Arial" w:hAnsi="Arial" w:cs="Arial"/>
        </w:rPr>
      </w:pPr>
      <w:r>
        <w:rPr>
          <w:rFonts w:ascii="Arial" w:eastAsia="Arial" w:hAnsi="Arial" w:cs="Arial"/>
        </w:rPr>
        <w:t xml:space="preserve">Ren, P., Shi, B., Xue, Q. and Zang, W., 2025. Enterprise Supplier Management and Sustainable Development: A Case Study of Tesla Supplier Management. </w:t>
      </w:r>
      <w:r>
        <w:rPr>
          <w:rFonts w:ascii="Arial" w:eastAsia="Arial" w:hAnsi="Arial" w:cs="Arial"/>
          <w:i/>
          <w:iCs/>
        </w:rPr>
        <w:t>Journal of Education, Humanities and Social Sciences</w:t>
      </w:r>
      <w:r>
        <w:rPr>
          <w:rFonts w:ascii="Arial" w:eastAsia="Arial" w:hAnsi="Arial" w:cs="Arial"/>
        </w:rPr>
        <w:t xml:space="preserve">, </w:t>
      </w:r>
      <w:r>
        <w:rPr>
          <w:rFonts w:ascii="Arial" w:eastAsia="Arial" w:hAnsi="Arial" w:cs="Arial"/>
          <w:i/>
          <w:iCs/>
        </w:rPr>
        <w:t>61</w:t>
      </w:r>
      <w:r>
        <w:rPr>
          <w:rFonts w:ascii="Arial" w:eastAsia="Arial" w:hAnsi="Arial" w:cs="Arial"/>
        </w:rPr>
        <w:t xml:space="preserve">, pp.129-133. </w:t>
      </w:r>
      <w:hyperlink r:id="rId30">
        <w:r>
          <w:rPr>
            <w:rFonts w:ascii="Arial" w:eastAsia="Arial" w:hAnsi="Arial" w:cs="Arial"/>
            <w:color w:val="1155CC"/>
            <w:u w:val="single"/>
          </w:rPr>
          <w:t>http://drpehss.com/index.php/ojs/article/download/22/21</w:t>
        </w:r>
      </w:hyperlink>
      <w:r>
        <w:rPr>
          <w:rFonts w:ascii="Arial" w:eastAsia="Arial" w:hAnsi="Arial" w:cs="Arial"/>
        </w:rPr>
        <w:t xml:space="preserve"> </w:t>
      </w:r>
    </w:p>
    <w:p w14:paraId="67A13524" w14:textId="77777777" w:rsidR="0035611D" w:rsidRDefault="00A6742D">
      <w:pPr>
        <w:rPr>
          <w:rFonts w:ascii="Arial" w:eastAsia="Arial" w:hAnsi="Arial" w:cs="Arial"/>
        </w:rPr>
      </w:pPr>
      <w:r>
        <w:rPr>
          <w:rFonts w:ascii="Arial" w:eastAsia="Arial" w:hAnsi="Arial" w:cs="Arial"/>
        </w:rPr>
        <w:t xml:space="preserve">Shou, T., 2022, July. A literature review on the net present value (NPV) valuation method. In </w:t>
      </w:r>
      <w:r>
        <w:rPr>
          <w:rFonts w:ascii="Arial" w:eastAsia="Arial" w:hAnsi="Arial" w:cs="Arial"/>
          <w:i/>
          <w:iCs/>
        </w:rPr>
        <w:t>2022 2nd International Conference on Enterprise Management and Economic Development (ICEMED 2022)</w:t>
      </w:r>
      <w:r>
        <w:rPr>
          <w:rFonts w:ascii="Arial" w:eastAsia="Arial" w:hAnsi="Arial" w:cs="Arial"/>
        </w:rPr>
        <w:t xml:space="preserve"> (pp. 826-830). Atlantis Press. </w:t>
      </w:r>
      <w:hyperlink r:id="rId31">
        <w:r>
          <w:rPr>
            <w:rFonts w:ascii="Arial" w:eastAsia="Arial" w:hAnsi="Arial" w:cs="Arial"/>
            <w:color w:val="1155CC"/>
            <w:u w:val="single"/>
          </w:rPr>
          <w:t>https://www.atlantis-press.com/article/125975449.pdf</w:t>
        </w:r>
      </w:hyperlink>
      <w:r>
        <w:rPr>
          <w:rFonts w:ascii="Arial" w:eastAsia="Arial" w:hAnsi="Arial" w:cs="Arial"/>
        </w:rPr>
        <w:t xml:space="preserve"> </w:t>
      </w:r>
    </w:p>
    <w:p w14:paraId="2E8094C0" w14:textId="77777777" w:rsidR="0035611D" w:rsidRDefault="00A6742D">
      <w:pPr>
        <w:rPr>
          <w:rFonts w:ascii="Arial" w:eastAsia="Arial" w:hAnsi="Arial" w:cs="Arial"/>
        </w:rPr>
      </w:pPr>
      <w:r>
        <w:rPr>
          <w:rFonts w:ascii="Arial" w:eastAsia="Arial" w:hAnsi="Arial" w:cs="Arial"/>
        </w:rPr>
        <w:t xml:space="preserve">Sinaga, A.S., Sari, M.M., Hutasuhut, A.A., Zahara, S.T., Amanda, A., Fitri, A. and Caesario, M.A., 2023. Comparison of capital budgeting methods: NPV, IRR, PAYBACK PERIOD. </w:t>
      </w:r>
      <w:r>
        <w:rPr>
          <w:rFonts w:ascii="Arial" w:eastAsia="Arial" w:hAnsi="Arial" w:cs="Arial"/>
          <w:i/>
          <w:iCs/>
        </w:rPr>
        <w:t>World Journal of Advanced Research and Reviews</w:t>
      </w:r>
      <w:r>
        <w:rPr>
          <w:rFonts w:ascii="Arial" w:eastAsia="Arial" w:hAnsi="Arial" w:cs="Arial"/>
        </w:rPr>
        <w:t xml:space="preserve">, </w:t>
      </w:r>
      <w:r>
        <w:rPr>
          <w:rFonts w:ascii="Arial" w:eastAsia="Arial" w:hAnsi="Arial" w:cs="Arial"/>
          <w:i/>
          <w:iCs/>
        </w:rPr>
        <w:t>19</w:t>
      </w:r>
      <w:r>
        <w:rPr>
          <w:rFonts w:ascii="Arial" w:eastAsia="Arial" w:hAnsi="Arial" w:cs="Arial"/>
        </w:rPr>
        <w:t xml:space="preserve">(2), pp.1078-1081. </w:t>
      </w:r>
      <w:hyperlink r:id="rId32">
        <w:r>
          <w:rPr>
            <w:rFonts w:ascii="Arial" w:eastAsia="Arial" w:hAnsi="Arial" w:cs="Arial"/>
            <w:color w:val="1155CC"/>
            <w:u w:val="single"/>
          </w:rPr>
          <w:t>https://pdfs.semanticscholar.org/35f5/923a958b071288b38d4e960e8268477ec19a.pdf</w:t>
        </w:r>
      </w:hyperlink>
      <w:r>
        <w:rPr>
          <w:rFonts w:ascii="Arial" w:eastAsia="Arial" w:hAnsi="Arial" w:cs="Arial"/>
        </w:rPr>
        <w:t xml:space="preserve"> </w:t>
      </w:r>
    </w:p>
    <w:p w14:paraId="15D74818" w14:textId="77777777" w:rsidR="0035611D" w:rsidRDefault="00A6742D">
      <w:pPr>
        <w:rPr>
          <w:rFonts w:ascii="Arial" w:eastAsia="Arial" w:hAnsi="Arial" w:cs="Arial"/>
        </w:rPr>
      </w:pPr>
      <w:r>
        <w:rPr>
          <w:rFonts w:ascii="Arial" w:eastAsia="Arial" w:hAnsi="Arial" w:cs="Arial"/>
        </w:rPr>
        <w:t xml:space="preserve">Sogomi, F.C., Patrick, M.K. and Kamau, C.G., 2024. Exploring the relationship between working capital management, liquidity, and financial performance within the context of Kenyan SME’s. </w:t>
      </w:r>
      <w:r>
        <w:rPr>
          <w:rFonts w:ascii="Arial" w:eastAsia="Arial" w:hAnsi="Arial" w:cs="Arial"/>
          <w:i/>
          <w:iCs/>
        </w:rPr>
        <w:t>African Journal of Commercial Studies</w:t>
      </w:r>
      <w:r>
        <w:rPr>
          <w:rFonts w:ascii="Arial" w:eastAsia="Arial" w:hAnsi="Arial" w:cs="Arial"/>
        </w:rPr>
        <w:t xml:space="preserve">, </w:t>
      </w:r>
      <w:r>
        <w:rPr>
          <w:rFonts w:ascii="Arial" w:eastAsia="Arial" w:hAnsi="Arial" w:cs="Arial"/>
          <w:i/>
          <w:iCs/>
        </w:rPr>
        <w:t>4</w:t>
      </w:r>
      <w:r>
        <w:rPr>
          <w:rFonts w:ascii="Arial" w:eastAsia="Arial" w:hAnsi="Arial" w:cs="Arial"/>
        </w:rPr>
        <w:t xml:space="preserve">(2), pp.113-120. </w:t>
      </w:r>
      <w:hyperlink r:id="rId33">
        <w:r>
          <w:rPr>
            <w:rFonts w:ascii="Arial" w:eastAsia="Arial" w:hAnsi="Arial" w:cs="Arial"/>
            <w:color w:val="1155CC"/>
            <w:u w:val="single"/>
          </w:rPr>
          <w:t>https://www.a-fl-insight.com/vol-15/80.pdf</w:t>
        </w:r>
      </w:hyperlink>
      <w:r>
        <w:rPr>
          <w:rFonts w:ascii="Arial" w:eastAsia="Arial" w:hAnsi="Arial" w:cs="Arial"/>
        </w:rPr>
        <w:t xml:space="preserve"> </w:t>
      </w:r>
    </w:p>
    <w:p w14:paraId="7EF578FD" w14:textId="77777777" w:rsidR="0035611D" w:rsidRDefault="00A6742D">
      <w:pPr>
        <w:rPr>
          <w:rFonts w:ascii="Arial" w:eastAsia="Arial" w:hAnsi="Arial" w:cs="Arial"/>
        </w:rPr>
      </w:pPr>
      <w:r>
        <w:rPr>
          <w:rFonts w:ascii="Arial" w:eastAsia="Arial" w:hAnsi="Arial" w:cs="Arial"/>
        </w:rPr>
        <w:t xml:space="preserve">Suroso, S., 2022. Can Financial Ratios Improve Stock Returns in Manufacturing Companies?. </w:t>
      </w:r>
      <w:r>
        <w:rPr>
          <w:rFonts w:ascii="Arial" w:eastAsia="Arial" w:hAnsi="Arial" w:cs="Arial"/>
          <w:i/>
          <w:iCs/>
        </w:rPr>
        <w:t>Atestasi: Jurnal Ilmiah Akuntansi</w:t>
      </w:r>
      <w:r>
        <w:rPr>
          <w:rFonts w:ascii="Arial" w:eastAsia="Arial" w:hAnsi="Arial" w:cs="Arial"/>
        </w:rPr>
        <w:t xml:space="preserve">, </w:t>
      </w:r>
      <w:r>
        <w:rPr>
          <w:rFonts w:ascii="Arial" w:eastAsia="Arial" w:hAnsi="Arial" w:cs="Arial"/>
          <w:i/>
          <w:iCs/>
        </w:rPr>
        <w:t>5</w:t>
      </w:r>
      <w:r>
        <w:rPr>
          <w:rFonts w:ascii="Arial" w:eastAsia="Arial" w:hAnsi="Arial" w:cs="Arial"/>
        </w:rPr>
        <w:t xml:space="preserve">(1), pp.137-151. </w:t>
      </w:r>
      <w:hyperlink r:id="rId34">
        <w:r>
          <w:rPr>
            <w:rFonts w:ascii="Arial" w:eastAsia="Arial" w:hAnsi="Arial" w:cs="Arial"/>
            <w:color w:val="1155CC"/>
            <w:u w:val="single"/>
          </w:rPr>
          <w:t>https://jurnal.feb-umi.id/index.php/ATESTASI/article/download/32/13</w:t>
        </w:r>
      </w:hyperlink>
      <w:r>
        <w:rPr>
          <w:rFonts w:ascii="Arial" w:eastAsia="Arial" w:hAnsi="Arial" w:cs="Arial"/>
        </w:rPr>
        <w:t xml:space="preserve"> </w:t>
      </w:r>
    </w:p>
    <w:p w14:paraId="2A2F6B90" w14:textId="77777777" w:rsidR="0035611D" w:rsidRDefault="00A6742D">
      <w:pPr>
        <w:rPr>
          <w:rFonts w:ascii="Arial" w:eastAsia="Arial" w:hAnsi="Arial" w:cs="Arial"/>
        </w:rPr>
      </w:pPr>
      <w:r>
        <w:rPr>
          <w:rFonts w:ascii="Arial" w:eastAsia="Arial" w:hAnsi="Arial" w:cs="Arial"/>
        </w:rPr>
        <w:t xml:space="preserve">Tesla. 2020. </w:t>
      </w:r>
      <w:r>
        <w:rPr>
          <w:rFonts w:ascii="Arial" w:eastAsia="Arial" w:hAnsi="Arial" w:cs="Arial"/>
          <w:i/>
          <w:iCs/>
        </w:rPr>
        <w:t>Annual report of Tesla, Inc. of 2020</w:t>
      </w:r>
      <w:r>
        <w:rPr>
          <w:rFonts w:ascii="Arial" w:eastAsia="Arial" w:hAnsi="Arial" w:cs="Arial"/>
        </w:rPr>
        <w:t xml:space="preserve">. Available at:  </w:t>
      </w:r>
      <w:hyperlink r:id="rId35">
        <w:r>
          <w:rPr>
            <w:rFonts w:ascii="Arial" w:eastAsia="Arial" w:hAnsi="Arial" w:cs="Arial"/>
            <w:color w:val="1155CC"/>
            <w:u w:val="single"/>
          </w:rPr>
          <w:t>https://www.annualreports.com/HostedData/AnnualReportArchive/t/NASDAQ_TSLA_2020.pdf</w:t>
        </w:r>
      </w:hyperlink>
      <w:r>
        <w:rPr>
          <w:rFonts w:ascii="Arial" w:eastAsia="Arial" w:hAnsi="Arial" w:cs="Arial"/>
        </w:rPr>
        <w:t xml:space="preserve"> [Accessed 24th March 2026]</w:t>
      </w:r>
    </w:p>
    <w:p w14:paraId="783E2B22" w14:textId="77777777" w:rsidR="0035611D" w:rsidRDefault="00A6742D">
      <w:pPr>
        <w:rPr>
          <w:rFonts w:ascii="Arial" w:eastAsia="Arial" w:hAnsi="Arial" w:cs="Arial"/>
        </w:rPr>
      </w:pPr>
      <w:r>
        <w:rPr>
          <w:rFonts w:ascii="Arial" w:eastAsia="Arial" w:hAnsi="Arial" w:cs="Arial"/>
        </w:rPr>
        <w:t xml:space="preserve">Tesla. 2022. </w:t>
      </w:r>
      <w:r>
        <w:rPr>
          <w:rFonts w:ascii="Arial" w:eastAsia="Arial" w:hAnsi="Arial" w:cs="Arial"/>
          <w:i/>
          <w:iCs/>
        </w:rPr>
        <w:t>Annual report of Tesla, Inc. of 2022</w:t>
      </w:r>
      <w:r>
        <w:rPr>
          <w:rFonts w:ascii="Arial" w:eastAsia="Arial" w:hAnsi="Arial" w:cs="Arial"/>
        </w:rPr>
        <w:t xml:space="preserve">. Available at:  </w:t>
      </w:r>
      <w:hyperlink r:id="rId36">
        <w:r>
          <w:rPr>
            <w:rFonts w:ascii="Arial" w:eastAsia="Arial" w:hAnsi="Arial" w:cs="Arial"/>
            <w:color w:val="1155CC"/>
            <w:u w:val="single"/>
          </w:rPr>
          <w:t>https://www.annualreports.com/HostedData/AnnualReportArchive/t/NASDAQ_TSLA_2022.pdf</w:t>
        </w:r>
      </w:hyperlink>
      <w:r>
        <w:rPr>
          <w:rFonts w:ascii="Arial" w:eastAsia="Arial" w:hAnsi="Arial" w:cs="Arial"/>
        </w:rPr>
        <w:t xml:space="preserve"> [Accessed 24th March 2026]</w:t>
      </w:r>
    </w:p>
    <w:p w14:paraId="04099D8F" w14:textId="77777777" w:rsidR="0035611D" w:rsidRDefault="00A6742D">
      <w:pPr>
        <w:rPr>
          <w:rFonts w:ascii="Arial" w:eastAsia="Arial" w:hAnsi="Arial" w:cs="Arial"/>
        </w:rPr>
      </w:pPr>
      <w:r>
        <w:rPr>
          <w:rFonts w:ascii="Arial" w:eastAsia="Arial" w:hAnsi="Arial" w:cs="Arial"/>
        </w:rPr>
        <w:t xml:space="preserve">Tesla. 2023. </w:t>
      </w:r>
      <w:r>
        <w:rPr>
          <w:rFonts w:ascii="Arial" w:eastAsia="Arial" w:hAnsi="Arial" w:cs="Arial"/>
          <w:i/>
          <w:iCs/>
        </w:rPr>
        <w:t>Annual report of Tesla, Inc. of 2023</w:t>
      </w:r>
      <w:r>
        <w:rPr>
          <w:rFonts w:ascii="Arial" w:eastAsia="Arial" w:hAnsi="Arial" w:cs="Arial"/>
        </w:rPr>
        <w:t xml:space="preserve">. Available at:  </w:t>
      </w:r>
      <w:hyperlink r:id="rId37">
        <w:r>
          <w:rPr>
            <w:rFonts w:ascii="Arial" w:eastAsia="Arial" w:hAnsi="Arial" w:cs="Arial"/>
            <w:color w:val="1155CC"/>
            <w:u w:val="single"/>
          </w:rPr>
          <w:t>https://www.annualreports.com/HostedData/AnnualReportArchive/t/NASDAQ_TSLA_2023.pdf</w:t>
        </w:r>
      </w:hyperlink>
      <w:r>
        <w:rPr>
          <w:rFonts w:ascii="Arial" w:eastAsia="Arial" w:hAnsi="Arial" w:cs="Arial"/>
        </w:rPr>
        <w:t xml:space="preserve"> [Accessed 24th March 2026]</w:t>
      </w:r>
    </w:p>
    <w:p w14:paraId="7FEE2121" w14:textId="77777777" w:rsidR="0035611D" w:rsidRDefault="00A6742D">
      <w:pPr>
        <w:rPr>
          <w:rFonts w:ascii="Arial" w:eastAsia="Arial" w:hAnsi="Arial" w:cs="Arial"/>
        </w:rPr>
      </w:pPr>
      <w:r>
        <w:rPr>
          <w:rFonts w:ascii="Arial" w:eastAsia="Arial" w:hAnsi="Arial" w:cs="Arial"/>
        </w:rPr>
        <w:t xml:space="preserve">Tesla. 2024. </w:t>
      </w:r>
      <w:r>
        <w:rPr>
          <w:rFonts w:ascii="Arial" w:eastAsia="Arial" w:hAnsi="Arial" w:cs="Arial"/>
          <w:i/>
          <w:iCs/>
        </w:rPr>
        <w:t>Annual report of Tesla, Inc. of 2024</w:t>
      </w:r>
      <w:r>
        <w:rPr>
          <w:rFonts w:ascii="Arial" w:eastAsia="Arial" w:hAnsi="Arial" w:cs="Arial"/>
        </w:rPr>
        <w:t xml:space="preserve">. Available at:  </w:t>
      </w:r>
      <w:hyperlink r:id="rId38">
        <w:r>
          <w:rPr>
            <w:rFonts w:ascii="Arial" w:eastAsia="Arial" w:hAnsi="Arial" w:cs="Arial"/>
            <w:color w:val="1155CC"/>
            <w:u w:val="single"/>
          </w:rPr>
          <w:t>https://www.annualreports.com/HostedData/AnnualReports/PDF/NASDAQ_TSLA_2024.pdf</w:t>
        </w:r>
      </w:hyperlink>
      <w:r>
        <w:rPr>
          <w:rFonts w:ascii="Arial" w:eastAsia="Arial" w:hAnsi="Arial" w:cs="Arial"/>
        </w:rPr>
        <w:t xml:space="preserve"> [Accessed 24th March 2026]</w:t>
      </w:r>
    </w:p>
    <w:p w14:paraId="6D79F94E" w14:textId="77777777" w:rsidR="0035611D" w:rsidRDefault="00A6742D">
      <w:pPr>
        <w:rPr>
          <w:rFonts w:ascii="Arial" w:eastAsia="Arial" w:hAnsi="Arial" w:cs="Arial"/>
        </w:rPr>
      </w:pPr>
      <w:r>
        <w:rPr>
          <w:rFonts w:ascii="Arial" w:eastAsia="Arial" w:hAnsi="Arial" w:cs="Arial"/>
        </w:rPr>
        <w:t xml:space="preserve">Yahoo. 2026. </w:t>
      </w:r>
      <w:r>
        <w:rPr>
          <w:rFonts w:ascii="Arial" w:eastAsia="Arial" w:hAnsi="Arial" w:cs="Arial"/>
          <w:i/>
          <w:iCs/>
        </w:rPr>
        <w:t>Tesla Market Price per Share (TSLA)</w:t>
      </w:r>
      <w:r>
        <w:rPr>
          <w:rFonts w:ascii="Arial" w:eastAsia="Arial" w:hAnsi="Arial" w:cs="Arial"/>
        </w:rPr>
        <w:t xml:space="preserve">. Available at:  </w:t>
      </w:r>
      <w:hyperlink r:id="rId39">
        <w:r>
          <w:rPr>
            <w:rFonts w:ascii="Arial" w:eastAsia="Arial" w:hAnsi="Arial" w:cs="Arial"/>
            <w:color w:val="1155CC"/>
            <w:u w:val="single"/>
          </w:rPr>
          <w:t>https://finance.yahoo.com/quote/TSLA/history/?utm_source=chatgpt.com&amp;guccounter=1&amp;guce_referrer=aHR0cHM6Ly9jaGF0Z3B0LmNvbS8&amp;guce_referrer_sig=AQAAAGa6aklRP6RWlBYu4RlU4EAeLu6MTnAZjVfRkoo3P8Et3cEWz83e56fi5c7VBCpDPMqXWiM8XzU1-y_GPBOsJsQ_fb8YZxCwsFouyi3QK6-yVbVi0Cme7HgcE5C1ViXEuziosUVkun7nvZFGKKOcW14_OwhOUybPOpJsITojVaYT&amp;period1=1616594957&amp;period2=1774361309</w:t>
        </w:r>
      </w:hyperlink>
      <w:r>
        <w:rPr>
          <w:rFonts w:ascii="Arial" w:eastAsia="Arial" w:hAnsi="Arial" w:cs="Arial"/>
        </w:rPr>
        <w:t xml:space="preserve"> [Accessed 24th March 2026]</w:t>
      </w:r>
    </w:p>
    <w:p w14:paraId="7B5E0B03" w14:textId="77777777" w:rsidR="0035611D" w:rsidRDefault="00A6742D">
      <w:pPr>
        <w:spacing w:before="200" w:after="200"/>
        <w:rPr>
          <w:rFonts w:ascii="Arial" w:eastAsia="Arial" w:hAnsi="Arial" w:cs="Arial"/>
        </w:rPr>
      </w:pPr>
      <w:r>
        <w:br w:type="page"/>
      </w:r>
    </w:p>
    <w:p w14:paraId="61D95EA9" w14:textId="77777777" w:rsidR="0035611D" w:rsidRDefault="00A6742D">
      <w:pPr>
        <w:pStyle w:val="Heading1"/>
      </w:pPr>
      <w:bookmarkStart w:id="56" w:name="_q6jimb9hmqni" w:colFirst="0" w:colLast="0"/>
      <w:bookmarkEnd w:id="56"/>
      <w:r>
        <w:t xml:space="preserve">8. Appendices </w:t>
      </w:r>
    </w:p>
    <w:p w14:paraId="6B115AE0" w14:textId="77777777" w:rsidR="0035611D" w:rsidRDefault="00A6742D">
      <w:pPr>
        <w:pStyle w:val="Heading2"/>
      </w:pPr>
      <w:bookmarkStart w:id="57" w:name="_69f1eaqd35f1" w:colFirst="0" w:colLast="0"/>
      <w:bookmarkEnd w:id="57"/>
      <w:r>
        <w:t>Appendix 1: "Profitability Ratio"</w:t>
      </w:r>
    </w:p>
    <w:p w14:paraId="13D82948" w14:textId="77777777" w:rsidR="0035611D" w:rsidRDefault="00A6742D">
      <w:pPr>
        <w:spacing w:before="200" w:after="200"/>
        <w:jc w:val="center"/>
        <w:rPr>
          <w:rFonts w:ascii="Arial" w:eastAsia="Arial" w:hAnsi="Arial" w:cs="Arial"/>
        </w:rPr>
      </w:pPr>
      <w:r>
        <w:rPr>
          <w:rFonts w:ascii="Arial" w:eastAsia="Arial" w:hAnsi="Arial" w:cs="Arial"/>
          <w:noProof/>
        </w:rPr>
        <w:drawing>
          <wp:inline distT="0" distB="0" distL="0" distR="0" wp14:anchorId="2BDB1658" wp14:editId="0EF4EA70">
            <wp:extent cx="5733415" cy="631190"/>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0"/>
                    <a:srcRect/>
                    <a:stretch>
                      <a:fillRect/>
                    </a:stretch>
                  </pic:blipFill>
                  <pic:spPr>
                    <a:xfrm>
                      <a:off x="0" y="0"/>
                      <a:ext cx="5733415" cy="631190"/>
                    </a:xfrm>
                    <a:prstGeom prst="rect">
                      <a:avLst/>
                    </a:prstGeom>
                    <a:ln/>
                  </pic:spPr>
                </pic:pic>
              </a:graphicData>
            </a:graphic>
          </wp:inline>
        </w:drawing>
      </w:r>
      <w:r>
        <w:rPr>
          <w:noProof/>
        </w:rPr>
        <w:drawing>
          <wp:inline distT="0" distB="0" distL="0" distR="0" wp14:anchorId="64D29491" wp14:editId="7D9A5C42">
            <wp:extent cx="4889416" cy="2712955"/>
            <wp:effectExtent l="0" t="0" r="0" b="0"/>
            <wp:docPr id="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41"/>
                    <a:srcRect/>
                    <a:stretch>
                      <a:fillRect/>
                    </a:stretch>
                  </pic:blipFill>
                  <pic:spPr>
                    <a:xfrm>
                      <a:off x="0" y="0"/>
                      <a:ext cx="4889416" cy="2712955"/>
                    </a:xfrm>
                    <a:prstGeom prst="rect">
                      <a:avLst/>
                    </a:prstGeom>
                    <a:ln/>
                  </pic:spPr>
                </pic:pic>
              </a:graphicData>
            </a:graphic>
          </wp:inline>
        </w:drawing>
      </w:r>
    </w:p>
    <w:p w14:paraId="66B463D4" w14:textId="77777777" w:rsidR="0035611D" w:rsidRDefault="00A6742D">
      <w:pPr>
        <w:spacing w:before="200" w:after="200"/>
        <w:jc w:val="center"/>
        <w:rPr>
          <w:rFonts w:ascii="Arial" w:eastAsia="Arial" w:hAnsi="Arial" w:cs="Arial"/>
        </w:rPr>
      </w:pPr>
      <w:r>
        <w:rPr>
          <w:rFonts w:ascii="Arial" w:eastAsia="Arial" w:hAnsi="Arial" w:cs="Arial"/>
        </w:rPr>
        <w:t>(Source: MS-Excel)</w:t>
      </w:r>
    </w:p>
    <w:p w14:paraId="3166B075" w14:textId="77777777" w:rsidR="0035611D" w:rsidRDefault="00A6742D">
      <w:pPr>
        <w:pStyle w:val="Heading2"/>
      </w:pPr>
      <w:bookmarkStart w:id="58" w:name="_veszrgtwxorm" w:colFirst="0" w:colLast="0"/>
      <w:bookmarkEnd w:id="58"/>
      <w:r>
        <w:t>Appendix 2: "Liquidity ratio"</w:t>
      </w:r>
    </w:p>
    <w:p w14:paraId="4B8C3652" w14:textId="77777777" w:rsidR="0035611D" w:rsidRDefault="00A6742D">
      <w:pPr>
        <w:spacing w:before="200" w:after="200"/>
        <w:jc w:val="center"/>
        <w:rPr>
          <w:rFonts w:ascii="Arial" w:eastAsia="Arial" w:hAnsi="Arial" w:cs="Arial"/>
          <w:b/>
          <w:bCs/>
        </w:rPr>
      </w:pPr>
      <w:r>
        <w:rPr>
          <w:rFonts w:ascii="Arial" w:eastAsia="Arial" w:hAnsi="Arial" w:cs="Arial"/>
          <w:b/>
          <w:bCs/>
          <w:noProof/>
        </w:rPr>
        <w:drawing>
          <wp:inline distT="0" distB="0" distL="0" distR="0" wp14:anchorId="25D24B29" wp14:editId="0F9A2F0D">
            <wp:extent cx="5733415" cy="88392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2"/>
                    <a:srcRect/>
                    <a:stretch>
                      <a:fillRect/>
                    </a:stretch>
                  </pic:blipFill>
                  <pic:spPr>
                    <a:xfrm>
                      <a:off x="0" y="0"/>
                      <a:ext cx="5733415" cy="883920"/>
                    </a:xfrm>
                    <a:prstGeom prst="rect">
                      <a:avLst/>
                    </a:prstGeom>
                    <a:ln/>
                  </pic:spPr>
                </pic:pic>
              </a:graphicData>
            </a:graphic>
          </wp:inline>
        </w:drawing>
      </w:r>
    </w:p>
    <w:p w14:paraId="5D0CBC02" w14:textId="77777777" w:rsidR="0035611D" w:rsidRDefault="00A6742D">
      <w:pPr>
        <w:spacing w:before="200" w:after="200"/>
        <w:jc w:val="center"/>
        <w:rPr>
          <w:rFonts w:ascii="Arial" w:eastAsia="Arial" w:hAnsi="Arial" w:cs="Arial"/>
        </w:rPr>
      </w:pPr>
      <w:r>
        <w:rPr>
          <w:noProof/>
        </w:rPr>
        <w:drawing>
          <wp:inline distT="0" distB="0" distL="0" distR="0" wp14:anchorId="290BC051" wp14:editId="42DDBEEA">
            <wp:extent cx="4602879" cy="2889754"/>
            <wp:effectExtent l="0" t="0" r="0" b="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3"/>
                    <a:srcRect/>
                    <a:stretch>
                      <a:fillRect/>
                    </a:stretch>
                  </pic:blipFill>
                  <pic:spPr>
                    <a:xfrm>
                      <a:off x="0" y="0"/>
                      <a:ext cx="4602879" cy="2889754"/>
                    </a:xfrm>
                    <a:prstGeom prst="rect">
                      <a:avLst/>
                    </a:prstGeom>
                    <a:ln/>
                  </pic:spPr>
                </pic:pic>
              </a:graphicData>
            </a:graphic>
          </wp:inline>
        </w:drawing>
      </w:r>
    </w:p>
    <w:p w14:paraId="4C9578DC" w14:textId="77777777" w:rsidR="0035611D" w:rsidRDefault="00A6742D">
      <w:pPr>
        <w:spacing w:before="200" w:after="200"/>
        <w:jc w:val="center"/>
        <w:rPr>
          <w:rFonts w:ascii="Arial" w:eastAsia="Arial" w:hAnsi="Arial" w:cs="Arial"/>
        </w:rPr>
      </w:pPr>
      <w:r>
        <w:rPr>
          <w:rFonts w:ascii="Arial" w:eastAsia="Arial" w:hAnsi="Arial" w:cs="Arial"/>
        </w:rPr>
        <w:t>(Source: MS-Excel)</w:t>
      </w:r>
    </w:p>
    <w:p w14:paraId="1D4A6B7D" w14:textId="77777777" w:rsidR="0035611D" w:rsidRDefault="00A6742D">
      <w:pPr>
        <w:pStyle w:val="Heading2"/>
      </w:pPr>
      <w:bookmarkStart w:id="59" w:name="_j5u9asa3u466" w:colFirst="0" w:colLast="0"/>
      <w:bookmarkEnd w:id="59"/>
      <w:r>
        <w:t>Appendix 3: "Efficiency ratio"</w:t>
      </w:r>
    </w:p>
    <w:p w14:paraId="4B0A4C89" w14:textId="77777777" w:rsidR="0035611D" w:rsidRDefault="00A6742D">
      <w:pPr>
        <w:spacing w:before="200" w:after="200"/>
        <w:jc w:val="center"/>
        <w:rPr>
          <w:rFonts w:ascii="Arial" w:eastAsia="Arial" w:hAnsi="Arial" w:cs="Arial"/>
        </w:rPr>
      </w:pPr>
      <w:r>
        <w:rPr>
          <w:rFonts w:ascii="Arial" w:eastAsia="Arial" w:hAnsi="Arial" w:cs="Arial"/>
          <w:noProof/>
        </w:rPr>
        <w:drawing>
          <wp:inline distT="0" distB="0" distL="0" distR="0" wp14:anchorId="4FF1E887" wp14:editId="0E7274DD">
            <wp:extent cx="5733415" cy="913765"/>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4"/>
                    <a:srcRect/>
                    <a:stretch>
                      <a:fillRect/>
                    </a:stretch>
                  </pic:blipFill>
                  <pic:spPr>
                    <a:xfrm>
                      <a:off x="0" y="0"/>
                      <a:ext cx="5733415" cy="913765"/>
                    </a:xfrm>
                    <a:prstGeom prst="rect">
                      <a:avLst/>
                    </a:prstGeom>
                    <a:ln/>
                  </pic:spPr>
                </pic:pic>
              </a:graphicData>
            </a:graphic>
          </wp:inline>
        </w:drawing>
      </w:r>
    </w:p>
    <w:p w14:paraId="65271176" w14:textId="77777777" w:rsidR="0035611D" w:rsidRDefault="00A6742D">
      <w:pPr>
        <w:spacing w:before="200" w:after="200"/>
        <w:jc w:val="center"/>
        <w:rPr>
          <w:rFonts w:ascii="Arial" w:eastAsia="Arial" w:hAnsi="Arial" w:cs="Arial"/>
        </w:rPr>
      </w:pPr>
      <w:r>
        <w:rPr>
          <w:noProof/>
        </w:rPr>
        <w:drawing>
          <wp:inline distT="0" distB="0" distL="0" distR="0" wp14:anchorId="57F9F263" wp14:editId="2AD4B155">
            <wp:extent cx="4590686" cy="2889754"/>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5"/>
                    <a:srcRect/>
                    <a:stretch>
                      <a:fillRect/>
                    </a:stretch>
                  </pic:blipFill>
                  <pic:spPr>
                    <a:xfrm>
                      <a:off x="0" y="0"/>
                      <a:ext cx="4590686" cy="2889754"/>
                    </a:xfrm>
                    <a:prstGeom prst="rect">
                      <a:avLst/>
                    </a:prstGeom>
                    <a:ln/>
                  </pic:spPr>
                </pic:pic>
              </a:graphicData>
            </a:graphic>
          </wp:inline>
        </w:drawing>
      </w:r>
    </w:p>
    <w:p w14:paraId="26D5D913" w14:textId="77777777" w:rsidR="0035611D" w:rsidRDefault="00A6742D">
      <w:pPr>
        <w:spacing w:before="200" w:after="200"/>
        <w:jc w:val="center"/>
        <w:rPr>
          <w:rFonts w:ascii="Arial" w:eastAsia="Arial" w:hAnsi="Arial" w:cs="Arial"/>
        </w:rPr>
      </w:pPr>
      <w:r>
        <w:rPr>
          <w:rFonts w:ascii="Arial" w:eastAsia="Arial" w:hAnsi="Arial" w:cs="Arial"/>
        </w:rPr>
        <w:t>(Source: MS-Excel)</w:t>
      </w:r>
    </w:p>
    <w:p w14:paraId="74F57562" w14:textId="77777777" w:rsidR="0035611D" w:rsidRDefault="00A6742D">
      <w:pPr>
        <w:pStyle w:val="Heading2"/>
      </w:pPr>
      <w:bookmarkStart w:id="60" w:name="_7kjjmjsh14iz" w:colFirst="0" w:colLast="0"/>
      <w:bookmarkEnd w:id="60"/>
      <w:r>
        <w:t>Appendix 4: "Gearing Ratio"</w:t>
      </w:r>
    </w:p>
    <w:p w14:paraId="07A51562" w14:textId="77777777" w:rsidR="0035611D" w:rsidRDefault="00A6742D">
      <w:pPr>
        <w:spacing w:before="200" w:after="200"/>
        <w:jc w:val="center"/>
        <w:rPr>
          <w:rFonts w:ascii="Arial" w:eastAsia="Arial" w:hAnsi="Arial" w:cs="Arial"/>
        </w:rPr>
      </w:pPr>
      <w:r>
        <w:rPr>
          <w:rFonts w:ascii="Arial" w:eastAsia="Arial" w:hAnsi="Arial" w:cs="Arial"/>
          <w:noProof/>
        </w:rPr>
        <w:drawing>
          <wp:inline distT="0" distB="0" distL="0" distR="0" wp14:anchorId="3CA3DCE6" wp14:editId="755E4748">
            <wp:extent cx="5733415" cy="680085"/>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6"/>
                    <a:srcRect/>
                    <a:stretch>
                      <a:fillRect/>
                    </a:stretch>
                  </pic:blipFill>
                  <pic:spPr>
                    <a:xfrm>
                      <a:off x="0" y="0"/>
                      <a:ext cx="5733415" cy="680085"/>
                    </a:xfrm>
                    <a:prstGeom prst="rect">
                      <a:avLst/>
                    </a:prstGeom>
                    <a:ln/>
                  </pic:spPr>
                </pic:pic>
              </a:graphicData>
            </a:graphic>
          </wp:inline>
        </w:drawing>
      </w:r>
      <w:r>
        <w:rPr>
          <w:noProof/>
        </w:rPr>
        <w:drawing>
          <wp:inline distT="0" distB="0" distL="0" distR="0" wp14:anchorId="3CE18C4B" wp14:editId="33CFEBBE">
            <wp:extent cx="5218628" cy="3188484"/>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7"/>
                    <a:srcRect/>
                    <a:stretch>
                      <a:fillRect/>
                    </a:stretch>
                  </pic:blipFill>
                  <pic:spPr>
                    <a:xfrm>
                      <a:off x="0" y="0"/>
                      <a:ext cx="5218628" cy="3188484"/>
                    </a:xfrm>
                    <a:prstGeom prst="rect">
                      <a:avLst/>
                    </a:prstGeom>
                    <a:ln/>
                  </pic:spPr>
                </pic:pic>
              </a:graphicData>
            </a:graphic>
          </wp:inline>
        </w:drawing>
      </w:r>
    </w:p>
    <w:p w14:paraId="63320FEA" w14:textId="77777777" w:rsidR="0035611D" w:rsidRDefault="00A6742D">
      <w:pPr>
        <w:spacing w:before="200" w:after="200"/>
        <w:jc w:val="center"/>
        <w:rPr>
          <w:rFonts w:ascii="Arial" w:eastAsia="Arial" w:hAnsi="Arial" w:cs="Arial"/>
        </w:rPr>
      </w:pPr>
      <w:r>
        <w:rPr>
          <w:rFonts w:ascii="Arial" w:eastAsia="Arial" w:hAnsi="Arial" w:cs="Arial"/>
        </w:rPr>
        <w:t>(Source: MS-Excel)</w:t>
      </w:r>
    </w:p>
    <w:p w14:paraId="12997082" w14:textId="77777777" w:rsidR="0035611D" w:rsidRDefault="00A6742D">
      <w:pPr>
        <w:pStyle w:val="Heading2"/>
      </w:pPr>
      <w:bookmarkStart w:id="61" w:name="_6ktx3wxs154v" w:colFirst="0" w:colLast="0"/>
      <w:bookmarkEnd w:id="61"/>
      <w:r>
        <w:t>Appendix 5: "Investment ratio"</w:t>
      </w:r>
    </w:p>
    <w:p w14:paraId="237DDF4E" w14:textId="77777777" w:rsidR="0035611D" w:rsidRDefault="00A6742D">
      <w:pPr>
        <w:spacing w:before="200" w:after="200"/>
        <w:jc w:val="center"/>
        <w:rPr>
          <w:rFonts w:ascii="Arial" w:eastAsia="Arial" w:hAnsi="Arial" w:cs="Arial"/>
        </w:rPr>
      </w:pPr>
      <w:r>
        <w:rPr>
          <w:rFonts w:ascii="Arial" w:eastAsia="Arial" w:hAnsi="Arial" w:cs="Arial"/>
          <w:noProof/>
        </w:rPr>
        <w:drawing>
          <wp:inline distT="0" distB="0" distL="0" distR="0" wp14:anchorId="4A93B156" wp14:editId="1F071DDD">
            <wp:extent cx="5733415" cy="858520"/>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8"/>
                    <a:srcRect/>
                    <a:stretch>
                      <a:fillRect/>
                    </a:stretch>
                  </pic:blipFill>
                  <pic:spPr>
                    <a:xfrm>
                      <a:off x="0" y="0"/>
                      <a:ext cx="5733415" cy="858520"/>
                    </a:xfrm>
                    <a:prstGeom prst="rect">
                      <a:avLst/>
                    </a:prstGeom>
                    <a:ln/>
                  </pic:spPr>
                </pic:pic>
              </a:graphicData>
            </a:graphic>
          </wp:inline>
        </w:drawing>
      </w:r>
      <w:r>
        <w:rPr>
          <w:noProof/>
        </w:rPr>
        <w:drawing>
          <wp:inline distT="0" distB="0" distL="0" distR="0" wp14:anchorId="6F117728" wp14:editId="0C152B80">
            <wp:extent cx="5511262" cy="3127519"/>
            <wp:effectExtent l="0" t="0" r="0" b="0"/>
            <wp:docPr id="1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49"/>
                    <a:srcRect/>
                    <a:stretch>
                      <a:fillRect/>
                    </a:stretch>
                  </pic:blipFill>
                  <pic:spPr>
                    <a:xfrm>
                      <a:off x="0" y="0"/>
                      <a:ext cx="5511262" cy="3127519"/>
                    </a:xfrm>
                    <a:prstGeom prst="rect">
                      <a:avLst/>
                    </a:prstGeom>
                    <a:ln/>
                  </pic:spPr>
                </pic:pic>
              </a:graphicData>
            </a:graphic>
          </wp:inline>
        </w:drawing>
      </w:r>
    </w:p>
    <w:p w14:paraId="2EEC7007" w14:textId="77777777" w:rsidR="0035611D" w:rsidRDefault="00A6742D">
      <w:pPr>
        <w:spacing w:before="200" w:after="200"/>
        <w:jc w:val="center"/>
        <w:rPr>
          <w:rFonts w:ascii="Arial" w:eastAsia="Arial" w:hAnsi="Arial" w:cs="Arial"/>
        </w:rPr>
      </w:pPr>
      <w:r>
        <w:rPr>
          <w:rFonts w:ascii="Arial" w:eastAsia="Arial" w:hAnsi="Arial" w:cs="Arial"/>
        </w:rPr>
        <w:t>(Source: MS-Excel)</w:t>
      </w:r>
    </w:p>
    <w:p w14:paraId="3F929B54" w14:textId="77777777" w:rsidR="0035611D" w:rsidRDefault="00A6742D">
      <w:pPr>
        <w:pStyle w:val="Heading2"/>
      </w:pPr>
      <w:bookmarkStart w:id="62" w:name="_etktbynh25fe" w:colFirst="0" w:colLast="0"/>
      <w:bookmarkEnd w:id="62"/>
      <w:r>
        <w:t>Appendix 6: "Cash Flow Ratios"</w:t>
      </w:r>
    </w:p>
    <w:p w14:paraId="765DB6BC" w14:textId="77777777" w:rsidR="0035611D" w:rsidRDefault="00A6742D">
      <w:pPr>
        <w:spacing w:before="200" w:after="200"/>
        <w:jc w:val="center"/>
        <w:rPr>
          <w:rFonts w:ascii="Arial" w:eastAsia="Arial" w:hAnsi="Arial" w:cs="Arial"/>
        </w:rPr>
      </w:pPr>
      <w:r>
        <w:rPr>
          <w:rFonts w:ascii="Arial" w:eastAsia="Arial" w:hAnsi="Arial" w:cs="Arial"/>
          <w:noProof/>
        </w:rPr>
        <w:drawing>
          <wp:inline distT="0" distB="0" distL="0" distR="0" wp14:anchorId="23328B9E" wp14:editId="6522F620">
            <wp:extent cx="5733415" cy="688340"/>
            <wp:effectExtent l="0" t="0" r="0" b="0"/>
            <wp:docPr id="1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50"/>
                    <a:srcRect/>
                    <a:stretch>
                      <a:fillRect/>
                    </a:stretch>
                  </pic:blipFill>
                  <pic:spPr>
                    <a:xfrm>
                      <a:off x="0" y="0"/>
                      <a:ext cx="5733415" cy="688340"/>
                    </a:xfrm>
                    <a:prstGeom prst="rect">
                      <a:avLst/>
                    </a:prstGeom>
                    <a:ln/>
                  </pic:spPr>
                </pic:pic>
              </a:graphicData>
            </a:graphic>
          </wp:inline>
        </w:drawing>
      </w:r>
    </w:p>
    <w:p w14:paraId="0438469B" w14:textId="77777777" w:rsidR="0035611D" w:rsidRDefault="00A6742D">
      <w:pPr>
        <w:spacing w:before="200" w:after="200"/>
        <w:jc w:val="center"/>
        <w:rPr>
          <w:rFonts w:ascii="Arial" w:eastAsia="Arial" w:hAnsi="Arial" w:cs="Arial"/>
        </w:rPr>
      </w:pPr>
      <w:r>
        <w:rPr>
          <w:noProof/>
        </w:rPr>
        <w:drawing>
          <wp:inline distT="0" distB="0" distL="0" distR="0" wp14:anchorId="09491FA4" wp14:editId="554F8D46">
            <wp:extent cx="4584589" cy="2755631"/>
            <wp:effectExtent l="0" t="0" r="0" b="0"/>
            <wp:docPr id="1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51"/>
                    <a:srcRect/>
                    <a:stretch>
                      <a:fillRect/>
                    </a:stretch>
                  </pic:blipFill>
                  <pic:spPr>
                    <a:xfrm>
                      <a:off x="0" y="0"/>
                      <a:ext cx="4584589" cy="2755631"/>
                    </a:xfrm>
                    <a:prstGeom prst="rect">
                      <a:avLst/>
                    </a:prstGeom>
                    <a:ln/>
                  </pic:spPr>
                </pic:pic>
              </a:graphicData>
            </a:graphic>
          </wp:inline>
        </w:drawing>
      </w:r>
    </w:p>
    <w:p w14:paraId="7DF968F8" w14:textId="77777777" w:rsidR="0035611D" w:rsidRDefault="00A6742D">
      <w:pPr>
        <w:spacing w:before="200" w:after="200"/>
        <w:jc w:val="center"/>
        <w:rPr>
          <w:rFonts w:ascii="Arial" w:eastAsia="Arial" w:hAnsi="Arial" w:cs="Arial"/>
        </w:rPr>
      </w:pPr>
      <w:r>
        <w:rPr>
          <w:rFonts w:ascii="Arial" w:eastAsia="Arial" w:hAnsi="Arial" w:cs="Arial"/>
        </w:rPr>
        <w:t>(Source: MS-Excel)</w:t>
      </w:r>
    </w:p>
    <w:p w14:paraId="643CE8EE" w14:textId="77777777" w:rsidR="0035611D" w:rsidRDefault="00A6742D">
      <w:pPr>
        <w:pStyle w:val="Heading2"/>
      </w:pPr>
      <w:bookmarkStart w:id="63" w:name="_g5pj4z3x5gbl" w:colFirst="0" w:colLast="0"/>
      <w:bookmarkEnd w:id="63"/>
      <w:r>
        <w:t>Appendix 7: "Cash Operating Cycle"</w:t>
      </w:r>
    </w:p>
    <w:p w14:paraId="0FC0CF73" w14:textId="77777777" w:rsidR="0035611D" w:rsidRDefault="00A6742D">
      <w:pPr>
        <w:spacing w:before="200" w:after="200"/>
        <w:jc w:val="center"/>
        <w:rPr>
          <w:rFonts w:ascii="Arial" w:eastAsia="Arial" w:hAnsi="Arial" w:cs="Arial"/>
        </w:rPr>
      </w:pPr>
      <w:r>
        <w:rPr>
          <w:rFonts w:ascii="Arial" w:eastAsia="Arial" w:hAnsi="Arial" w:cs="Arial"/>
          <w:noProof/>
        </w:rPr>
        <w:drawing>
          <wp:inline distT="0" distB="0" distL="0" distR="0" wp14:anchorId="67EBA732" wp14:editId="567A112A">
            <wp:extent cx="5733415" cy="1653540"/>
            <wp:effectExtent l="0" t="0" r="0" b="0"/>
            <wp:docPr id="1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52"/>
                    <a:srcRect/>
                    <a:stretch>
                      <a:fillRect/>
                    </a:stretch>
                  </pic:blipFill>
                  <pic:spPr>
                    <a:xfrm>
                      <a:off x="0" y="0"/>
                      <a:ext cx="5733415" cy="1653540"/>
                    </a:xfrm>
                    <a:prstGeom prst="rect">
                      <a:avLst/>
                    </a:prstGeom>
                    <a:ln/>
                  </pic:spPr>
                </pic:pic>
              </a:graphicData>
            </a:graphic>
          </wp:inline>
        </w:drawing>
      </w:r>
      <w:r>
        <w:rPr>
          <w:noProof/>
        </w:rPr>
        <w:drawing>
          <wp:inline distT="0" distB="0" distL="0" distR="0" wp14:anchorId="23F15698" wp14:editId="7C93D2FE">
            <wp:extent cx="4578493" cy="2749534"/>
            <wp:effectExtent l="0" t="0" r="0" b="0"/>
            <wp:docPr id="1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53"/>
                    <a:srcRect/>
                    <a:stretch>
                      <a:fillRect/>
                    </a:stretch>
                  </pic:blipFill>
                  <pic:spPr>
                    <a:xfrm>
                      <a:off x="0" y="0"/>
                      <a:ext cx="4578493" cy="2749534"/>
                    </a:xfrm>
                    <a:prstGeom prst="rect">
                      <a:avLst/>
                    </a:prstGeom>
                    <a:ln/>
                  </pic:spPr>
                </pic:pic>
              </a:graphicData>
            </a:graphic>
          </wp:inline>
        </w:drawing>
      </w:r>
    </w:p>
    <w:p w14:paraId="72E33236" w14:textId="77777777" w:rsidR="0035611D" w:rsidRDefault="00A6742D">
      <w:pPr>
        <w:spacing w:before="200" w:after="200"/>
        <w:jc w:val="center"/>
        <w:rPr>
          <w:rFonts w:ascii="Arial" w:eastAsia="Arial" w:hAnsi="Arial" w:cs="Arial"/>
        </w:rPr>
      </w:pPr>
      <w:r>
        <w:rPr>
          <w:rFonts w:ascii="Arial" w:eastAsia="Arial" w:hAnsi="Arial" w:cs="Arial"/>
        </w:rPr>
        <w:t>(Source: MS-Excel)</w:t>
      </w:r>
    </w:p>
    <w:p w14:paraId="110A2DBE" w14:textId="77777777" w:rsidR="0035611D" w:rsidRDefault="00A6742D">
      <w:pPr>
        <w:pStyle w:val="Heading2"/>
      </w:pPr>
      <w:bookmarkStart w:id="64" w:name="_3t823v23c96b" w:colFirst="0" w:colLast="0"/>
      <w:bookmarkEnd w:id="64"/>
      <w:r>
        <w:t>Appendix 8: Project A</w:t>
      </w:r>
    </w:p>
    <w:tbl>
      <w:tblPr>
        <w:tblStyle w:val="a"/>
        <w:tblW w:w="9024" w:type="dxa"/>
        <w:jc w:val="center"/>
        <w:tblInd w:w="0" w:type="dxa"/>
        <w:tblLayout w:type="fixed"/>
        <w:tblLook w:val="0400" w:firstRow="0" w:lastRow="0" w:firstColumn="0" w:lastColumn="0" w:noHBand="0" w:noVBand="1"/>
      </w:tblPr>
      <w:tblGrid>
        <w:gridCol w:w="1403"/>
        <w:gridCol w:w="2017"/>
        <w:gridCol w:w="2076"/>
        <w:gridCol w:w="1831"/>
        <w:gridCol w:w="1697"/>
      </w:tblGrid>
      <w:tr w:rsidR="0035611D" w14:paraId="24152F44" w14:textId="77777777">
        <w:trPr>
          <w:trHeight w:val="624"/>
          <w:jc w:val="center"/>
        </w:trPr>
        <w:tc>
          <w:tcPr>
            <w:tcW w:w="1403" w:type="dxa"/>
            <w:tcBorders>
              <w:top w:val="single" w:sz="4" w:space="0" w:color="000000"/>
              <w:left w:val="single" w:sz="4" w:space="0" w:color="000000"/>
              <w:bottom w:val="single" w:sz="4" w:space="0" w:color="000000"/>
              <w:right w:val="single" w:sz="4" w:space="0" w:color="000000"/>
            </w:tcBorders>
            <w:shd w:val="clear" w:color="auto" w:fill="00B0F0"/>
            <w:vAlign w:val="center"/>
          </w:tcPr>
          <w:p w14:paraId="4E8989B2"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"Year"</w:t>
            </w:r>
          </w:p>
        </w:tc>
        <w:tc>
          <w:tcPr>
            <w:tcW w:w="2017" w:type="dxa"/>
            <w:tcBorders>
              <w:top w:val="single" w:sz="4" w:space="0" w:color="000000"/>
              <w:left w:val="nil"/>
              <w:bottom w:val="single" w:sz="4" w:space="0" w:color="000000"/>
              <w:right w:val="single" w:sz="4" w:space="0" w:color="000000"/>
            </w:tcBorders>
            <w:shd w:val="clear" w:color="auto" w:fill="00B0F0"/>
            <w:vAlign w:val="center"/>
          </w:tcPr>
          <w:p w14:paraId="0D7449EF"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"Cash Flow"</w:t>
            </w:r>
          </w:p>
        </w:tc>
        <w:tc>
          <w:tcPr>
            <w:tcW w:w="2076" w:type="dxa"/>
            <w:tcBorders>
              <w:top w:val="single" w:sz="4" w:space="0" w:color="000000"/>
              <w:left w:val="nil"/>
              <w:bottom w:val="single" w:sz="4" w:space="0" w:color="000000"/>
              <w:right w:val="single" w:sz="4" w:space="0" w:color="000000"/>
            </w:tcBorders>
            <w:shd w:val="clear" w:color="auto" w:fill="00B0F0"/>
            <w:vAlign w:val="center"/>
          </w:tcPr>
          <w:p w14:paraId="41450840"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"Discounting Factor @10%"</w:t>
            </w:r>
          </w:p>
        </w:tc>
        <w:tc>
          <w:tcPr>
            <w:tcW w:w="1831" w:type="dxa"/>
            <w:tcBorders>
              <w:top w:val="single" w:sz="4" w:space="0" w:color="000000"/>
              <w:left w:val="nil"/>
              <w:bottom w:val="single" w:sz="4" w:space="0" w:color="000000"/>
              <w:right w:val="single" w:sz="4" w:space="0" w:color="000000"/>
            </w:tcBorders>
            <w:shd w:val="clear" w:color="auto" w:fill="00B0F0"/>
            <w:vAlign w:val="center"/>
          </w:tcPr>
          <w:p w14:paraId="105A6275"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"Present Value"</w:t>
            </w:r>
          </w:p>
        </w:tc>
        <w:tc>
          <w:tcPr>
            <w:tcW w:w="1697" w:type="dxa"/>
            <w:tcBorders>
              <w:top w:val="nil"/>
              <w:left w:val="nil"/>
              <w:bottom w:val="nil"/>
              <w:right w:val="nil"/>
            </w:tcBorders>
            <w:vAlign w:val="bottom"/>
          </w:tcPr>
          <w:p w14:paraId="767FE8DC" w14:textId="77777777" w:rsidR="0035611D" w:rsidRDefault="0035611D">
            <w:pPr>
              <w:spacing w:before="0" w:after="0" w:line="240" w:lineRule="auto"/>
              <w:jc w:val="center"/>
              <w:rPr>
                <w:rFonts w:ascii="Arial" w:eastAsia="Arial" w:hAnsi="Arial" w:cs="Arial"/>
                <w:b/>
                <w:bCs/>
                <w:color w:val="000000"/>
              </w:rPr>
            </w:pPr>
          </w:p>
        </w:tc>
      </w:tr>
      <w:tr w:rsidR="0035611D" w14:paraId="1963689F" w14:textId="77777777">
        <w:trPr>
          <w:trHeight w:val="300"/>
          <w:jc w:val="center"/>
        </w:trPr>
        <w:tc>
          <w:tcPr>
            <w:tcW w:w="1403" w:type="dxa"/>
            <w:tcBorders>
              <w:top w:val="nil"/>
              <w:left w:val="single" w:sz="4" w:space="0" w:color="000000"/>
              <w:bottom w:val="single" w:sz="4" w:space="0" w:color="000000"/>
              <w:right w:val="single" w:sz="4" w:space="0" w:color="000000"/>
            </w:tcBorders>
            <w:vAlign w:val="bottom"/>
          </w:tcPr>
          <w:p w14:paraId="5BC31A6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w:t>
            </w:r>
          </w:p>
        </w:tc>
        <w:tc>
          <w:tcPr>
            <w:tcW w:w="2017" w:type="dxa"/>
            <w:tcBorders>
              <w:top w:val="nil"/>
              <w:left w:val="nil"/>
              <w:bottom w:val="single" w:sz="4" w:space="0" w:color="000000"/>
              <w:right w:val="single" w:sz="4" w:space="0" w:color="000000"/>
            </w:tcBorders>
            <w:vAlign w:val="bottom"/>
          </w:tcPr>
          <w:p w14:paraId="66D87499"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2076" w:type="dxa"/>
            <w:tcBorders>
              <w:top w:val="nil"/>
              <w:left w:val="nil"/>
              <w:bottom w:val="single" w:sz="4" w:space="0" w:color="000000"/>
              <w:right w:val="single" w:sz="4" w:space="0" w:color="000000"/>
            </w:tcBorders>
            <w:vAlign w:val="bottom"/>
          </w:tcPr>
          <w:p w14:paraId="18FDFE9B"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1.000</w:t>
            </w:r>
          </w:p>
        </w:tc>
        <w:tc>
          <w:tcPr>
            <w:tcW w:w="1831" w:type="dxa"/>
            <w:tcBorders>
              <w:top w:val="nil"/>
              <w:left w:val="nil"/>
              <w:bottom w:val="single" w:sz="4" w:space="0" w:color="000000"/>
              <w:right w:val="single" w:sz="4" w:space="0" w:color="000000"/>
            </w:tcBorders>
            <w:vAlign w:val="bottom"/>
          </w:tcPr>
          <w:p w14:paraId="631D3ECC"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1697" w:type="dxa"/>
            <w:tcBorders>
              <w:top w:val="nil"/>
              <w:left w:val="nil"/>
              <w:bottom w:val="nil"/>
              <w:right w:val="nil"/>
            </w:tcBorders>
            <w:vAlign w:val="bottom"/>
          </w:tcPr>
          <w:p w14:paraId="73FF04AD" w14:textId="77777777" w:rsidR="0035611D" w:rsidRDefault="0035611D">
            <w:pPr>
              <w:spacing w:before="0" w:after="0" w:line="240" w:lineRule="auto"/>
              <w:jc w:val="center"/>
              <w:rPr>
                <w:rFonts w:ascii="Arial" w:eastAsia="Arial" w:hAnsi="Arial" w:cs="Arial"/>
                <w:color w:val="000000"/>
              </w:rPr>
            </w:pPr>
          </w:p>
        </w:tc>
      </w:tr>
      <w:tr w:rsidR="0035611D" w14:paraId="3C52E21E" w14:textId="77777777">
        <w:trPr>
          <w:trHeight w:val="300"/>
          <w:jc w:val="center"/>
        </w:trPr>
        <w:tc>
          <w:tcPr>
            <w:tcW w:w="1403" w:type="dxa"/>
            <w:tcBorders>
              <w:top w:val="nil"/>
              <w:left w:val="single" w:sz="4" w:space="0" w:color="000000"/>
              <w:bottom w:val="single" w:sz="4" w:space="0" w:color="000000"/>
              <w:right w:val="single" w:sz="4" w:space="0" w:color="000000"/>
            </w:tcBorders>
            <w:vAlign w:val="bottom"/>
          </w:tcPr>
          <w:p w14:paraId="15B15456"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w:t>
            </w:r>
          </w:p>
        </w:tc>
        <w:tc>
          <w:tcPr>
            <w:tcW w:w="2017" w:type="dxa"/>
            <w:tcBorders>
              <w:top w:val="nil"/>
              <w:left w:val="nil"/>
              <w:bottom w:val="single" w:sz="4" w:space="0" w:color="000000"/>
              <w:right w:val="single" w:sz="4" w:space="0" w:color="000000"/>
            </w:tcBorders>
            <w:vAlign w:val="bottom"/>
          </w:tcPr>
          <w:p w14:paraId="4EFD200A"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10.00 </w:t>
            </w:r>
          </w:p>
        </w:tc>
        <w:tc>
          <w:tcPr>
            <w:tcW w:w="2076" w:type="dxa"/>
            <w:tcBorders>
              <w:top w:val="nil"/>
              <w:left w:val="nil"/>
              <w:bottom w:val="single" w:sz="4" w:space="0" w:color="000000"/>
              <w:right w:val="single" w:sz="4" w:space="0" w:color="000000"/>
            </w:tcBorders>
            <w:vAlign w:val="bottom"/>
          </w:tcPr>
          <w:p w14:paraId="5FC2ED5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0.909</w:t>
            </w:r>
          </w:p>
        </w:tc>
        <w:tc>
          <w:tcPr>
            <w:tcW w:w="1831" w:type="dxa"/>
            <w:tcBorders>
              <w:top w:val="nil"/>
              <w:left w:val="nil"/>
              <w:bottom w:val="single" w:sz="4" w:space="0" w:color="000000"/>
              <w:right w:val="single" w:sz="4" w:space="0" w:color="000000"/>
            </w:tcBorders>
            <w:vAlign w:val="bottom"/>
          </w:tcPr>
          <w:p w14:paraId="5417BD9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9.09 </w:t>
            </w:r>
          </w:p>
        </w:tc>
        <w:tc>
          <w:tcPr>
            <w:tcW w:w="1697" w:type="dxa"/>
            <w:tcBorders>
              <w:top w:val="nil"/>
              <w:left w:val="nil"/>
              <w:bottom w:val="nil"/>
              <w:right w:val="nil"/>
            </w:tcBorders>
            <w:vAlign w:val="bottom"/>
          </w:tcPr>
          <w:p w14:paraId="2DD0BF97" w14:textId="77777777" w:rsidR="0035611D" w:rsidRDefault="0035611D">
            <w:pPr>
              <w:spacing w:before="0" w:after="0" w:line="240" w:lineRule="auto"/>
              <w:jc w:val="center"/>
              <w:rPr>
                <w:rFonts w:ascii="Arial" w:eastAsia="Arial" w:hAnsi="Arial" w:cs="Arial"/>
                <w:color w:val="000000"/>
              </w:rPr>
            </w:pPr>
          </w:p>
        </w:tc>
      </w:tr>
      <w:tr w:rsidR="0035611D" w14:paraId="474D97D1" w14:textId="77777777">
        <w:trPr>
          <w:trHeight w:val="300"/>
          <w:jc w:val="center"/>
        </w:trPr>
        <w:tc>
          <w:tcPr>
            <w:tcW w:w="1403" w:type="dxa"/>
            <w:tcBorders>
              <w:top w:val="nil"/>
              <w:left w:val="single" w:sz="4" w:space="0" w:color="000000"/>
              <w:bottom w:val="single" w:sz="4" w:space="0" w:color="000000"/>
              <w:right w:val="single" w:sz="4" w:space="0" w:color="000000"/>
            </w:tcBorders>
            <w:vAlign w:val="bottom"/>
          </w:tcPr>
          <w:p w14:paraId="52B95FB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2</w:t>
            </w:r>
          </w:p>
        </w:tc>
        <w:tc>
          <w:tcPr>
            <w:tcW w:w="2017" w:type="dxa"/>
            <w:tcBorders>
              <w:top w:val="nil"/>
              <w:left w:val="nil"/>
              <w:bottom w:val="single" w:sz="4" w:space="0" w:color="000000"/>
              <w:right w:val="single" w:sz="4" w:space="0" w:color="000000"/>
            </w:tcBorders>
            <w:vAlign w:val="bottom"/>
          </w:tcPr>
          <w:p w14:paraId="2C996F2F"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12.00 </w:t>
            </w:r>
          </w:p>
        </w:tc>
        <w:tc>
          <w:tcPr>
            <w:tcW w:w="2076" w:type="dxa"/>
            <w:tcBorders>
              <w:top w:val="nil"/>
              <w:left w:val="nil"/>
              <w:bottom w:val="single" w:sz="4" w:space="0" w:color="000000"/>
              <w:right w:val="single" w:sz="4" w:space="0" w:color="000000"/>
            </w:tcBorders>
            <w:vAlign w:val="bottom"/>
          </w:tcPr>
          <w:p w14:paraId="154B1C0B"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0.826</w:t>
            </w:r>
          </w:p>
        </w:tc>
        <w:tc>
          <w:tcPr>
            <w:tcW w:w="1831" w:type="dxa"/>
            <w:tcBorders>
              <w:top w:val="nil"/>
              <w:left w:val="nil"/>
              <w:bottom w:val="single" w:sz="4" w:space="0" w:color="000000"/>
              <w:right w:val="single" w:sz="4" w:space="0" w:color="000000"/>
            </w:tcBorders>
            <w:vAlign w:val="bottom"/>
          </w:tcPr>
          <w:p w14:paraId="7D7F8DC9"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9.92 </w:t>
            </w:r>
          </w:p>
        </w:tc>
        <w:tc>
          <w:tcPr>
            <w:tcW w:w="1697" w:type="dxa"/>
            <w:tcBorders>
              <w:top w:val="nil"/>
              <w:left w:val="nil"/>
              <w:bottom w:val="nil"/>
              <w:right w:val="nil"/>
            </w:tcBorders>
            <w:vAlign w:val="bottom"/>
          </w:tcPr>
          <w:p w14:paraId="216F5647" w14:textId="77777777" w:rsidR="0035611D" w:rsidRDefault="0035611D">
            <w:pPr>
              <w:spacing w:before="0" w:after="0" w:line="240" w:lineRule="auto"/>
              <w:jc w:val="center"/>
              <w:rPr>
                <w:rFonts w:ascii="Arial" w:eastAsia="Arial" w:hAnsi="Arial" w:cs="Arial"/>
                <w:color w:val="000000"/>
              </w:rPr>
            </w:pPr>
          </w:p>
        </w:tc>
      </w:tr>
      <w:tr w:rsidR="0035611D" w14:paraId="0D49313D" w14:textId="77777777">
        <w:trPr>
          <w:trHeight w:val="300"/>
          <w:jc w:val="center"/>
        </w:trPr>
        <w:tc>
          <w:tcPr>
            <w:tcW w:w="1403" w:type="dxa"/>
            <w:tcBorders>
              <w:top w:val="nil"/>
              <w:left w:val="single" w:sz="4" w:space="0" w:color="000000"/>
              <w:bottom w:val="single" w:sz="4" w:space="0" w:color="000000"/>
              <w:right w:val="single" w:sz="4" w:space="0" w:color="000000"/>
            </w:tcBorders>
            <w:vAlign w:val="bottom"/>
          </w:tcPr>
          <w:p w14:paraId="06C60558"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3</w:t>
            </w:r>
          </w:p>
        </w:tc>
        <w:tc>
          <w:tcPr>
            <w:tcW w:w="2017" w:type="dxa"/>
            <w:tcBorders>
              <w:top w:val="nil"/>
              <w:left w:val="nil"/>
              <w:bottom w:val="single" w:sz="4" w:space="0" w:color="000000"/>
              <w:right w:val="single" w:sz="4" w:space="0" w:color="000000"/>
            </w:tcBorders>
            <w:vAlign w:val="bottom"/>
          </w:tcPr>
          <w:p w14:paraId="75C7C15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14.00 </w:t>
            </w:r>
          </w:p>
        </w:tc>
        <w:tc>
          <w:tcPr>
            <w:tcW w:w="2076" w:type="dxa"/>
            <w:tcBorders>
              <w:top w:val="nil"/>
              <w:left w:val="nil"/>
              <w:bottom w:val="single" w:sz="4" w:space="0" w:color="000000"/>
              <w:right w:val="single" w:sz="4" w:space="0" w:color="000000"/>
            </w:tcBorders>
            <w:vAlign w:val="bottom"/>
          </w:tcPr>
          <w:p w14:paraId="0B50B4D8"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0.751</w:t>
            </w:r>
          </w:p>
        </w:tc>
        <w:tc>
          <w:tcPr>
            <w:tcW w:w="1831" w:type="dxa"/>
            <w:tcBorders>
              <w:top w:val="nil"/>
              <w:left w:val="nil"/>
              <w:bottom w:val="single" w:sz="4" w:space="0" w:color="000000"/>
              <w:right w:val="single" w:sz="4" w:space="0" w:color="000000"/>
            </w:tcBorders>
            <w:vAlign w:val="bottom"/>
          </w:tcPr>
          <w:p w14:paraId="3236899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10.52 </w:t>
            </w:r>
          </w:p>
        </w:tc>
        <w:tc>
          <w:tcPr>
            <w:tcW w:w="1697" w:type="dxa"/>
            <w:tcBorders>
              <w:top w:val="nil"/>
              <w:left w:val="nil"/>
              <w:bottom w:val="nil"/>
              <w:right w:val="nil"/>
            </w:tcBorders>
            <w:vAlign w:val="bottom"/>
          </w:tcPr>
          <w:p w14:paraId="7148B4B3" w14:textId="77777777" w:rsidR="0035611D" w:rsidRDefault="0035611D">
            <w:pPr>
              <w:spacing w:before="0" w:after="0" w:line="240" w:lineRule="auto"/>
              <w:jc w:val="center"/>
              <w:rPr>
                <w:rFonts w:ascii="Arial" w:eastAsia="Arial" w:hAnsi="Arial" w:cs="Arial"/>
                <w:color w:val="000000"/>
              </w:rPr>
            </w:pPr>
          </w:p>
        </w:tc>
      </w:tr>
      <w:tr w:rsidR="0035611D" w14:paraId="7C6A93A1" w14:textId="77777777">
        <w:trPr>
          <w:trHeight w:val="300"/>
          <w:jc w:val="center"/>
        </w:trPr>
        <w:tc>
          <w:tcPr>
            <w:tcW w:w="1403" w:type="dxa"/>
            <w:tcBorders>
              <w:top w:val="nil"/>
              <w:left w:val="single" w:sz="4" w:space="0" w:color="000000"/>
              <w:bottom w:val="single" w:sz="4" w:space="0" w:color="000000"/>
              <w:right w:val="single" w:sz="4" w:space="0" w:color="000000"/>
            </w:tcBorders>
            <w:vAlign w:val="bottom"/>
          </w:tcPr>
          <w:p w14:paraId="4BF2AE87"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4</w:t>
            </w:r>
          </w:p>
        </w:tc>
        <w:tc>
          <w:tcPr>
            <w:tcW w:w="2017" w:type="dxa"/>
            <w:tcBorders>
              <w:top w:val="nil"/>
              <w:left w:val="nil"/>
              <w:bottom w:val="single" w:sz="4" w:space="0" w:color="000000"/>
              <w:right w:val="single" w:sz="4" w:space="0" w:color="000000"/>
            </w:tcBorders>
            <w:vAlign w:val="bottom"/>
          </w:tcPr>
          <w:p w14:paraId="381E41D1"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10.00 </w:t>
            </w:r>
          </w:p>
        </w:tc>
        <w:tc>
          <w:tcPr>
            <w:tcW w:w="2076" w:type="dxa"/>
            <w:tcBorders>
              <w:top w:val="nil"/>
              <w:left w:val="nil"/>
              <w:bottom w:val="single" w:sz="4" w:space="0" w:color="000000"/>
              <w:right w:val="single" w:sz="4" w:space="0" w:color="000000"/>
            </w:tcBorders>
            <w:vAlign w:val="bottom"/>
          </w:tcPr>
          <w:p w14:paraId="7BCFC16B"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0.683</w:t>
            </w:r>
          </w:p>
        </w:tc>
        <w:tc>
          <w:tcPr>
            <w:tcW w:w="1831" w:type="dxa"/>
            <w:tcBorders>
              <w:top w:val="nil"/>
              <w:left w:val="nil"/>
              <w:bottom w:val="single" w:sz="4" w:space="0" w:color="000000"/>
              <w:right w:val="single" w:sz="4" w:space="0" w:color="000000"/>
            </w:tcBorders>
            <w:vAlign w:val="bottom"/>
          </w:tcPr>
          <w:p w14:paraId="6C3C258C"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6.83 </w:t>
            </w:r>
          </w:p>
        </w:tc>
        <w:tc>
          <w:tcPr>
            <w:tcW w:w="1697" w:type="dxa"/>
            <w:tcBorders>
              <w:top w:val="nil"/>
              <w:left w:val="nil"/>
              <w:bottom w:val="nil"/>
              <w:right w:val="nil"/>
            </w:tcBorders>
            <w:vAlign w:val="bottom"/>
          </w:tcPr>
          <w:p w14:paraId="5A79597A" w14:textId="77777777" w:rsidR="0035611D" w:rsidRDefault="0035611D">
            <w:pPr>
              <w:spacing w:before="0" w:after="0" w:line="240" w:lineRule="auto"/>
              <w:jc w:val="center"/>
              <w:rPr>
                <w:rFonts w:ascii="Arial" w:eastAsia="Arial" w:hAnsi="Arial" w:cs="Arial"/>
                <w:color w:val="000000"/>
              </w:rPr>
            </w:pPr>
          </w:p>
        </w:tc>
      </w:tr>
      <w:tr w:rsidR="0035611D" w14:paraId="1A2715D1" w14:textId="77777777">
        <w:trPr>
          <w:trHeight w:val="300"/>
          <w:jc w:val="center"/>
        </w:trPr>
        <w:tc>
          <w:tcPr>
            <w:tcW w:w="1403" w:type="dxa"/>
            <w:tcBorders>
              <w:top w:val="nil"/>
              <w:left w:val="single" w:sz="4" w:space="0" w:color="000000"/>
              <w:bottom w:val="single" w:sz="4" w:space="0" w:color="000000"/>
              <w:right w:val="single" w:sz="4" w:space="0" w:color="000000"/>
            </w:tcBorders>
            <w:vAlign w:val="bottom"/>
          </w:tcPr>
          <w:p w14:paraId="1FAE806D"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5</w:t>
            </w:r>
          </w:p>
        </w:tc>
        <w:tc>
          <w:tcPr>
            <w:tcW w:w="2017" w:type="dxa"/>
            <w:tcBorders>
              <w:top w:val="nil"/>
              <w:left w:val="nil"/>
              <w:bottom w:val="single" w:sz="4" w:space="0" w:color="000000"/>
              <w:right w:val="single" w:sz="4" w:space="0" w:color="000000"/>
            </w:tcBorders>
            <w:vAlign w:val="bottom"/>
          </w:tcPr>
          <w:p w14:paraId="04818F8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8.00 </w:t>
            </w:r>
          </w:p>
        </w:tc>
        <w:tc>
          <w:tcPr>
            <w:tcW w:w="2076" w:type="dxa"/>
            <w:tcBorders>
              <w:top w:val="nil"/>
              <w:left w:val="nil"/>
              <w:bottom w:val="single" w:sz="4" w:space="0" w:color="000000"/>
              <w:right w:val="single" w:sz="4" w:space="0" w:color="000000"/>
            </w:tcBorders>
            <w:vAlign w:val="bottom"/>
          </w:tcPr>
          <w:p w14:paraId="796BA473"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0.621</w:t>
            </w:r>
          </w:p>
        </w:tc>
        <w:tc>
          <w:tcPr>
            <w:tcW w:w="1831" w:type="dxa"/>
            <w:tcBorders>
              <w:top w:val="nil"/>
              <w:left w:val="nil"/>
              <w:bottom w:val="single" w:sz="4" w:space="0" w:color="000000"/>
              <w:right w:val="single" w:sz="4" w:space="0" w:color="000000"/>
            </w:tcBorders>
            <w:vAlign w:val="bottom"/>
          </w:tcPr>
          <w:p w14:paraId="3190C66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4.97 </w:t>
            </w:r>
          </w:p>
        </w:tc>
        <w:tc>
          <w:tcPr>
            <w:tcW w:w="1697" w:type="dxa"/>
            <w:tcBorders>
              <w:top w:val="nil"/>
              <w:left w:val="nil"/>
              <w:bottom w:val="nil"/>
              <w:right w:val="nil"/>
            </w:tcBorders>
            <w:vAlign w:val="bottom"/>
          </w:tcPr>
          <w:p w14:paraId="1A17B27D" w14:textId="77777777" w:rsidR="0035611D" w:rsidRDefault="0035611D">
            <w:pPr>
              <w:spacing w:before="0" w:after="0" w:line="240" w:lineRule="auto"/>
              <w:jc w:val="center"/>
              <w:rPr>
                <w:rFonts w:ascii="Arial" w:eastAsia="Arial" w:hAnsi="Arial" w:cs="Arial"/>
                <w:color w:val="000000"/>
              </w:rPr>
            </w:pPr>
          </w:p>
        </w:tc>
      </w:tr>
      <w:tr w:rsidR="0035611D" w14:paraId="7B6076E4" w14:textId="77777777">
        <w:trPr>
          <w:trHeight w:val="300"/>
          <w:jc w:val="center"/>
        </w:trPr>
        <w:tc>
          <w:tcPr>
            <w:tcW w:w="5496" w:type="dxa"/>
            <w:gridSpan w:val="3"/>
            <w:vMerge w:val="restart"/>
            <w:tcBorders>
              <w:top w:val="single" w:sz="4" w:space="0" w:color="000000"/>
              <w:left w:val="single" w:sz="4" w:space="0" w:color="000000"/>
              <w:bottom w:val="nil"/>
              <w:right w:val="single" w:sz="4" w:space="0" w:color="000000"/>
            </w:tcBorders>
            <w:shd w:val="clear" w:color="auto" w:fill="00B0F0"/>
            <w:vAlign w:val="center"/>
          </w:tcPr>
          <w:p w14:paraId="687CB370"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"Net Present Value (NPV) of Project A"</w:t>
            </w:r>
          </w:p>
        </w:tc>
        <w:tc>
          <w:tcPr>
            <w:tcW w:w="1831" w:type="dxa"/>
            <w:vMerge w:val="restart"/>
            <w:tcBorders>
              <w:top w:val="nil"/>
              <w:left w:val="single" w:sz="4" w:space="0" w:color="000000"/>
              <w:bottom w:val="nil"/>
              <w:right w:val="single" w:sz="4" w:space="0" w:color="000000"/>
            </w:tcBorders>
            <w:shd w:val="clear" w:color="auto" w:fill="00B0F0"/>
            <w:vAlign w:val="center"/>
          </w:tcPr>
          <w:p w14:paraId="12FCB897"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 xml:space="preserve">-£              8.68 </w:t>
            </w:r>
          </w:p>
        </w:tc>
        <w:tc>
          <w:tcPr>
            <w:tcW w:w="1697" w:type="dxa"/>
            <w:tcBorders>
              <w:top w:val="nil"/>
              <w:left w:val="nil"/>
              <w:bottom w:val="nil"/>
              <w:right w:val="nil"/>
            </w:tcBorders>
            <w:vAlign w:val="bottom"/>
          </w:tcPr>
          <w:p w14:paraId="044237B9" w14:textId="77777777" w:rsidR="0035611D" w:rsidRDefault="0035611D">
            <w:pPr>
              <w:spacing w:before="0" w:after="0" w:line="240" w:lineRule="auto"/>
              <w:jc w:val="center"/>
              <w:rPr>
                <w:rFonts w:ascii="Arial" w:eastAsia="Arial" w:hAnsi="Arial" w:cs="Arial"/>
                <w:b/>
                <w:bCs/>
                <w:color w:val="000000"/>
              </w:rPr>
            </w:pPr>
          </w:p>
        </w:tc>
      </w:tr>
      <w:tr w:rsidR="0035611D" w14:paraId="08F18F5F" w14:textId="77777777">
        <w:trPr>
          <w:trHeight w:val="300"/>
          <w:jc w:val="center"/>
        </w:trPr>
        <w:tc>
          <w:tcPr>
            <w:tcW w:w="5496" w:type="dxa"/>
            <w:gridSpan w:val="3"/>
            <w:vMerge/>
            <w:tcBorders>
              <w:top w:val="single" w:sz="4" w:space="0" w:color="000000"/>
              <w:left w:val="single" w:sz="4" w:space="0" w:color="000000"/>
              <w:bottom w:val="nil"/>
              <w:right w:val="single" w:sz="4" w:space="0" w:color="000000"/>
            </w:tcBorders>
            <w:shd w:val="clear" w:color="auto" w:fill="00B0F0"/>
            <w:vAlign w:val="center"/>
          </w:tcPr>
          <w:p w14:paraId="3EBDFBFE" w14:textId="77777777" w:rsidR="0035611D" w:rsidRDefault="0035611D">
            <w:pPr>
              <w:widowControl w:val="0"/>
              <w:pBdr>
                <w:top w:val="nil"/>
                <w:left w:val="nil"/>
                <w:bottom w:val="nil"/>
                <w:right w:val="nil"/>
                <w:between w:val="nil"/>
              </w:pBdr>
              <w:spacing w:before="0" w:after="0" w:line="276" w:lineRule="auto"/>
              <w:jc w:val="left"/>
              <w:rPr>
                <w:rFonts w:ascii="Arial" w:eastAsia="Arial" w:hAnsi="Arial" w:cs="Arial"/>
                <w:b/>
                <w:bCs/>
                <w:color w:val="000000"/>
              </w:rPr>
            </w:pPr>
          </w:p>
        </w:tc>
        <w:tc>
          <w:tcPr>
            <w:tcW w:w="1831" w:type="dxa"/>
            <w:vMerge/>
            <w:tcBorders>
              <w:top w:val="nil"/>
              <w:left w:val="single" w:sz="4" w:space="0" w:color="000000"/>
              <w:bottom w:val="nil"/>
              <w:right w:val="single" w:sz="4" w:space="0" w:color="000000"/>
            </w:tcBorders>
            <w:shd w:val="clear" w:color="auto" w:fill="00B0F0"/>
            <w:vAlign w:val="center"/>
          </w:tcPr>
          <w:p w14:paraId="19792029" w14:textId="77777777" w:rsidR="0035611D" w:rsidRDefault="0035611D">
            <w:pPr>
              <w:widowControl w:val="0"/>
              <w:pBdr>
                <w:top w:val="nil"/>
                <w:left w:val="nil"/>
                <w:bottom w:val="nil"/>
                <w:right w:val="nil"/>
                <w:between w:val="nil"/>
              </w:pBdr>
              <w:spacing w:before="0" w:after="0" w:line="276" w:lineRule="auto"/>
              <w:jc w:val="left"/>
              <w:rPr>
                <w:rFonts w:ascii="Arial" w:eastAsia="Arial" w:hAnsi="Arial" w:cs="Arial"/>
                <w:b/>
                <w:bCs/>
                <w:color w:val="000000"/>
              </w:rPr>
            </w:pPr>
          </w:p>
        </w:tc>
        <w:tc>
          <w:tcPr>
            <w:tcW w:w="1697" w:type="dxa"/>
            <w:tcBorders>
              <w:top w:val="nil"/>
              <w:left w:val="nil"/>
              <w:bottom w:val="nil"/>
              <w:right w:val="nil"/>
            </w:tcBorders>
            <w:vAlign w:val="bottom"/>
          </w:tcPr>
          <w:p w14:paraId="56D3730D" w14:textId="77777777" w:rsidR="0035611D" w:rsidRDefault="0035611D">
            <w:pPr>
              <w:spacing w:before="0" w:after="0" w:line="240" w:lineRule="auto"/>
              <w:jc w:val="left"/>
              <w:rPr>
                <w:sz w:val="20"/>
                <w:szCs w:val="20"/>
              </w:rPr>
            </w:pPr>
          </w:p>
        </w:tc>
      </w:tr>
      <w:tr w:rsidR="0035611D" w14:paraId="66BD9A98" w14:textId="77777777">
        <w:trPr>
          <w:trHeight w:val="312"/>
          <w:jc w:val="center"/>
        </w:trPr>
        <w:tc>
          <w:tcPr>
            <w:tcW w:w="5496" w:type="dxa"/>
            <w:gridSpan w:val="3"/>
            <w:tcBorders>
              <w:top w:val="single" w:sz="4" w:space="0" w:color="000000"/>
              <w:left w:val="single" w:sz="4" w:space="0" w:color="000000"/>
              <w:bottom w:val="single" w:sz="4" w:space="0" w:color="000000"/>
              <w:right w:val="single" w:sz="4" w:space="0" w:color="000000"/>
            </w:tcBorders>
            <w:shd w:val="clear" w:color="auto" w:fill="00B0F0"/>
            <w:vAlign w:val="bottom"/>
          </w:tcPr>
          <w:p w14:paraId="3615D43A"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"Profitability Index (PI) of Project A"</w:t>
            </w:r>
          </w:p>
        </w:tc>
        <w:tc>
          <w:tcPr>
            <w:tcW w:w="1831" w:type="dxa"/>
            <w:tcBorders>
              <w:top w:val="single" w:sz="4" w:space="0" w:color="000000"/>
              <w:left w:val="nil"/>
              <w:bottom w:val="single" w:sz="4" w:space="0" w:color="000000"/>
              <w:right w:val="single" w:sz="4" w:space="0" w:color="000000"/>
            </w:tcBorders>
            <w:shd w:val="clear" w:color="auto" w:fill="00B0F0"/>
            <w:vAlign w:val="bottom"/>
          </w:tcPr>
          <w:p w14:paraId="7E7B8F0E" w14:textId="77777777" w:rsidR="0035611D" w:rsidRDefault="00A6742D">
            <w:pPr>
              <w:spacing w:before="0" w:after="0" w:line="240" w:lineRule="auto"/>
              <w:jc w:val="right"/>
              <w:rPr>
                <w:rFonts w:ascii="Arial" w:eastAsia="Arial" w:hAnsi="Arial" w:cs="Arial"/>
                <w:b/>
                <w:bCs/>
                <w:color w:val="000000"/>
              </w:rPr>
            </w:pPr>
            <w:r>
              <w:rPr>
                <w:rFonts w:ascii="Arial" w:eastAsia="Arial" w:hAnsi="Arial" w:cs="Arial"/>
                <w:b/>
                <w:bCs/>
                <w:color w:val="000000"/>
              </w:rPr>
              <w:t>1.17</w:t>
            </w:r>
          </w:p>
        </w:tc>
        <w:tc>
          <w:tcPr>
            <w:tcW w:w="1697" w:type="dxa"/>
            <w:tcBorders>
              <w:top w:val="nil"/>
              <w:left w:val="nil"/>
              <w:bottom w:val="nil"/>
              <w:right w:val="nil"/>
            </w:tcBorders>
            <w:vAlign w:val="bottom"/>
          </w:tcPr>
          <w:p w14:paraId="652C120E" w14:textId="77777777" w:rsidR="0035611D" w:rsidRDefault="0035611D">
            <w:pPr>
              <w:spacing w:before="0" w:after="0" w:line="240" w:lineRule="auto"/>
              <w:jc w:val="right"/>
              <w:rPr>
                <w:rFonts w:ascii="Arial" w:eastAsia="Arial" w:hAnsi="Arial" w:cs="Arial"/>
                <w:b/>
                <w:bCs/>
                <w:color w:val="000000"/>
              </w:rPr>
            </w:pPr>
          </w:p>
        </w:tc>
      </w:tr>
      <w:tr w:rsidR="0035611D" w14:paraId="510F088E" w14:textId="77777777">
        <w:trPr>
          <w:trHeight w:val="300"/>
          <w:jc w:val="center"/>
        </w:trPr>
        <w:tc>
          <w:tcPr>
            <w:tcW w:w="1403" w:type="dxa"/>
            <w:tcBorders>
              <w:top w:val="nil"/>
              <w:left w:val="nil"/>
              <w:bottom w:val="nil"/>
              <w:right w:val="nil"/>
            </w:tcBorders>
            <w:vAlign w:val="bottom"/>
          </w:tcPr>
          <w:p w14:paraId="12E0AE8F" w14:textId="77777777" w:rsidR="0035611D" w:rsidRDefault="0035611D">
            <w:pPr>
              <w:spacing w:before="0" w:after="0" w:line="240" w:lineRule="auto"/>
              <w:jc w:val="left"/>
              <w:rPr>
                <w:sz w:val="20"/>
                <w:szCs w:val="20"/>
              </w:rPr>
            </w:pPr>
          </w:p>
        </w:tc>
        <w:tc>
          <w:tcPr>
            <w:tcW w:w="2017" w:type="dxa"/>
            <w:tcBorders>
              <w:top w:val="nil"/>
              <w:left w:val="nil"/>
              <w:bottom w:val="nil"/>
              <w:right w:val="nil"/>
            </w:tcBorders>
            <w:vAlign w:val="bottom"/>
          </w:tcPr>
          <w:p w14:paraId="509568A8" w14:textId="77777777" w:rsidR="0035611D" w:rsidRDefault="0035611D">
            <w:pPr>
              <w:spacing w:before="0" w:after="0" w:line="240" w:lineRule="auto"/>
              <w:jc w:val="left"/>
              <w:rPr>
                <w:sz w:val="20"/>
                <w:szCs w:val="20"/>
              </w:rPr>
            </w:pPr>
          </w:p>
        </w:tc>
        <w:tc>
          <w:tcPr>
            <w:tcW w:w="2076" w:type="dxa"/>
            <w:tcBorders>
              <w:top w:val="nil"/>
              <w:left w:val="nil"/>
              <w:bottom w:val="nil"/>
              <w:right w:val="nil"/>
            </w:tcBorders>
            <w:vAlign w:val="bottom"/>
          </w:tcPr>
          <w:p w14:paraId="0EDCE487" w14:textId="77777777" w:rsidR="0035611D" w:rsidRDefault="0035611D">
            <w:pPr>
              <w:spacing w:before="0" w:after="0" w:line="240" w:lineRule="auto"/>
              <w:jc w:val="left"/>
              <w:rPr>
                <w:sz w:val="20"/>
                <w:szCs w:val="20"/>
              </w:rPr>
            </w:pPr>
          </w:p>
        </w:tc>
        <w:tc>
          <w:tcPr>
            <w:tcW w:w="1831" w:type="dxa"/>
            <w:tcBorders>
              <w:top w:val="nil"/>
              <w:left w:val="nil"/>
              <w:bottom w:val="nil"/>
              <w:right w:val="nil"/>
            </w:tcBorders>
            <w:vAlign w:val="bottom"/>
          </w:tcPr>
          <w:p w14:paraId="4B37CD4F" w14:textId="77777777" w:rsidR="0035611D" w:rsidRDefault="0035611D">
            <w:pPr>
              <w:spacing w:before="0" w:after="0" w:line="240" w:lineRule="auto"/>
              <w:jc w:val="left"/>
              <w:rPr>
                <w:sz w:val="20"/>
                <w:szCs w:val="20"/>
              </w:rPr>
            </w:pPr>
          </w:p>
        </w:tc>
        <w:tc>
          <w:tcPr>
            <w:tcW w:w="1697" w:type="dxa"/>
            <w:tcBorders>
              <w:top w:val="nil"/>
              <w:left w:val="nil"/>
              <w:bottom w:val="nil"/>
              <w:right w:val="nil"/>
            </w:tcBorders>
            <w:vAlign w:val="bottom"/>
          </w:tcPr>
          <w:p w14:paraId="36CC275E" w14:textId="77777777" w:rsidR="0035611D" w:rsidRDefault="0035611D">
            <w:pPr>
              <w:spacing w:before="0" w:after="0" w:line="240" w:lineRule="auto"/>
              <w:jc w:val="left"/>
              <w:rPr>
                <w:sz w:val="20"/>
                <w:szCs w:val="20"/>
              </w:rPr>
            </w:pPr>
          </w:p>
        </w:tc>
      </w:tr>
      <w:tr w:rsidR="0035611D" w14:paraId="37BA94F5" w14:textId="77777777">
        <w:trPr>
          <w:trHeight w:val="624"/>
          <w:jc w:val="center"/>
        </w:trPr>
        <w:tc>
          <w:tcPr>
            <w:tcW w:w="1403" w:type="dxa"/>
            <w:tcBorders>
              <w:top w:val="single" w:sz="4" w:space="0" w:color="000000"/>
              <w:left w:val="single" w:sz="4" w:space="0" w:color="000000"/>
              <w:bottom w:val="single" w:sz="4" w:space="0" w:color="000000"/>
              <w:right w:val="single" w:sz="4" w:space="0" w:color="000000"/>
            </w:tcBorders>
            <w:shd w:val="clear" w:color="auto" w:fill="00B0F0"/>
            <w:vAlign w:val="center"/>
          </w:tcPr>
          <w:p w14:paraId="48C80D65"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"Year"</w:t>
            </w:r>
          </w:p>
        </w:tc>
        <w:tc>
          <w:tcPr>
            <w:tcW w:w="2017" w:type="dxa"/>
            <w:tcBorders>
              <w:top w:val="single" w:sz="4" w:space="0" w:color="000000"/>
              <w:left w:val="nil"/>
              <w:bottom w:val="single" w:sz="4" w:space="0" w:color="000000"/>
              <w:right w:val="single" w:sz="4" w:space="0" w:color="000000"/>
            </w:tcBorders>
            <w:shd w:val="clear" w:color="auto" w:fill="00B0F0"/>
            <w:vAlign w:val="center"/>
          </w:tcPr>
          <w:p w14:paraId="3DB6C56A"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"Cash Flow"</w:t>
            </w:r>
          </w:p>
        </w:tc>
        <w:tc>
          <w:tcPr>
            <w:tcW w:w="2076" w:type="dxa"/>
            <w:tcBorders>
              <w:top w:val="single" w:sz="4" w:space="0" w:color="000000"/>
              <w:left w:val="nil"/>
              <w:bottom w:val="single" w:sz="4" w:space="0" w:color="000000"/>
              <w:right w:val="single" w:sz="4" w:space="0" w:color="000000"/>
            </w:tcBorders>
            <w:shd w:val="clear" w:color="auto" w:fill="00B0F0"/>
            <w:vAlign w:val="center"/>
          </w:tcPr>
          <w:p w14:paraId="27C058AA"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"Discounting Factor @10%"</w:t>
            </w:r>
          </w:p>
        </w:tc>
        <w:tc>
          <w:tcPr>
            <w:tcW w:w="1831" w:type="dxa"/>
            <w:tcBorders>
              <w:top w:val="single" w:sz="4" w:space="0" w:color="000000"/>
              <w:left w:val="nil"/>
              <w:bottom w:val="single" w:sz="4" w:space="0" w:color="000000"/>
              <w:right w:val="single" w:sz="4" w:space="0" w:color="000000"/>
            </w:tcBorders>
            <w:shd w:val="clear" w:color="auto" w:fill="00B0F0"/>
            <w:vAlign w:val="center"/>
          </w:tcPr>
          <w:p w14:paraId="19162D7A"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"Present Value"</w:t>
            </w:r>
          </w:p>
        </w:tc>
        <w:tc>
          <w:tcPr>
            <w:tcW w:w="1697" w:type="dxa"/>
            <w:tcBorders>
              <w:top w:val="single" w:sz="4" w:space="0" w:color="000000"/>
              <w:left w:val="nil"/>
              <w:bottom w:val="single" w:sz="4" w:space="0" w:color="000000"/>
              <w:right w:val="single" w:sz="4" w:space="0" w:color="000000"/>
            </w:tcBorders>
            <w:shd w:val="clear" w:color="auto" w:fill="00B0F0"/>
            <w:vAlign w:val="center"/>
          </w:tcPr>
          <w:p w14:paraId="02DB723F" w14:textId="77777777" w:rsidR="0035611D" w:rsidRDefault="00A6742D">
            <w:pPr>
              <w:spacing w:before="0" w:after="0" w:line="240" w:lineRule="auto"/>
              <w:jc w:val="left"/>
              <w:rPr>
                <w:rFonts w:ascii="Arial" w:eastAsia="Arial" w:hAnsi="Arial" w:cs="Arial"/>
                <w:b/>
                <w:bCs/>
                <w:color w:val="000000"/>
              </w:rPr>
            </w:pPr>
            <w:r>
              <w:rPr>
                <w:rFonts w:ascii="Arial" w:eastAsia="Arial" w:hAnsi="Arial" w:cs="Arial"/>
                <w:b/>
                <w:bCs/>
                <w:color w:val="000000"/>
              </w:rPr>
              <w:t>Cumulative</w:t>
            </w:r>
          </w:p>
        </w:tc>
      </w:tr>
      <w:tr w:rsidR="0035611D" w14:paraId="050BD335" w14:textId="77777777">
        <w:trPr>
          <w:trHeight w:val="300"/>
          <w:jc w:val="center"/>
        </w:trPr>
        <w:tc>
          <w:tcPr>
            <w:tcW w:w="1403" w:type="dxa"/>
            <w:tcBorders>
              <w:top w:val="nil"/>
              <w:left w:val="single" w:sz="4" w:space="0" w:color="000000"/>
              <w:bottom w:val="single" w:sz="4" w:space="0" w:color="000000"/>
              <w:right w:val="single" w:sz="4" w:space="0" w:color="000000"/>
            </w:tcBorders>
            <w:vAlign w:val="bottom"/>
          </w:tcPr>
          <w:p w14:paraId="0BF14C1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w:t>
            </w:r>
          </w:p>
        </w:tc>
        <w:tc>
          <w:tcPr>
            <w:tcW w:w="2017" w:type="dxa"/>
            <w:tcBorders>
              <w:top w:val="nil"/>
              <w:left w:val="nil"/>
              <w:bottom w:val="single" w:sz="4" w:space="0" w:color="000000"/>
              <w:right w:val="single" w:sz="4" w:space="0" w:color="000000"/>
            </w:tcBorders>
            <w:vAlign w:val="bottom"/>
          </w:tcPr>
          <w:p w14:paraId="43007A46"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2076" w:type="dxa"/>
            <w:tcBorders>
              <w:top w:val="nil"/>
              <w:left w:val="nil"/>
              <w:bottom w:val="single" w:sz="4" w:space="0" w:color="000000"/>
              <w:right w:val="single" w:sz="4" w:space="0" w:color="000000"/>
            </w:tcBorders>
            <w:vAlign w:val="bottom"/>
          </w:tcPr>
          <w:p w14:paraId="045FB590"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1.000</w:t>
            </w:r>
          </w:p>
        </w:tc>
        <w:tc>
          <w:tcPr>
            <w:tcW w:w="1831" w:type="dxa"/>
            <w:tcBorders>
              <w:top w:val="nil"/>
              <w:left w:val="nil"/>
              <w:bottom w:val="single" w:sz="4" w:space="0" w:color="000000"/>
              <w:right w:val="single" w:sz="4" w:space="0" w:color="000000"/>
            </w:tcBorders>
            <w:vAlign w:val="bottom"/>
          </w:tcPr>
          <w:p w14:paraId="66C4F887"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1697" w:type="dxa"/>
            <w:tcBorders>
              <w:top w:val="nil"/>
              <w:left w:val="nil"/>
              <w:bottom w:val="single" w:sz="4" w:space="0" w:color="000000"/>
              <w:right w:val="single" w:sz="4" w:space="0" w:color="000000"/>
            </w:tcBorders>
            <w:vAlign w:val="bottom"/>
          </w:tcPr>
          <w:p w14:paraId="2D7F3B1F" w14:textId="77777777" w:rsidR="0035611D" w:rsidRDefault="00A6742D">
            <w:pPr>
              <w:spacing w:before="0" w:after="0" w:line="240" w:lineRule="auto"/>
              <w:jc w:val="left"/>
              <w:rPr>
                <w:rFonts w:ascii="Arial" w:eastAsia="Arial" w:hAnsi="Arial" w:cs="Arial"/>
                <w:color w:val="000000"/>
              </w:rPr>
            </w:pPr>
            <w:r>
              <w:rPr>
                <w:rFonts w:ascii="Arial" w:eastAsia="Arial" w:hAnsi="Arial" w:cs="Arial"/>
                <w:color w:val="000000"/>
              </w:rPr>
              <w:t xml:space="preserve">-£          50.00 </w:t>
            </w:r>
          </w:p>
        </w:tc>
      </w:tr>
      <w:tr w:rsidR="0035611D" w14:paraId="2CDAF156" w14:textId="77777777">
        <w:trPr>
          <w:trHeight w:val="300"/>
          <w:jc w:val="center"/>
        </w:trPr>
        <w:tc>
          <w:tcPr>
            <w:tcW w:w="1403" w:type="dxa"/>
            <w:tcBorders>
              <w:top w:val="nil"/>
              <w:left w:val="single" w:sz="4" w:space="0" w:color="000000"/>
              <w:bottom w:val="single" w:sz="4" w:space="0" w:color="000000"/>
              <w:right w:val="single" w:sz="4" w:space="0" w:color="000000"/>
            </w:tcBorders>
            <w:vAlign w:val="bottom"/>
          </w:tcPr>
          <w:p w14:paraId="31B23B8C"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w:t>
            </w:r>
          </w:p>
        </w:tc>
        <w:tc>
          <w:tcPr>
            <w:tcW w:w="2017" w:type="dxa"/>
            <w:tcBorders>
              <w:top w:val="nil"/>
              <w:left w:val="nil"/>
              <w:bottom w:val="single" w:sz="4" w:space="0" w:color="000000"/>
              <w:right w:val="single" w:sz="4" w:space="0" w:color="000000"/>
            </w:tcBorders>
            <w:vAlign w:val="bottom"/>
          </w:tcPr>
          <w:p w14:paraId="1DA3328B"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10.00 </w:t>
            </w:r>
          </w:p>
        </w:tc>
        <w:tc>
          <w:tcPr>
            <w:tcW w:w="2076" w:type="dxa"/>
            <w:tcBorders>
              <w:top w:val="nil"/>
              <w:left w:val="nil"/>
              <w:bottom w:val="single" w:sz="4" w:space="0" w:color="000000"/>
              <w:right w:val="single" w:sz="4" w:space="0" w:color="000000"/>
            </w:tcBorders>
            <w:vAlign w:val="bottom"/>
          </w:tcPr>
          <w:p w14:paraId="18D6B951"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0.909</w:t>
            </w:r>
          </w:p>
        </w:tc>
        <w:tc>
          <w:tcPr>
            <w:tcW w:w="1831" w:type="dxa"/>
            <w:tcBorders>
              <w:top w:val="nil"/>
              <w:left w:val="nil"/>
              <w:bottom w:val="single" w:sz="4" w:space="0" w:color="000000"/>
              <w:right w:val="single" w:sz="4" w:space="0" w:color="000000"/>
            </w:tcBorders>
            <w:vAlign w:val="bottom"/>
          </w:tcPr>
          <w:p w14:paraId="00902276"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9.09 </w:t>
            </w:r>
          </w:p>
        </w:tc>
        <w:tc>
          <w:tcPr>
            <w:tcW w:w="1697" w:type="dxa"/>
            <w:tcBorders>
              <w:top w:val="nil"/>
              <w:left w:val="nil"/>
              <w:bottom w:val="single" w:sz="4" w:space="0" w:color="000000"/>
              <w:right w:val="single" w:sz="4" w:space="0" w:color="000000"/>
            </w:tcBorders>
            <w:vAlign w:val="bottom"/>
          </w:tcPr>
          <w:p w14:paraId="3486A7AA" w14:textId="77777777" w:rsidR="0035611D" w:rsidRDefault="00A6742D">
            <w:pPr>
              <w:spacing w:before="0" w:after="0" w:line="240" w:lineRule="auto"/>
              <w:jc w:val="left"/>
              <w:rPr>
                <w:rFonts w:ascii="Arial" w:eastAsia="Arial" w:hAnsi="Arial" w:cs="Arial"/>
                <w:color w:val="000000"/>
              </w:rPr>
            </w:pPr>
            <w:r>
              <w:rPr>
                <w:rFonts w:ascii="Arial" w:eastAsia="Arial" w:hAnsi="Arial" w:cs="Arial"/>
                <w:color w:val="000000"/>
              </w:rPr>
              <w:t xml:space="preserve">-£          40.91 </w:t>
            </w:r>
          </w:p>
        </w:tc>
      </w:tr>
      <w:tr w:rsidR="0035611D" w14:paraId="2D7409FB" w14:textId="77777777">
        <w:trPr>
          <w:trHeight w:val="300"/>
          <w:jc w:val="center"/>
        </w:trPr>
        <w:tc>
          <w:tcPr>
            <w:tcW w:w="1403" w:type="dxa"/>
            <w:tcBorders>
              <w:top w:val="nil"/>
              <w:left w:val="single" w:sz="4" w:space="0" w:color="000000"/>
              <w:bottom w:val="single" w:sz="4" w:space="0" w:color="000000"/>
              <w:right w:val="single" w:sz="4" w:space="0" w:color="000000"/>
            </w:tcBorders>
            <w:vAlign w:val="bottom"/>
          </w:tcPr>
          <w:p w14:paraId="666947A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2</w:t>
            </w:r>
          </w:p>
        </w:tc>
        <w:tc>
          <w:tcPr>
            <w:tcW w:w="2017" w:type="dxa"/>
            <w:tcBorders>
              <w:top w:val="nil"/>
              <w:left w:val="nil"/>
              <w:bottom w:val="single" w:sz="4" w:space="0" w:color="000000"/>
              <w:right w:val="single" w:sz="4" w:space="0" w:color="000000"/>
            </w:tcBorders>
            <w:vAlign w:val="bottom"/>
          </w:tcPr>
          <w:p w14:paraId="6FEE6D80"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12.00 </w:t>
            </w:r>
          </w:p>
        </w:tc>
        <w:tc>
          <w:tcPr>
            <w:tcW w:w="2076" w:type="dxa"/>
            <w:tcBorders>
              <w:top w:val="nil"/>
              <w:left w:val="nil"/>
              <w:bottom w:val="single" w:sz="4" w:space="0" w:color="000000"/>
              <w:right w:val="single" w:sz="4" w:space="0" w:color="000000"/>
            </w:tcBorders>
            <w:vAlign w:val="bottom"/>
          </w:tcPr>
          <w:p w14:paraId="28EBC6F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0.826</w:t>
            </w:r>
          </w:p>
        </w:tc>
        <w:tc>
          <w:tcPr>
            <w:tcW w:w="1831" w:type="dxa"/>
            <w:tcBorders>
              <w:top w:val="nil"/>
              <w:left w:val="nil"/>
              <w:bottom w:val="single" w:sz="4" w:space="0" w:color="000000"/>
              <w:right w:val="single" w:sz="4" w:space="0" w:color="000000"/>
            </w:tcBorders>
            <w:vAlign w:val="bottom"/>
          </w:tcPr>
          <w:p w14:paraId="783C576D"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9.92 </w:t>
            </w:r>
          </w:p>
        </w:tc>
        <w:tc>
          <w:tcPr>
            <w:tcW w:w="1697" w:type="dxa"/>
            <w:tcBorders>
              <w:top w:val="nil"/>
              <w:left w:val="nil"/>
              <w:bottom w:val="single" w:sz="4" w:space="0" w:color="000000"/>
              <w:right w:val="single" w:sz="4" w:space="0" w:color="000000"/>
            </w:tcBorders>
            <w:vAlign w:val="bottom"/>
          </w:tcPr>
          <w:p w14:paraId="3DF2FA2B" w14:textId="77777777" w:rsidR="0035611D" w:rsidRDefault="00A6742D">
            <w:pPr>
              <w:spacing w:before="0" w:after="0" w:line="240" w:lineRule="auto"/>
              <w:jc w:val="left"/>
              <w:rPr>
                <w:rFonts w:ascii="Arial" w:eastAsia="Arial" w:hAnsi="Arial" w:cs="Arial"/>
                <w:color w:val="000000"/>
              </w:rPr>
            </w:pPr>
            <w:r>
              <w:rPr>
                <w:rFonts w:ascii="Arial" w:eastAsia="Arial" w:hAnsi="Arial" w:cs="Arial"/>
                <w:color w:val="000000"/>
              </w:rPr>
              <w:t xml:space="preserve">-£          30.99 </w:t>
            </w:r>
          </w:p>
        </w:tc>
      </w:tr>
      <w:tr w:rsidR="0035611D" w14:paraId="4954A09C" w14:textId="77777777">
        <w:trPr>
          <w:trHeight w:val="300"/>
          <w:jc w:val="center"/>
        </w:trPr>
        <w:tc>
          <w:tcPr>
            <w:tcW w:w="1403" w:type="dxa"/>
            <w:tcBorders>
              <w:top w:val="nil"/>
              <w:left w:val="single" w:sz="4" w:space="0" w:color="000000"/>
              <w:bottom w:val="single" w:sz="4" w:space="0" w:color="000000"/>
              <w:right w:val="single" w:sz="4" w:space="0" w:color="000000"/>
            </w:tcBorders>
            <w:vAlign w:val="bottom"/>
          </w:tcPr>
          <w:p w14:paraId="57AFAB2A"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3</w:t>
            </w:r>
          </w:p>
        </w:tc>
        <w:tc>
          <w:tcPr>
            <w:tcW w:w="2017" w:type="dxa"/>
            <w:tcBorders>
              <w:top w:val="nil"/>
              <w:left w:val="nil"/>
              <w:bottom w:val="single" w:sz="4" w:space="0" w:color="000000"/>
              <w:right w:val="single" w:sz="4" w:space="0" w:color="000000"/>
            </w:tcBorders>
            <w:vAlign w:val="bottom"/>
          </w:tcPr>
          <w:p w14:paraId="094640F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14.00 </w:t>
            </w:r>
          </w:p>
        </w:tc>
        <w:tc>
          <w:tcPr>
            <w:tcW w:w="2076" w:type="dxa"/>
            <w:tcBorders>
              <w:top w:val="nil"/>
              <w:left w:val="nil"/>
              <w:bottom w:val="single" w:sz="4" w:space="0" w:color="000000"/>
              <w:right w:val="single" w:sz="4" w:space="0" w:color="000000"/>
            </w:tcBorders>
            <w:vAlign w:val="bottom"/>
          </w:tcPr>
          <w:p w14:paraId="67368A2F"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0.751</w:t>
            </w:r>
          </w:p>
        </w:tc>
        <w:tc>
          <w:tcPr>
            <w:tcW w:w="1831" w:type="dxa"/>
            <w:tcBorders>
              <w:top w:val="nil"/>
              <w:left w:val="nil"/>
              <w:bottom w:val="single" w:sz="4" w:space="0" w:color="000000"/>
              <w:right w:val="single" w:sz="4" w:space="0" w:color="000000"/>
            </w:tcBorders>
            <w:vAlign w:val="bottom"/>
          </w:tcPr>
          <w:p w14:paraId="32601A19"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10.52 </w:t>
            </w:r>
          </w:p>
        </w:tc>
        <w:tc>
          <w:tcPr>
            <w:tcW w:w="1697" w:type="dxa"/>
            <w:tcBorders>
              <w:top w:val="nil"/>
              <w:left w:val="nil"/>
              <w:bottom w:val="single" w:sz="4" w:space="0" w:color="000000"/>
              <w:right w:val="single" w:sz="4" w:space="0" w:color="000000"/>
            </w:tcBorders>
            <w:vAlign w:val="bottom"/>
          </w:tcPr>
          <w:p w14:paraId="2BD5EF93" w14:textId="77777777" w:rsidR="0035611D" w:rsidRDefault="00A6742D">
            <w:pPr>
              <w:spacing w:before="0" w:after="0" w:line="240" w:lineRule="auto"/>
              <w:jc w:val="left"/>
              <w:rPr>
                <w:rFonts w:ascii="Arial" w:eastAsia="Arial" w:hAnsi="Arial" w:cs="Arial"/>
                <w:color w:val="000000"/>
              </w:rPr>
            </w:pPr>
            <w:r>
              <w:rPr>
                <w:rFonts w:ascii="Arial" w:eastAsia="Arial" w:hAnsi="Arial" w:cs="Arial"/>
                <w:color w:val="000000"/>
              </w:rPr>
              <w:t xml:space="preserve">-£          20.47 </w:t>
            </w:r>
          </w:p>
        </w:tc>
      </w:tr>
      <w:tr w:rsidR="0035611D" w14:paraId="3C8459D5" w14:textId="77777777">
        <w:trPr>
          <w:trHeight w:val="300"/>
          <w:jc w:val="center"/>
        </w:trPr>
        <w:tc>
          <w:tcPr>
            <w:tcW w:w="1403" w:type="dxa"/>
            <w:tcBorders>
              <w:top w:val="nil"/>
              <w:left w:val="single" w:sz="4" w:space="0" w:color="000000"/>
              <w:bottom w:val="single" w:sz="4" w:space="0" w:color="000000"/>
              <w:right w:val="single" w:sz="4" w:space="0" w:color="000000"/>
            </w:tcBorders>
            <w:vAlign w:val="bottom"/>
          </w:tcPr>
          <w:p w14:paraId="4EA2621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4</w:t>
            </w:r>
          </w:p>
        </w:tc>
        <w:tc>
          <w:tcPr>
            <w:tcW w:w="2017" w:type="dxa"/>
            <w:tcBorders>
              <w:top w:val="nil"/>
              <w:left w:val="nil"/>
              <w:bottom w:val="single" w:sz="4" w:space="0" w:color="000000"/>
              <w:right w:val="single" w:sz="4" w:space="0" w:color="000000"/>
            </w:tcBorders>
            <w:vAlign w:val="bottom"/>
          </w:tcPr>
          <w:p w14:paraId="46997833"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10.00 </w:t>
            </w:r>
          </w:p>
        </w:tc>
        <w:tc>
          <w:tcPr>
            <w:tcW w:w="2076" w:type="dxa"/>
            <w:tcBorders>
              <w:top w:val="nil"/>
              <w:left w:val="nil"/>
              <w:bottom w:val="single" w:sz="4" w:space="0" w:color="000000"/>
              <w:right w:val="single" w:sz="4" w:space="0" w:color="000000"/>
            </w:tcBorders>
            <w:vAlign w:val="bottom"/>
          </w:tcPr>
          <w:p w14:paraId="08A51BB1"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0.683</w:t>
            </w:r>
          </w:p>
        </w:tc>
        <w:tc>
          <w:tcPr>
            <w:tcW w:w="1831" w:type="dxa"/>
            <w:tcBorders>
              <w:top w:val="nil"/>
              <w:left w:val="nil"/>
              <w:bottom w:val="single" w:sz="4" w:space="0" w:color="000000"/>
              <w:right w:val="single" w:sz="4" w:space="0" w:color="000000"/>
            </w:tcBorders>
            <w:vAlign w:val="bottom"/>
          </w:tcPr>
          <w:p w14:paraId="4123FCA3"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6.83 </w:t>
            </w:r>
          </w:p>
        </w:tc>
        <w:tc>
          <w:tcPr>
            <w:tcW w:w="1697" w:type="dxa"/>
            <w:tcBorders>
              <w:top w:val="nil"/>
              <w:left w:val="nil"/>
              <w:bottom w:val="single" w:sz="4" w:space="0" w:color="000000"/>
              <w:right w:val="single" w:sz="4" w:space="0" w:color="000000"/>
            </w:tcBorders>
            <w:vAlign w:val="bottom"/>
          </w:tcPr>
          <w:p w14:paraId="1C9FE0EB" w14:textId="77777777" w:rsidR="0035611D" w:rsidRDefault="00A6742D">
            <w:pPr>
              <w:spacing w:before="0" w:after="0" w:line="240" w:lineRule="auto"/>
              <w:jc w:val="left"/>
              <w:rPr>
                <w:rFonts w:ascii="Arial" w:eastAsia="Arial" w:hAnsi="Arial" w:cs="Arial"/>
                <w:color w:val="000000"/>
              </w:rPr>
            </w:pPr>
            <w:r>
              <w:rPr>
                <w:rFonts w:ascii="Arial" w:eastAsia="Arial" w:hAnsi="Arial" w:cs="Arial"/>
                <w:color w:val="000000"/>
              </w:rPr>
              <w:t xml:space="preserve">-£          13.64 </w:t>
            </w:r>
          </w:p>
        </w:tc>
      </w:tr>
      <w:tr w:rsidR="0035611D" w14:paraId="0881C655" w14:textId="77777777">
        <w:trPr>
          <w:trHeight w:val="300"/>
          <w:jc w:val="center"/>
        </w:trPr>
        <w:tc>
          <w:tcPr>
            <w:tcW w:w="1403" w:type="dxa"/>
            <w:tcBorders>
              <w:top w:val="nil"/>
              <w:left w:val="single" w:sz="4" w:space="0" w:color="000000"/>
              <w:bottom w:val="single" w:sz="4" w:space="0" w:color="000000"/>
              <w:right w:val="single" w:sz="4" w:space="0" w:color="000000"/>
            </w:tcBorders>
            <w:vAlign w:val="bottom"/>
          </w:tcPr>
          <w:p w14:paraId="3C771EA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5</w:t>
            </w:r>
          </w:p>
        </w:tc>
        <w:tc>
          <w:tcPr>
            <w:tcW w:w="2017" w:type="dxa"/>
            <w:tcBorders>
              <w:top w:val="nil"/>
              <w:left w:val="nil"/>
              <w:bottom w:val="single" w:sz="4" w:space="0" w:color="000000"/>
              <w:right w:val="single" w:sz="4" w:space="0" w:color="000000"/>
            </w:tcBorders>
            <w:vAlign w:val="bottom"/>
          </w:tcPr>
          <w:p w14:paraId="40DF4063"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8.00 </w:t>
            </w:r>
          </w:p>
        </w:tc>
        <w:tc>
          <w:tcPr>
            <w:tcW w:w="2076" w:type="dxa"/>
            <w:tcBorders>
              <w:top w:val="nil"/>
              <w:left w:val="nil"/>
              <w:bottom w:val="single" w:sz="4" w:space="0" w:color="000000"/>
              <w:right w:val="single" w:sz="4" w:space="0" w:color="000000"/>
            </w:tcBorders>
            <w:vAlign w:val="bottom"/>
          </w:tcPr>
          <w:p w14:paraId="4FB5E26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0.621</w:t>
            </w:r>
          </w:p>
        </w:tc>
        <w:tc>
          <w:tcPr>
            <w:tcW w:w="1831" w:type="dxa"/>
            <w:tcBorders>
              <w:top w:val="nil"/>
              <w:left w:val="nil"/>
              <w:bottom w:val="single" w:sz="4" w:space="0" w:color="000000"/>
              <w:right w:val="single" w:sz="4" w:space="0" w:color="000000"/>
            </w:tcBorders>
            <w:vAlign w:val="bottom"/>
          </w:tcPr>
          <w:p w14:paraId="0FBAFAA9"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4.97 </w:t>
            </w:r>
          </w:p>
        </w:tc>
        <w:tc>
          <w:tcPr>
            <w:tcW w:w="1697" w:type="dxa"/>
            <w:tcBorders>
              <w:top w:val="nil"/>
              <w:left w:val="nil"/>
              <w:bottom w:val="single" w:sz="4" w:space="0" w:color="000000"/>
              <w:right w:val="single" w:sz="4" w:space="0" w:color="000000"/>
            </w:tcBorders>
            <w:vAlign w:val="bottom"/>
          </w:tcPr>
          <w:p w14:paraId="132EE131" w14:textId="77777777" w:rsidR="0035611D" w:rsidRDefault="00A6742D">
            <w:pPr>
              <w:spacing w:before="0" w:after="0" w:line="240" w:lineRule="auto"/>
              <w:jc w:val="left"/>
              <w:rPr>
                <w:rFonts w:ascii="Arial" w:eastAsia="Arial" w:hAnsi="Arial" w:cs="Arial"/>
                <w:color w:val="000000"/>
              </w:rPr>
            </w:pPr>
            <w:r>
              <w:rPr>
                <w:rFonts w:ascii="Arial" w:eastAsia="Arial" w:hAnsi="Arial" w:cs="Arial"/>
                <w:color w:val="000000"/>
              </w:rPr>
              <w:t xml:space="preserve">-£            8.68 </w:t>
            </w:r>
          </w:p>
        </w:tc>
      </w:tr>
      <w:tr w:rsidR="0035611D" w14:paraId="75F277C9" w14:textId="77777777">
        <w:trPr>
          <w:trHeight w:val="624"/>
          <w:jc w:val="center"/>
        </w:trPr>
        <w:tc>
          <w:tcPr>
            <w:tcW w:w="7327" w:type="dxa"/>
            <w:gridSpan w:val="4"/>
            <w:tcBorders>
              <w:top w:val="single" w:sz="4" w:space="0" w:color="000000"/>
              <w:left w:val="single" w:sz="4" w:space="0" w:color="000000"/>
              <w:bottom w:val="single" w:sz="4" w:space="0" w:color="000000"/>
              <w:right w:val="single" w:sz="4" w:space="0" w:color="000000"/>
            </w:tcBorders>
            <w:shd w:val="clear" w:color="auto" w:fill="00B0F0"/>
            <w:vAlign w:val="center"/>
          </w:tcPr>
          <w:p w14:paraId="75A260D3"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"Payback Period (PBP) of Project A"</w:t>
            </w:r>
          </w:p>
        </w:tc>
        <w:tc>
          <w:tcPr>
            <w:tcW w:w="1697" w:type="dxa"/>
            <w:tcBorders>
              <w:top w:val="nil"/>
              <w:left w:val="nil"/>
              <w:bottom w:val="single" w:sz="4" w:space="0" w:color="000000"/>
              <w:right w:val="single" w:sz="4" w:space="0" w:color="000000"/>
            </w:tcBorders>
            <w:shd w:val="clear" w:color="auto" w:fill="00B0F0"/>
            <w:vAlign w:val="center"/>
          </w:tcPr>
          <w:p w14:paraId="71697676"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Not Recovered</w:t>
            </w:r>
          </w:p>
        </w:tc>
      </w:tr>
      <w:tr w:rsidR="0035611D" w14:paraId="2CC9ADB1" w14:textId="77777777">
        <w:trPr>
          <w:trHeight w:val="300"/>
          <w:jc w:val="center"/>
        </w:trPr>
        <w:tc>
          <w:tcPr>
            <w:tcW w:w="1403" w:type="dxa"/>
            <w:tcBorders>
              <w:top w:val="nil"/>
              <w:left w:val="nil"/>
              <w:bottom w:val="nil"/>
              <w:right w:val="nil"/>
            </w:tcBorders>
            <w:vAlign w:val="bottom"/>
          </w:tcPr>
          <w:p w14:paraId="71EA6203" w14:textId="77777777" w:rsidR="0035611D" w:rsidRDefault="0035611D">
            <w:pPr>
              <w:spacing w:before="0" w:after="0" w:line="240" w:lineRule="auto"/>
              <w:jc w:val="center"/>
              <w:rPr>
                <w:rFonts w:ascii="Arial" w:eastAsia="Arial" w:hAnsi="Arial" w:cs="Arial"/>
                <w:b/>
                <w:bCs/>
                <w:color w:val="000000"/>
              </w:rPr>
            </w:pPr>
          </w:p>
        </w:tc>
        <w:tc>
          <w:tcPr>
            <w:tcW w:w="2017" w:type="dxa"/>
            <w:tcBorders>
              <w:top w:val="nil"/>
              <w:left w:val="nil"/>
              <w:bottom w:val="nil"/>
              <w:right w:val="nil"/>
            </w:tcBorders>
            <w:vAlign w:val="bottom"/>
          </w:tcPr>
          <w:p w14:paraId="47BF0101" w14:textId="77777777" w:rsidR="0035611D" w:rsidRDefault="0035611D">
            <w:pPr>
              <w:spacing w:before="0" w:after="0" w:line="240" w:lineRule="auto"/>
              <w:jc w:val="left"/>
              <w:rPr>
                <w:sz w:val="20"/>
                <w:szCs w:val="20"/>
              </w:rPr>
            </w:pPr>
          </w:p>
        </w:tc>
        <w:tc>
          <w:tcPr>
            <w:tcW w:w="2076" w:type="dxa"/>
            <w:tcBorders>
              <w:top w:val="nil"/>
              <w:left w:val="nil"/>
              <w:bottom w:val="nil"/>
              <w:right w:val="nil"/>
            </w:tcBorders>
            <w:vAlign w:val="bottom"/>
          </w:tcPr>
          <w:p w14:paraId="05965D35" w14:textId="77777777" w:rsidR="0035611D" w:rsidRDefault="0035611D">
            <w:pPr>
              <w:spacing w:before="0" w:after="0" w:line="240" w:lineRule="auto"/>
              <w:jc w:val="left"/>
              <w:rPr>
                <w:sz w:val="20"/>
                <w:szCs w:val="20"/>
              </w:rPr>
            </w:pPr>
          </w:p>
        </w:tc>
        <w:tc>
          <w:tcPr>
            <w:tcW w:w="1831" w:type="dxa"/>
            <w:tcBorders>
              <w:top w:val="nil"/>
              <w:left w:val="nil"/>
              <w:bottom w:val="nil"/>
              <w:right w:val="nil"/>
            </w:tcBorders>
            <w:vAlign w:val="bottom"/>
          </w:tcPr>
          <w:p w14:paraId="7482658F" w14:textId="77777777" w:rsidR="0035611D" w:rsidRDefault="0035611D">
            <w:pPr>
              <w:spacing w:before="0" w:after="0" w:line="240" w:lineRule="auto"/>
              <w:jc w:val="left"/>
              <w:rPr>
                <w:sz w:val="20"/>
                <w:szCs w:val="20"/>
              </w:rPr>
            </w:pPr>
          </w:p>
        </w:tc>
        <w:tc>
          <w:tcPr>
            <w:tcW w:w="1697" w:type="dxa"/>
            <w:tcBorders>
              <w:top w:val="nil"/>
              <w:left w:val="nil"/>
              <w:bottom w:val="nil"/>
              <w:right w:val="nil"/>
            </w:tcBorders>
            <w:vAlign w:val="bottom"/>
          </w:tcPr>
          <w:p w14:paraId="497F1EB4" w14:textId="77777777" w:rsidR="0035611D" w:rsidRDefault="0035611D">
            <w:pPr>
              <w:spacing w:before="0" w:after="0" w:line="240" w:lineRule="auto"/>
              <w:jc w:val="left"/>
              <w:rPr>
                <w:sz w:val="20"/>
                <w:szCs w:val="20"/>
              </w:rPr>
            </w:pPr>
          </w:p>
        </w:tc>
      </w:tr>
      <w:tr w:rsidR="0035611D" w14:paraId="27317739" w14:textId="77777777">
        <w:trPr>
          <w:trHeight w:val="624"/>
          <w:jc w:val="center"/>
        </w:trPr>
        <w:tc>
          <w:tcPr>
            <w:tcW w:w="1403" w:type="dxa"/>
            <w:tcBorders>
              <w:top w:val="single" w:sz="4" w:space="0" w:color="000000"/>
              <w:left w:val="single" w:sz="4" w:space="0" w:color="000000"/>
              <w:bottom w:val="single" w:sz="4" w:space="0" w:color="000000"/>
              <w:right w:val="single" w:sz="4" w:space="0" w:color="000000"/>
            </w:tcBorders>
            <w:shd w:val="clear" w:color="auto" w:fill="00B0F0"/>
            <w:vAlign w:val="center"/>
          </w:tcPr>
          <w:p w14:paraId="50193205"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Year</w:t>
            </w:r>
          </w:p>
        </w:tc>
        <w:tc>
          <w:tcPr>
            <w:tcW w:w="2017" w:type="dxa"/>
            <w:tcBorders>
              <w:top w:val="single" w:sz="4" w:space="0" w:color="000000"/>
              <w:left w:val="nil"/>
              <w:bottom w:val="single" w:sz="4" w:space="0" w:color="000000"/>
              <w:right w:val="single" w:sz="4" w:space="0" w:color="000000"/>
            </w:tcBorders>
            <w:shd w:val="clear" w:color="auto" w:fill="00B0F0"/>
            <w:vAlign w:val="center"/>
          </w:tcPr>
          <w:p w14:paraId="71A0D809"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Cashflow</w:t>
            </w:r>
          </w:p>
        </w:tc>
        <w:tc>
          <w:tcPr>
            <w:tcW w:w="2076" w:type="dxa"/>
            <w:tcBorders>
              <w:top w:val="single" w:sz="4" w:space="0" w:color="000000"/>
              <w:left w:val="nil"/>
              <w:bottom w:val="single" w:sz="4" w:space="0" w:color="000000"/>
              <w:right w:val="single" w:sz="4" w:space="0" w:color="000000"/>
            </w:tcBorders>
            <w:shd w:val="clear" w:color="auto" w:fill="00B0F0"/>
            <w:vAlign w:val="center"/>
          </w:tcPr>
          <w:p w14:paraId="428CB287"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"Discounting Factor @10%"</w:t>
            </w:r>
          </w:p>
        </w:tc>
        <w:tc>
          <w:tcPr>
            <w:tcW w:w="1831" w:type="dxa"/>
            <w:tcBorders>
              <w:top w:val="single" w:sz="4" w:space="0" w:color="000000"/>
              <w:left w:val="nil"/>
              <w:bottom w:val="single" w:sz="4" w:space="0" w:color="000000"/>
              <w:right w:val="single" w:sz="4" w:space="0" w:color="000000"/>
            </w:tcBorders>
            <w:shd w:val="clear" w:color="auto" w:fill="00B0F0"/>
            <w:vAlign w:val="center"/>
          </w:tcPr>
          <w:p w14:paraId="2AA9B60B"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Present value</w:t>
            </w:r>
          </w:p>
        </w:tc>
        <w:tc>
          <w:tcPr>
            <w:tcW w:w="1697" w:type="dxa"/>
            <w:tcBorders>
              <w:top w:val="nil"/>
              <w:left w:val="nil"/>
              <w:bottom w:val="nil"/>
              <w:right w:val="nil"/>
            </w:tcBorders>
            <w:vAlign w:val="bottom"/>
          </w:tcPr>
          <w:p w14:paraId="4BB98509" w14:textId="77777777" w:rsidR="0035611D" w:rsidRDefault="0035611D">
            <w:pPr>
              <w:spacing w:before="0" w:after="0" w:line="240" w:lineRule="auto"/>
              <w:jc w:val="center"/>
              <w:rPr>
                <w:rFonts w:ascii="Arial" w:eastAsia="Arial" w:hAnsi="Arial" w:cs="Arial"/>
                <w:b/>
                <w:bCs/>
                <w:color w:val="000000"/>
              </w:rPr>
            </w:pPr>
          </w:p>
        </w:tc>
      </w:tr>
      <w:tr w:rsidR="0035611D" w14:paraId="7B9A9469" w14:textId="77777777">
        <w:trPr>
          <w:trHeight w:val="300"/>
          <w:jc w:val="center"/>
        </w:trPr>
        <w:tc>
          <w:tcPr>
            <w:tcW w:w="1403" w:type="dxa"/>
            <w:tcBorders>
              <w:top w:val="nil"/>
              <w:left w:val="single" w:sz="4" w:space="0" w:color="000000"/>
              <w:bottom w:val="single" w:sz="4" w:space="0" w:color="000000"/>
              <w:right w:val="single" w:sz="4" w:space="0" w:color="000000"/>
            </w:tcBorders>
            <w:vAlign w:val="bottom"/>
          </w:tcPr>
          <w:p w14:paraId="2FB78E17"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w:t>
            </w:r>
          </w:p>
        </w:tc>
        <w:tc>
          <w:tcPr>
            <w:tcW w:w="2017" w:type="dxa"/>
            <w:tcBorders>
              <w:top w:val="nil"/>
              <w:left w:val="nil"/>
              <w:bottom w:val="single" w:sz="4" w:space="0" w:color="000000"/>
              <w:right w:val="single" w:sz="4" w:space="0" w:color="000000"/>
            </w:tcBorders>
            <w:vAlign w:val="bottom"/>
          </w:tcPr>
          <w:p w14:paraId="2FD2CDAA"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2076" w:type="dxa"/>
            <w:tcBorders>
              <w:top w:val="nil"/>
              <w:left w:val="nil"/>
              <w:bottom w:val="single" w:sz="4" w:space="0" w:color="000000"/>
              <w:right w:val="single" w:sz="4" w:space="0" w:color="000000"/>
            </w:tcBorders>
            <w:vAlign w:val="bottom"/>
          </w:tcPr>
          <w:p w14:paraId="4528CD4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1.000</w:t>
            </w:r>
          </w:p>
        </w:tc>
        <w:tc>
          <w:tcPr>
            <w:tcW w:w="1831" w:type="dxa"/>
            <w:tcBorders>
              <w:top w:val="nil"/>
              <w:left w:val="nil"/>
              <w:bottom w:val="single" w:sz="4" w:space="0" w:color="000000"/>
              <w:right w:val="single" w:sz="4" w:space="0" w:color="000000"/>
            </w:tcBorders>
            <w:vAlign w:val="bottom"/>
          </w:tcPr>
          <w:p w14:paraId="4957BA17"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1697" w:type="dxa"/>
            <w:tcBorders>
              <w:top w:val="nil"/>
              <w:left w:val="nil"/>
              <w:bottom w:val="nil"/>
              <w:right w:val="nil"/>
            </w:tcBorders>
            <w:vAlign w:val="bottom"/>
          </w:tcPr>
          <w:p w14:paraId="458ADF05" w14:textId="77777777" w:rsidR="0035611D" w:rsidRDefault="0035611D">
            <w:pPr>
              <w:spacing w:before="0" w:after="0" w:line="240" w:lineRule="auto"/>
              <w:jc w:val="center"/>
              <w:rPr>
                <w:rFonts w:ascii="Arial" w:eastAsia="Arial" w:hAnsi="Arial" w:cs="Arial"/>
                <w:color w:val="000000"/>
              </w:rPr>
            </w:pPr>
          </w:p>
        </w:tc>
      </w:tr>
      <w:tr w:rsidR="0035611D" w14:paraId="40DE93DD" w14:textId="77777777">
        <w:trPr>
          <w:trHeight w:val="300"/>
          <w:jc w:val="center"/>
        </w:trPr>
        <w:tc>
          <w:tcPr>
            <w:tcW w:w="1403" w:type="dxa"/>
            <w:tcBorders>
              <w:top w:val="nil"/>
              <w:left w:val="single" w:sz="4" w:space="0" w:color="000000"/>
              <w:bottom w:val="single" w:sz="4" w:space="0" w:color="000000"/>
              <w:right w:val="single" w:sz="4" w:space="0" w:color="000000"/>
            </w:tcBorders>
            <w:vAlign w:val="bottom"/>
          </w:tcPr>
          <w:p w14:paraId="743C78ED"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w:t>
            </w:r>
          </w:p>
        </w:tc>
        <w:tc>
          <w:tcPr>
            <w:tcW w:w="2017" w:type="dxa"/>
            <w:tcBorders>
              <w:top w:val="nil"/>
              <w:left w:val="nil"/>
              <w:bottom w:val="single" w:sz="4" w:space="0" w:color="000000"/>
              <w:right w:val="single" w:sz="4" w:space="0" w:color="000000"/>
            </w:tcBorders>
            <w:vAlign w:val="bottom"/>
          </w:tcPr>
          <w:p w14:paraId="4EF814CE"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10.00 </w:t>
            </w:r>
          </w:p>
        </w:tc>
        <w:tc>
          <w:tcPr>
            <w:tcW w:w="2076" w:type="dxa"/>
            <w:tcBorders>
              <w:top w:val="nil"/>
              <w:left w:val="nil"/>
              <w:bottom w:val="single" w:sz="4" w:space="0" w:color="000000"/>
              <w:right w:val="single" w:sz="4" w:space="0" w:color="000000"/>
            </w:tcBorders>
            <w:vAlign w:val="bottom"/>
          </w:tcPr>
          <w:p w14:paraId="1E4314A8"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0.909</w:t>
            </w:r>
          </w:p>
        </w:tc>
        <w:tc>
          <w:tcPr>
            <w:tcW w:w="1831" w:type="dxa"/>
            <w:tcBorders>
              <w:top w:val="nil"/>
              <w:left w:val="nil"/>
              <w:bottom w:val="single" w:sz="4" w:space="0" w:color="000000"/>
              <w:right w:val="single" w:sz="4" w:space="0" w:color="000000"/>
            </w:tcBorders>
            <w:vAlign w:val="bottom"/>
          </w:tcPr>
          <w:p w14:paraId="0E7C2123"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9.09 </w:t>
            </w:r>
          </w:p>
        </w:tc>
        <w:tc>
          <w:tcPr>
            <w:tcW w:w="1697" w:type="dxa"/>
            <w:tcBorders>
              <w:top w:val="nil"/>
              <w:left w:val="nil"/>
              <w:bottom w:val="nil"/>
              <w:right w:val="nil"/>
            </w:tcBorders>
            <w:vAlign w:val="bottom"/>
          </w:tcPr>
          <w:p w14:paraId="4B1006B8" w14:textId="77777777" w:rsidR="0035611D" w:rsidRDefault="0035611D">
            <w:pPr>
              <w:spacing w:before="0" w:after="0" w:line="240" w:lineRule="auto"/>
              <w:jc w:val="center"/>
              <w:rPr>
                <w:rFonts w:ascii="Arial" w:eastAsia="Arial" w:hAnsi="Arial" w:cs="Arial"/>
                <w:color w:val="000000"/>
              </w:rPr>
            </w:pPr>
          </w:p>
        </w:tc>
      </w:tr>
      <w:tr w:rsidR="0035611D" w14:paraId="6FC90547" w14:textId="77777777">
        <w:trPr>
          <w:trHeight w:val="300"/>
          <w:jc w:val="center"/>
        </w:trPr>
        <w:tc>
          <w:tcPr>
            <w:tcW w:w="1403" w:type="dxa"/>
            <w:tcBorders>
              <w:top w:val="nil"/>
              <w:left w:val="single" w:sz="4" w:space="0" w:color="000000"/>
              <w:bottom w:val="single" w:sz="4" w:space="0" w:color="000000"/>
              <w:right w:val="single" w:sz="4" w:space="0" w:color="000000"/>
            </w:tcBorders>
            <w:vAlign w:val="bottom"/>
          </w:tcPr>
          <w:p w14:paraId="35DB690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2</w:t>
            </w:r>
          </w:p>
        </w:tc>
        <w:tc>
          <w:tcPr>
            <w:tcW w:w="2017" w:type="dxa"/>
            <w:tcBorders>
              <w:top w:val="nil"/>
              <w:left w:val="nil"/>
              <w:bottom w:val="single" w:sz="4" w:space="0" w:color="000000"/>
              <w:right w:val="single" w:sz="4" w:space="0" w:color="000000"/>
            </w:tcBorders>
            <w:vAlign w:val="bottom"/>
          </w:tcPr>
          <w:p w14:paraId="3D588F3A"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12.00 </w:t>
            </w:r>
          </w:p>
        </w:tc>
        <w:tc>
          <w:tcPr>
            <w:tcW w:w="2076" w:type="dxa"/>
            <w:tcBorders>
              <w:top w:val="nil"/>
              <w:left w:val="nil"/>
              <w:bottom w:val="single" w:sz="4" w:space="0" w:color="000000"/>
              <w:right w:val="single" w:sz="4" w:space="0" w:color="000000"/>
            </w:tcBorders>
            <w:vAlign w:val="bottom"/>
          </w:tcPr>
          <w:p w14:paraId="097B7692"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0.826</w:t>
            </w:r>
          </w:p>
        </w:tc>
        <w:tc>
          <w:tcPr>
            <w:tcW w:w="1831" w:type="dxa"/>
            <w:tcBorders>
              <w:top w:val="nil"/>
              <w:left w:val="nil"/>
              <w:bottom w:val="single" w:sz="4" w:space="0" w:color="000000"/>
              <w:right w:val="single" w:sz="4" w:space="0" w:color="000000"/>
            </w:tcBorders>
            <w:vAlign w:val="bottom"/>
          </w:tcPr>
          <w:p w14:paraId="608071FD"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9.92 </w:t>
            </w:r>
          </w:p>
        </w:tc>
        <w:tc>
          <w:tcPr>
            <w:tcW w:w="1697" w:type="dxa"/>
            <w:tcBorders>
              <w:top w:val="nil"/>
              <w:left w:val="nil"/>
              <w:bottom w:val="nil"/>
              <w:right w:val="nil"/>
            </w:tcBorders>
            <w:vAlign w:val="bottom"/>
          </w:tcPr>
          <w:p w14:paraId="3AA1E488" w14:textId="77777777" w:rsidR="0035611D" w:rsidRDefault="0035611D">
            <w:pPr>
              <w:spacing w:before="0" w:after="0" w:line="240" w:lineRule="auto"/>
              <w:jc w:val="center"/>
              <w:rPr>
                <w:rFonts w:ascii="Arial" w:eastAsia="Arial" w:hAnsi="Arial" w:cs="Arial"/>
                <w:color w:val="000000"/>
              </w:rPr>
            </w:pPr>
          </w:p>
        </w:tc>
      </w:tr>
      <w:tr w:rsidR="0035611D" w14:paraId="276CB83A" w14:textId="77777777">
        <w:trPr>
          <w:trHeight w:val="300"/>
          <w:jc w:val="center"/>
        </w:trPr>
        <w:tc>
          <w:tcPr>
            <w:tcW w:w="1403" w:type="dxa"/>
            <w:tcBorders>
              <w:top w:val="nil"/>
              <w:left w:val="single" w:sz="4" w:space="0" w:color="000000"/>
              <w:bottom w:val="single" w:sz="4" w:space="0" w:color="000000"/>
              <w:right w:val="single" w:sz="4" w:space="0" w:color="000000"/>
            </w:tcBorders>
            <w:vAlign w:val="bottom"/>
          </w:tcPr>
          <w:p w14:paraId="0DDC66C3"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3</w:t>
            </w:r>
          </w:p>
        </w:tc>
        <w:tc>
          <w:tcPr>
            <w:tcW w:w="2017" w:type="dxa"/>
            <w:tcBorders>
              <w:top w:val="nil"/>
              <w:left w:val="nil"/>
              <w:bottom w:val="single" w:sz="4" w:space="0" w:color="000000"/>
              <w:right w:val="single" w:sz="4" w:space="0" w:color="000000"/>
            </w:tcBorders>
            <w:vAlign w:val="bottom"/>
          </w:tcPr>
          <w:p w14:paraId="5B5F04F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14.00 </w:t>
            </w:r>
          </w:p>
        </w:tc>
        <w:tc>
          <w:tcPr>
            <w:tcW w:w="2076" w:type="dxa"/>
            <w:tcBorders>
              <w:top w:val="nil"/>
              <w:left w:val="nil"/>
              <w:bottom w:val="single" w:sz="4" w:space="0" w:color="000000"/>
              <w:right w:val="single" w:sz="4" w:space="0" w:color="000000"/>
            </w:tcBorders>
            <w:vAlign w:val="bottom"/>
          </w:tcPr>
          <w:p w14:paraId="674DF4BB"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0.751</w:t>
            </w:r>
          </w:p>
        </w:tc>
        <w:tc>
          <w:tcPr>
            <w:tcW w:w="1831" w:type="dxa"/>
            <w:tcBorders>
              <w:top w:val="nil"/>
              <w:left w:val="nil"/>
              <w:bottom w:val="single" w:sz="4" w:space="0" w:color="000000"/>
              <w:right w:val="single" w:sz="4" w:space="0" w:color="000000"/>
            </w:tcBorders>
            <w:vAlign w:val="bottom"/>
          </w:tcPr>
          <w:p w14:paraId="34B29FF2"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10.52 </w:t>
            </w:r>
          </w:p>
        </w:tc>
        <w:tc>
          <w:tcPr>
            <w:tcW w:w="1697" w:type="dxa"/>
            <w:tcBorders>
              <w:top w:val="nil"/>
              <w:left w:val="nil"/>
              <w:bottom w:val="nil"/>
              <w:right w:val="nil"/>
            </w:tcBorders>
            <w:vAlign w:val="bottom"/>
          </w:tcPr>
          <w:p w14:paraId="43AEE3FA" w14:textId="77777777" w:rsidR="0035611D" w:rsidRDefault="0035611D">
            <w:pPr>
              <w:spacing w:before="0" w:after="0" w:line="240" w:lineRule="auto"/>
              <w:jc w:val="center"/>
              <w:rPr>
                <w:rFonts w:ascii="Arial" w:eastAsia="Arial" w:hAnsi="Arial" w:cs="Arial"/>
                <w:color w:val="000000"/>
              </w:rPr>
            </w:pPr>
          </w:p>
        </w:tc>
      </w:tr>
      <w:tr w:rsidR="0035611D" w14:paraId="43C917CD" w14:textId="77777777">
        <w:trPr>
          <w:trHeight w:val="300"/>
          <w:jc w:val="center"/>
        </w:trPr>
        <w:tc>
          <w:tcPr>
            <w:tcW w:w="1403" w:type="dxa"/>
            <w:tcBorders>
              <w:top w:val="nil"/>
              <w:left w:val="single" w:sz="4" w:space="0" w:color="000000"/>
              <w:bottom w:val="single" w:sz="4" w:space="0" w:color="000000"/>
              <w:right w:val="single" w:sz="4" w:space="0" w:color="000000"/>
            </w:tcBorders>
            <w:vAlign w:val="bottom"/>
          </w:tcPr>
          <w:p w14:paraId="10E44AB6"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4</w:t>
            </w:r>
          </w:p>
        </w:tc>
        <w:tc>
          <w:tcPr>
            <w:tcW w:w="2017" w:type="dxa"/>
            <w:tcBorders>
              <w:top w:val="nil"/>
              <w:left w:val="nil"/>
              <w:bottom w:val="single" w:sz="4" w:space="0" w:color="000000"/>
              <w:right w:val="single" w:sz="4" w:space="0" w:color="000000"/>
            </w:tcBorders>
            <w:vAlign w:val="bottom"/>
          </w:tcPr>
          <w:p w14:paraId="2112E017"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10.00 </w:t>
            </w:r>
          </w:p>
        </w:tc>
        <w:tc>
          <w:tcPr>
            <w:tcW w:w="2076" w:type="dxa"/>
            <w:tcBorders>
              <w:top w:val="nil"/>
              <w:left w:val="nil"/>
              <w:bottom w:val="single" w:sz="4" w:space="0" w:color="000000"/>
              <w:right w:val="single" w:sz="4" w:space="0" w:color="000000"/>
            </w:tcBorders>
            <w:vAlign w:val="bottom"/>
          </w:tcPr>
          <w:p w14:paraId="6C2BA021"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0.683</w:t>
            </w:r>
          </w:p>
        </w:tc>
        <w:tc>
          <w:tcPr>
            <w:tcW w:w="1831" w:type="dxa"/>
            <w:tcBorders>
              <w:top w:val="nil"/>
              <w:left w:val="nil"/>
              <w:bottom w:val="single" w:sz="4" w:space="0" w:color="000000"/>
              <w:right w:val="single" w:sz="4" w:space="0" w:color="000000"/>
            </w:tcBorders>
            <w:vAlign w:val="bottom"/>
          </w:tcPr>
          <w:p w14:paraId="60AB00A8"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6.83 </w:t>
            </w:r>
          </w:p>
        </w:tc>
        <w:tc>
          <w:tcPr>
            <w:tcW w:w="1697" w:type="dxa"/>
            <w:tcBorders>
              <w:top w:val="nil"/>
              <w:left w:val="nil"/>
              <w:bottom w:val="nil"/>
              <w:right w:val="nil"/>
            </w:tcBorders>
            <w:vAlign w:val="bottom"/>
          </w:tcPr>
          <w:p w14:paraId="1B4511D0" w14:textId="77777777" w:rsidR="0035611D" w:rsidRDefault="0035611D">
            <w:pPr>
              <w:spacing w:before="0" w:after="0" w:line="240" w:lineRule="auto"/>
              <w:jc w:val="center"/>
              <w:rPr>
                <w:rFonts w:ascii="Arial" w:eastAsia="Arial" w:hAnsi="Arial" w:cs="Arial"/>
                <w:color w:val="000000"/>
              </w:rPr>
            </w:pPr>
          </w:p>
        </w:tc>
      </w:tr>
      <w:tr w:rsidR="0035611D" w14:paraId="59292D78" w14:textId="77777777">
        <w:trPr>
          <w:trHeight w:val="300"/>
          <w:jc w:val="center"/>
        </w:trPr>
        <w:tc>
          <w:tcPr>
            <w:tcW w:w="1403" w:type="dxa"/>
            <w:tcBorders>
              <w:top w:val="nil"/>
              <w:left w:val="single" w:sz="4" w:space="0" w:color="000000"/>
              <w:bottom w:val="single" w:sz="4" w:space="0" w:color="000000"/>
              <w:right w:val="single" w:sz="4" w:space="0" w:color="000000"/>
            </w:tcBorders>
            <w:vAlign w:val="bottom"/>
          </w:tcPr>
          <w:p w14:paraId="14A2F901"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5</w:t>
            </w:r>
          </w:p>
        </w:tc>
        <w:tc>
          <w:tcPr>
            <w:tcW w:w="2017" w:type="dxa"/>
            <w:tcBorders>
              <w:top w:val="nil"/>
              <w:left w:val="nil"/>
              <w:bottom w:val="single" w:sz="4" w:space="0" w:color="000000"/>
              <w:right w:val="single" w:sz="4" w:space="0" w:color="000000"/>
            </w:tcBorders>
            <w:vAlign w:val="bottom"/>
          </w:tcPr>
          <w:p w14:paraId="4B37538F"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8.00 </w:t>
            </w:r>
          </w:p>
        </w:tc>
        <w:tc>
          <w:tcPr>
            <w:tcW w:w="2076" w:type="dxa"/>
            <w:tcBorders>
              <w:top w:val="nil"/>
              <w:left w:val="nil"/>
              <w:bottom w:val="single" w:sz="4" w:space="0" w:color="000000"/>
              <w:right w:val="single" w:sz="4" w:space="0" w:color="000000"/>
            </w:tcBorders>
            <w:vAlign w:val="bottom"/>
          </w:tcPr>
          <w:p w14:paraId="248D77A2"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0.621</w:t>
            </w:r>
          </w:p>
        </w:tc>
        <w:tc>
          <w:tcPr>
            <w:tcW w:w="1831" w:type="dxa"/>
            <w:tcBorders>
              <w:top w:val="nil"/>
              <w:left w:val="nil"/>
              <w:bottom w:val="single" w:sz="4" w:space="0" w:color="000000"/>
              <w:right w:val="single" w:sz="4" w:space="0" w:color="000000"/>
            </w:tcBorders>
            <w:vAlign w:val="bottom"/>
          </w:tcPr>
          <w:p w14:paraId="62333DCB"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4.97 </w:t>
            </w:r>
          </w:p>
        </w:tc>
        <w:tc>
          <w:tcPr>
            <w:tcW w:w="1697" w:type="dxa"/>
            <w:tcBorders>
              <w:top w:val="nil"/>
              <w:left w:val="nil"/>
              <w:bottom w:val="nil"/>
              <w:right w:val="nil"/>
            </w:tcBorders>
            <w:vAlign w:val="bottom"/>
          </w:tcPr>
          <w:p w14:paraId="62D67A92" w14:textId="77777777" w:rsidR="0035611D" w:rsidRDefault="0035611D">
            <w:pPr>
              <w:spacing w:before="0" w:after="0" w:line="240" w:lineRule="auto"/>
              <w:jc w:val="center"/>
              <w:rPr>
                <w:rFonts w:ascii="Arial" w:eastAsia="Arial" w:hAnsi="Arial" w:cs="Arial"/>
                <w:color w:val="000000"/>
              </w:rPr>
            </w:pPr>
          </w:p>
        </w:tc>
      </w:tr>
      <w:tr w:rsidR="0035611D" w14:paraId="56F44EE7" w14:textId="77777777">
        <w:trPr>
          <w:trHeight w:val="540"/>
          <w:jc w:val="center"/>
        </w:trPr>
        <w:tc>
          <w:tcPr>
            <w:tcW w:w="5496" w:type="dxa"/>
            <w:gridSpan w:val="3"/>
            <w:tcBorders>
              <w:top w:val="single" w:sz="4" w:space="0" w:color="000000"/>
              <w:left w:val="single" w:sz="4" w:space="0" w:color="000000"/>
              <w:bottom w:val="single" w:sz="4" w:space="0" w:color="000000"/>
              <w:right w:val="single" w:sz="4" w:space="0" w:color="000000"/>
            </w:tcBorders>
            <w:shd w:val="clear" w:color="auto" w:fill="00B0F0"/>
            <w:vAlign w:val="center"/>
          </w:tcPr>
          <w:p w14:paraId="1BC24D28"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"Internal Rate of Return (IRR) of Project A"</w:t>
            </w:r>
          </w:p>
        </w:tc>
        <w:tc>
          <w:tcPr>
            <w:tcW w:w="1831" w:type="dxa"/>
            <w:tcBorders>
              <w:top w:val="nil"/>
              <w:left w:val="nil"/>
              <w:bottom w:val="single" w:sz="4" w:space="0" w:color="000000"/>
              <w:right w:val="single" w:sz="4" w:space="0" w:color="000000"/>
            </w:tcBorders>
            <w:shd w:val="clear" w:color="auto" w:fill="00B0F0"/>
            <w:vAlign w:val="center"/>
          </w:tcPr>
          <w:p w14:paraId="0816B4FA"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2.72%</w:t>
            </w:r>
          </w:p>
        </w:tc>
        <w:tc>
          <w:tcPr>
            <w:tcW w:w="1697" w:type="dxa"/>
            <w:tcBorders>
              <w:top w:val="nil"/>
              <w:left w:val="nil"/>
              <w:bottom w:val="nil"/>
              <w:right w:val="nil"/>
            </w:tcBorders>
            <w:vAlign w:val="bottom"/>
          </w:tcPr>
          <w:p w14:paraId="6A298C32" w14:textId="77777777" w:rsidR="0035611D" w:rsidRDefault="0035611D">
            <w:pPr>
              <w:spacing w:before="0" w:after="0" w:line="240" w:lineRule="auto"/>
              <w:jc w:val="center"/>
              <w:rPr>
                <w:rFonts w:ascii="Arial" w:eastAsia="Arial" w:hAnsi="Arial" w:cs="Arial"/>
                <w:b/>
                <w:bCs/>
                <w:color w:val="000000"/>
              </w:rPr>
            </w:pPr>
          </w:p>
        </w:tc>
      </w:tr>
      <w:tr w:rsidR="0035611D" w14:paraId="7E8B63CA" w14:textId="77777777">
        <w:trPr>
          <w:trHeight w:val="300"/>
          <w:jc w:val="center"/>
        </w:trPr>
        <w:tc>
          <w:tcPr>
            <w:tcW w:w="1403" w:type="dxa"/>
            <w:tcBorders>
              <w:top w:val="nil"/>
              <w:left w:val="nil"/>
              <w:bottom w:val="nil"/>
              <w:right w:val="nil"/>
            </w:tcBorders>
            <w:vAlign w:val="bottom"/>
          </w:tcPr>
          <w:p w14:paraId="7583CD9B" w14:textId="77777777" w:rsidR="0035611D" w:rsidRDefault="0035611D">
            <w:pPr>
              <w:spacing w:before="0" w:after="0" w:line="240" w:lineRule="auto"/>
              <w:jc w:val="left"/>
              <w:rPr>
                <w:sz w:val="20"/>
                <w:szCs w:val="20"/>
              </w:rPr>
            </w:pPr>
          </w:p>
        </w:tc>
        <w:tc>
          <w:tcPr>
            <w:tcW w:w="2017" w:type="dxa"/>
            <w:tcBorders>
              <w:top w:val="nil"/>
              <w:left w:val="nil"/>
              <w:bottom w:val="nil"/>
              <w:right w:val="nil"/>
            </w:tcBorders>
            <w:vAlign w:val="bottom"/>
          </w:tcPr>
          <w:p w14:paraId="5C739D68" w14:textId="77777777" w:rsidR="0035611D" w:rsidRDefault="0035611D">
            <w:pPr>
              <w:spacing w:before="0" w:after="0" w:line="240" w:lineRule="auto"/>
              <w:jc w:val="left"/>
              <w:rPr>
                <w:sz w:val="20"/>
                <w:szCs w:val="20"/>
              </w:rPr>
            </w:pPr>
          </w:p>
        </w:tc>
        <w:tc>
          <w:tcPr>
            <w:tcW w:w="2076" w:type="dxa"/>
            <w:tcBorders>
              <w:top w:val="nil"/>
              <w:left w:val="nil"/>
              <w:bottom w:val="nil"/>
              <w:right w:val="nil"/>
            </w:tcBorders>
            <w:vAlign w:val="bottom"/>
          </w:tcPr>
          <w:p w14:paraId="5A6A8069" w14:textId="77777777" w:rsidR="0035611D" w:rsidRDefault="0035611D">
            <w:pPr>
              <w:spacing w:before="0" w:after="0" w:line="240" w:lineRule="auto"/>
              <w:jc w:val="left"/>
              <w:rPr>
                <w:sz w:val="20"/>
                <w:szCs w:val="20"/>
              </w:rPr>
            </w:pPr>
          </w:p>
        </w:tc>
        <w:tc>
          <w:tcPr>
            <w:tcW w:w="1831" w:type="dxa"/>
            <w:tcBorders>
              <w:top w:val="nil"/>
              <w:left w:val="nil"/>
              <w:bottom w:val="nil"/>
              <w:right w:val="nil"/>
            </w:tcBorders>
            <w:vAlign w:val="bottom"/>
          </w:tcPr>
          <w:p w14:paraId="42CD2FFC" w14:textId="77777777" w:rsidR="0035611D" w:rsidRDefault="0035611D">
            <w:pPr>
              <w:spacing w:before="0" w:after="0" w:line="240" w:lineRule="auto"/>
              <w:jc w:val="left"/>
              <w:rPr>
                <w:sz w:val="20"/>
                <w:szCs w:val="20"/>
              </w:rPr>
            </w:pPr>
          </w:p>
        </w:tc>
        <w:tc>
          <w:tcPr>
            <w:tcW w:w="1697" w:type="dxa"/>
            <w:tcBorders>
              <w:top w:val="nil"/>
              <w:left w:val="nil"/>
              <w:bottom w:val="nil"/>
              <w:right w:val="nil"/>
            </w:tcBorders>
            <w:vAlign w:val="bottom"/>
          </w:tcPr>
          <w:p w14:paraId="54B6A957" w14:textId="77777777" w:rsidR="0035611D" w:rsidRDefault="0035611D">
            <w:pPr>
              <w:spacing w:before="0" w:after="0" w:line="240" w:lineRule="auto"/>
              <w:jc w:val="left"/>
              <w:rPr>
                <w:sz w:val="20"/>
                <w:szCs w:val="20"/>
              </w:rPr>
            </w:pPr>
          </w:p>
        </w:tc>
      </w:tr>
      <w:tr w:rsidR="0035611D" w14:paraId="30BA8B20" w14:textId="77777777">
        <w:trPr>
          <w:trHeight w:val="300"/>
          <w:jc w:val="center"/>
        </w:trPr>
        <w:tc>
          <w:tcPr>
            <w:tcW w:w="1403" w:type="dxa"/>
            <w:tcBorders>
              <w:top w:val="nil"/>
              <w:left w:val="nil"/>
              <w:bottom w:val="nil"/>
              <w:right w:val="nil"/>
            </w:tcBorders>
            <w:vAlign w:val="bottom"/>
          </w:tcPr>
          <w:p w14:paraId="44803FE2" w14:textId="77777777" w:rsidR="0035611D" w:rsidRDefault="0035611D">
            <w:pPr>
              <w:spacing w:before="0" w:after="0" w:line="240" w:lineRule="auto"/>
              <w:jc w:val="left"/>
              <w:rPr>
                <w:sz w:val="20"/>
                <w:szCs w:val="20"/>
              </w:rPr>
            </w:pPr>
          </w:p>
        </w:tc>
        <w:tc>
          <w:tcPr>
            <w:tcW w:w="2017" w:type="dxa"/>
            <w:tcBorders>
              <w:top w:val="nil"/>
              <w:left w:val="nil"/>
              <w:bottom w:val="nil"/>
              <w:right w:val="nil"/>
            </w:tcBorders>
            <w:vAlign w:val="bottom"/>
          </w:tcPr>
          <w:p w14:paraId="071F928D" w14:textId="77777777" w:rsidR="0035611D" w:rsidRDefault="0035611D">
            <w:pPr>
              <w:spacing w:before="0" w:after="0" w:line="240" w:lineRule="auto"/>
              <w:jc w:val="left"/>
              <w:rPr>
                <w:sz w:val="20"/>
                <w:szCs w:val="20"/>
              </w:rPr>
            </w:pPr>
          </w:p>
        </w:tc>
        <w:tc>
          <w:tcPr>
            <w:tcW w:w="2076" w:type="dxa"/>
            <w:tcBorders>
              <w:top w:val="nil"/>
              <w:left w:val="nil"/>
              <w:bottom w:val="nil"/>
              <w:right w:val="nil"/>
            </w:tcBorders>
            <w:vAlign w:val="bottom"/>
          </w:tcPr>
          <w:p w14:paraId="6145EFB5" w14:textId="77777777" w:rsidR="0035611D" w:rsidRDefault="0035611D">
            <w:pPr>
              <w:spacing w:before="0" w:after="0" w:line="240" w:lineRule="auto"/>
              <w:jc w:val="left"/>
              <w:rPr>
                <w:sz w:val="20"/>
                <w:szCs w:val="20"/>
              </w:rPr>
            </w:pPr>
          </w:p>
        </w:tc>
        <w:tc>
          <w:tcPr>
            <w:tcW w:w="1831" w:type="dxa"/>
            <w:tcBorders>
              <w:top w:val="nil"/>
              <w:left w:val="nil"/>
              <w:bottom w:val="nil"/>
              <w:right w:val="nil"/>
            </w:tcBorders>
            <w:vAlign w:val="bottom"/>
          </w:tcPr>
          <w:p w14:paraId="5309CD57" w14:textId="77777777" w:rsidR="0035611D" w:rsidRDefault="0035611D">
            <w:pPr>
              <w:spacing w:before="0" w:after="0" w:line="240" w:lineRule="auto"/>
              <w:jc w:val="left"/>
              <w:rPr>
                <w:sz w:val="20"/>
                <w:szCs w:val="20"/>
              </w:rPr>
            </w:pPr>
          </w:p>
        </w:tc>
        <w:tc>
          <w:tcPr>
            <w:tcW w:w="1697" w:type="dxa"/>
            <w:tcBorders>
              <w:top w:val="nil"/>
              <w:left w:val="nil"/>
              <w:bottom w:val="nil"/>
              <w:right w:val="nil"/>
            </w:tcBorders>
            <w:vAlign w:val="bottom"/>
          </w:tcPr>
          <w:p w14:paraId="3A177399" w14:textId="77777777" w:rsidR="0035611D" w:rsidRDefault="0035611D">
            <w:pPr>
              <w:spacing w:before="0" w:after="0" w:line="240" w:lineRule="auto"/>
              <w:jc w:val="left"/>
              <w:rPr>
                <w:sz w:val="20"/>
                <w:szCs w:val="20"/>
              </w:rPr>
            </w:pPr>
          </w:p>
        </w:tc>
      </w:tr>
      <w:tr w:rsidR="0035611D" w14:paraId="6B99FA46" w14:textId="77777777">
        <w:trPr>
          <w:trHeight w:val="624"/>
          <w:jc w:val="center"/>
        </w:trPr>
        <w:tc>
          <w:tcPr>
            <w:tcW w:w="1403" w:type="dxa"/>
            <w:tcBorders>
              <w:top w:val="single" w:sz="4" w:space="0" w:color="000000"/>
              <w:left w:val="single" w:sz="4" w:space="0" w:color="000000"/>
              <w:bottom w:val="single" w:sz="4" w:space="0" w:color="000000"/>
              <w:right w:val="single" w:sz="4" w:space="0" w:color="000000"/>
            </w:tcBorders>
            <w:shd w:val="clear" w:color="auto" w:fill="00B0F0"/>
            <w:vAlign w:val="center"/>
          </w:tcPr>
          <w:p w14:paraId="7F781C98"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"Year"</w:t>
            </w:r>
          </w:p>
        </w:tc>
        <w:tc>
          <w:tcPr>
            <w:tcW w:w="2017" w:type="dxa"/>
            <w:tcBorders>
              <w:top w:val="single" w:sz="4" w:space="0" w:color="000000"/>
              <w:left w:val="nil"/>
              <w:bottom w:val="single" w:sz="4" w:space="0" w:color="000000"/>
              <w:right w:val="single" w:sz="4" w:space="0" w:color="000000"/>
            </w:tcBorders>
            <w:shd w:val="clear" w:color="auto" w:fill="00B0F0"/>
            <w:vAlign w:val="center"/>
          </w:tcPr>
          <w:p w14:paraId="3DEDE87B"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"Cash Flow"</w:t>
            </w:r>
          </w:p>
        </w:tc>
        <w:tc>
          <w:tcPr>
            <w:tcW w:w="2076" w:type="dxa"/>
            <w:tcBorders>
              <w:top w:val="single" w:sz="4" w:space="0" w:color="000000"/>
              <w:left w:val="nil"/>
              <w:bottom w:val="single" w:sz="4" w:space="0" w:color="000000"/>
              <w:right w:val="single" w:sz="4" w:space="0" w:color="000000"/>
            </w:tcBorders>
            <w:shd w:val="clear" w:color="auto" w:fill="00B0F0"/>
            <w:vAlign w:val="center"/>
          </w:tcPr>
          <w:p w14:paraId="6AFC9ADC"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 xml:space="preserve">"Depreciation" </w:t>
            </w:r>
          </w:p>
        </w:tc>
        <w:tc>
          <w:tcPr>
            <w:tcW w:w="1831" w:type="dxa"/>
            <w:tcBorders>
              <w:top w:val="single" w:sz="4" w:space="0" w:color="000000"/>
              <w:left w:val="nil"/>
              <w:bottom w:val="single" w:sz="4" w:space="0" w:color="000000"/>
              <w:right w:val="single" w:sz="4" w:space="0" w:color="000000"/>
            </w:tcBorders>
            <w:shd w:val="clear" w:color="auto" w:fill="00B0F0"/>
            <w:vAlign w:val="center"/>
          </w:tcPr>
          <w:p w14:paraId="77CDE480"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"Present Value"</w:t>
            </w:r>
          </w:p>
        </w:tc>
        <w:tc>
          <w:tcPr>
            <w:tcW w:w="1697" w:type="dxa"/>
            <w:tcBorders>
              <w:top w:val="nil"/>
              <w:left w:val="nil"/>
              <w:bottom w:val="nil"/>
              <w:right w:val="nil"/>
            </w:tcBorders>
            <w:vAlign w:val="bottom"/>
          </w:tcPr>
          <w:p w14:paraId="30C408FF" w14:textId="77777777" w:rsidR="0035611D" w:rsidRDefault="0035611D">
            <w:pPr>
              <w:spacing w:before="0" w:after="0" w:line="240" w:lineRule="auto"/>
              <w:jc w:val="center"/>
              <w:rPr>
                <w:rFonts w:ascii="Arial" w:eastAsia="Arial" w:hAnsi="Arial" w:cs="Arial"/>
                <w:b/>
                <w:bCs/>
                <w:color w:val="000000"/>
              </w:rPr>
            </w:pPr>
          </w:p>
        </w:tc>
      </w:tr>
      <w:tr w:rsidR="0035611D" w14:paraId="21136FDE" w14:textId="77777777">
        <w:trPr>
          <w:trHeight w:val="300"/>
          <w:jc w:val="center"/>
        </w:trPr>
        <w:tc>
          <w:tcPr>
            <w:tcW w:w="1403" w:type="dxa"/>
            <w:tcBorders>
              <w:top w:val="nil"/>
              <w:left w:val="single" w:sz="4" w:space="0" w:color="000000"/>
              <w:bottom w:val="single" w:sz="4" w:space="0" w:color="000000"/>
              <w:right w:val="single" w:sz="4" w:space="0" w:color="000000"/>
            </w:tcBorders>
            <w:vAlign w:val="center"/>
          </w:tcPr>
          <w:p w14:paraId="0D232EE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w:t>
            </w:r>
          </w:p>
        </w:tc>
        <w:tc>
          <w:tcPr>
            <w:tcW w:w="2017" w:type="dxa"/>
            <w:tcBorders>
              <w:top w:val="nil"/>
              <w:left w:val="nil"/>
              <w:bottom w:val="single" w:sz="4" w:space="0" w:color="000000"/>
              <w:right w:val="single" w:sz="4" w:space="0" w:color="000000"/>
            </w:tcBorders>
            <w:vAlign w:val="center"/>
          </w:tcPr>
          <w:p w14:paraId="19CAA40B"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2076" w:type="dxa"/>
            <w:tcBorders>
              <w:top w:val="nil"/>
              <w:left w:val="nil"/>
              <w:bottom w:val="single" w:sz="4" w:space="0" w:color="000000"/>
              <w:right w:val="single" w:sz="4" w:space="0" w:color="000000"/>
            </w:tcBorders>
            <w:vAlign w:val="center"/>
          </w:tcPr>
          <w:p w14:paraId="0E03EADA" w14:textId="77777777" w:rsidR="0035611D" w:rsidRDefault="00A6742D">
            <w:pPr>
              <w:spacing w:before="0" w:after="0" w:line="240" w:lineRule="auto"/>
              <w:jc w:val="right"/>
              <w:rPr>
                <w:rFonts w:ascii="Arial" w:eastAsia="Arial" w:hAnsi="Arial" w:cs="Arial"/>
                <w:color w:val="000000"/>
              </w:rPr>
            </w:pPr>
            <w:r>
              <w:rPr>
                <w:rFonts w:ascii="Arial" w:eastAsia="Arial" w:hAnsi="Arial" w:cs="Arial"/>
                <w:color w:val="000000"/>
              </w:rPr>
              <w:t>0.00</w:t>
            </w:r>
          </w:p>
        </w:tc>
        <w:tc>
          <w:tcPr>
            <w:tcW w:w="1831" w:type="dxa"/>
            <w:tcBorders>
              <w:top w:val="nil"/>
              <w:left w:val="nil"/>
              <w:bottom w:val="single" w:sz="4" w:space="0" w:color="000000"/>
              <w:right w:val="single" w:sz="4" w:space="0" w:color="000000"/>
            </w:tcBorders>
            <w:vAlign w:val="center"/>
          </w:tcPr>
          <w:p w14:paraId="47557128"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1697" w:type="dxa"/>
            <w:tcBorders>
              <w:top w:val="nil"/>
              <w:left w:val="nil"/>
              <w:bottom w:val="nil"/>
              <w:right w:val="nil"/>
            </w:tcBorders>
            <w:vAlign w:val="bottom"/>
          </w:tcPr>
          <w:p w14:paraId="33E2DBB5" w14:textId="77777777" w:rsidR="0035611D" w:rsidRDefault="0035611D">
            <w:pPr>
              <w:spacing w:before="0" w:after="0" w:line="240" w:lineRule="auto"/>
              <w:jc w:val="center"/>
              <w:rPr>
                <w:rFonts w:ascii="Arial" w:eastAsia="Arial" w:hAnsi="Arial" w:cs="Arial"/>
                <w:color w:val="000000"/>
              </w:rPr>
            </w:pPr>
          </w:p>
        </w:tc>
      </w:tr>
      <w:tr w:rsidR="0035611D" w14:paraId="0419BEAA" w14:textId="77777777">
        <w:trPr>
          <w:trHeight w:val="300"/>
          <w:jc w:val="center"/>
        </w:trPr>
        <w:tc>
          <w:tcPr>
            <w:tcW w:w="1403" w:type="dxa"/>
            <w:tcBorders>
              <w:top w:val="nil"/>
              <w:left w:val="single" w:sz="4" w:space="0" w:color="000000"/>
              <w:bottom w:val="single" w:sz="4" w:space="0" w:color="000000"/>
              <w:right w:val="single" w:sz="4" w:space="0" w:color="000000"/>
            </w:tcBorders>
            <w:vAlign w:val="center"/>
          </w:tcPr>
          <w:p w14:paraId="01B76B92"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w:t>
            </w:r>
          </w:p>
        </w:tc>
        <w:tc>
          <w:tcPr>
            <w:tcW w:w="2017" w:type="dxa"/>
            <w:tcBorders>
              <w:top w:val="nil"/>
              <w:left w:val="nil"/>
              <w:bottom w:val="single" w:sz="4" w:space="0" w:color="000000"/>
              <w:right w:val="single" w:sz="4" w:space="0" w:color="000000"/>
            </w:tcBorders>
            <w:vAlign w:val="center"/>
          </w:tcPr>
          <w:p w14:paraId="74A6844C"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10.00 </w:t>
            </w:r>
          </w:p>
        </w:tc>
        <w:tc>
          <w:tcPr>
            <w:tcW w:w="2076" w:type="dxa"/>
            <w:tcBorders>
              <w:top w:val="nil"/>
              <w:left w:val="nil"/>
              <w:bottom w:val="single" w:sz="4" w:space="0" w:color="000000"/>
              <w:right w:val="single" w:sz="4" w:space="0" w:color="000000"/>
            </w:tcBorders>
            <w:vAlign w:val="center"/>
          </w:tcPr>
          <w:p w14:paraId="332E43A9" w14:textId="77777777" w:rsidR="0035611D" w:rsidRDefault="00A6742D">
            <w:pPr>
              <w:spacing w:before="0" w:after="0" w:line="240" w:lineRule="auto"/>
              <w:jc w:val="right"/>
              <w:rPr>
                <w:rFonts w:ascii="Arial" w:eastAsia="Arial" w:hAnsi="Arial" w:cs="Arial"/>
                <w:color w:val="000000"/>
              </w:rPr>
            </w:pPr>
            <w:r>
              <w:rPr>
                <w:rFonts w:ascii="Arial" w:eastAsia="Arial" w:hAnsi="Arial" w:cs="Arial"/>
                <w:color w:val="000000"/>
              </w:rPr>
              <w:t>10.00</w:t>
            </w:r>
          </w:p>
        </w:tc>
        <w:tc>
          <w:tcPr>
            <w:tcW w:w="1831" w:type="dxa"/>
            <w:tcBorders>
              <w:top w:val="nil"/>
              <w:left w:val="nil"/>
              <w:bottom w:val="single" w:sz="4" w:space="0" w:color="000000"/>
              <w:right w:val="single" w:sz="4" w:space="0" w:color="000000"/>
            </w:tcBorders>
            <w:vAlign w:val="center"/>
          </w:tcPr>
          <w:p w14:paraId="10E671F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   </w:t>
            </w:r>
          </w:p>
        </w:tc>
        <w:tc>
          <w:tcPr>
            <w:tcW w:w="1697" w:type="dxa"/>
            <w:tcBorders>
              <w:top w:val="nil"/>
              <w:left w:val="nil"/>
              <w:bottom w:val="nil"/>
              <w:right w:val="nil"/>
            </w:tcBorders>
            <w:vAlign w:val="bottom"/>
          </w:tcPr>
          <w:p w14:paraId="73AE6305" w14:textId="77777777" w:rsidR="0035611D" w:rsidRDefault="0035611D">
            <w:pPr>
              <w:spacing w:before="0" w:after="0" w:line="240" w:lineRule="auto"/>
              <w:jc w:val="center"/>
              <w:rPr>
                <w:rFonts w:ascii="Arial" w:eastAsia="Arial" w:hAnsi="Arial" w:cs="Arial"/>
                <w:color w:val="000000"/>
              </w:rPr>
            </w:pPr>
          </w:p>
        </w:tc>
      </w:tr>
      <w:tr w:rsidR="0035611D" w14:paraId="5B4DCA65" w14:textId="77777777">
        <w:trPr>
          <w:trHeight w:val="300"/>
          <w:jc w:val="center"/>
        </w:trPr>
        <w:tc>
          <w:tcPr>
            <w:tcW w:w="1403" w:type="dxa"/>
            <w:tcBorders>
              <w:top w:val="nil"/>
              <w:left w:val="single" w:sz="4" w:space="0" w:color="000000"/>
              <w:bottom w:val="single" w:sz="4" w:space="0" w:color="000000"/>
              <w:right w:val="single" w:sz="4" w:space="0" w:color="000000"/>
            </w:tcBorders>
            <w:vAlign w:val="center"/>
          </w:tcPr>
          <w:p w14:paraId="6AB43F5F"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2</w:t>
            </w:r>
          </w:p>
        </w:tc>
        <w:tc>
          <w:tcPr>
            <w:tcW w:w="2017" w:type="dxa"/>
            <w:tcBorders>
              <w:top w:val="nil"/>
              <w:left w:val="nil"/>
              <w:bottom w:val="single" w:sz="4" w:space="0" w:color="000000"/>
              <w:right w:val="single" w:sz="4" w:space="0" w:color="000000"/>
            </w:tcBorders>
            <w:vAlign w:val="center"/>
          </w:tcPr>
          <w:p w14:paraId="1FF0018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12.00 </w:t>
            </w:r>
          </w:p>
        </w:tc>
        <w:tc>
          <w:tcPr>
            <w:tcW w:w="2076" w:type="dxa"/>
            <w:tcBorders>
              <w:top w:val="nil"/>
              <w:left w:val="nil"/>
              <w:bottom w:val="single" w:sz="4" w:space="0" w:color="000000"/>
              <w:right w:val="single" w:sz="4" w:space="0" w:color="000000"/>
            </w:tcBorders>
            <w:vAlign w:val="center"/>
          </w:tcPr>
          <w:p w14:paraId="55771545" w14:textId="77777777" w:rsidR="0035611D" w:rsidRDefault="00A6742D">
            <w:pPr>
              <w:spacing w:before="0" w:after="0" w:line="240" w:lineRule="auto"/>
              <w:jc w:val="right"/>
              <w:rPr>
                <w:rFonts w:ascii="Arial" w:eastAsia="Arial" w:hAnsi="Arial" w:cs="Arial"/>
                <w:color w:val="000000"/>
              </w:rPr>
            </w:pPr>
            <w:r>
              <w:rPr>
                <w:rFonts w:ascii="Arial" w:eastAsia="Arial" w:hAnsi="Arial" w:cs="Arial"/>
                <w:color w:val="000000"/>
              </w:rPr>
              <w:t>10.00</w:t>
            </w:r>
          </w:p>
        </w:tc>
        <w:tc>
          <w:tcPr>
            <w:tcW w:w="1831" w:type="dxa"/>
            <w:tcBorders>
              <w:top w:val="nil"/>
              <w:left w:val="nil"/>
              <w:bottom w:val="single" w:sz="4" w:space="0" w:color="000000"/>
              <w:right w:val="single" w:sz="4" w:space="0" w:color="000000"/>
            </w:tcBorders>
            <w:vAlign w:val="center"/>
          </w:tcPr>
          <w:p w14:paraId="5477DC9F"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2.00 </w:t>
            </w:r>
          </w:p>
        </w:tc>
        <w:tc>
          <w:tcPr>
            <w:tcW w:w="1697" w:type="dxa"/>
            <w:tcBorders>
              <w:top w:val="nil"/>
              <w:left w:val="nil"/>
              <w:bottom w:val="nil"/>
              <w:right w:val="nil"/>
            </w:tcBorders>
            <w:vAlign w:val="bottom"/>
          </w:tcPr>
          <w:p w14:paraId="15579076" w14:textId="77777777" w:rsidR="0035611D" w:rsidRDefault="0035611D">
            <w:pPr>
              <w:spacing w:before="0" w:after="0" w:line="240" w:lineRule="auto"/>
              <w:jc w:val="center"/>
              <w:rPr>
                <w:rFonts w:ascii="Arial" w:eastAsia="Arial" w:hAnsi="Arial" w:cs="Arial"/>
                <w:color w:val="000000"/>
              </w:rPr>
            </w:pPr>
          </w:p>
        </w:tc>
      </w:tr>
      <w:tr w:rsidR="0035611D" w14:paraId="42544E50" w14:textId="77777777">
        <w:trPr>
          <w:trHeight w:val="300"/>
          <w:jc w:val="center"/>
        </w:trPr>
        <w:tc>
          <w:tcPr>
            <w:tcW w:w="1403" w:type="dxa"/>
            <w:tcBorders>
              <w:top w:val="nil"/>
              <w:left w:val="single" w:sz="4" w:space="0" w:color="000000"/>
              <w:bottom w:val="single" w:sz="4" w:space="0" w:color="000000"/>
              <w:right w:val="single" w:sz="4" w:space="0" w:color="000000"/>
            </w:tcBorders>
            <w:vAlign w:val="center"/>
          </w:tcPr>
          <w:p w14:paraId="525A6220"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3</w:t>
            </w:r>
          </w:p>
        </w:tc>
        <w:tc>
          <w:tcPr>
            <w:tcW w:w="2017" w:type="dxa"/>
            <w:tcBorders>
              <w:top w:val="nil"/>
              <w:left w:val="nil"/>
              <w:bottom w:val="single" w:sz="4" w:space="0" w:color="000000"/>
              <w:right w:val="single" w:sz="4" w:space="0" w:color="000000"/>
            </w:tcBorders>
            <w:vAlign w:val="center"/>
          </w:tcPr>
          <w:p w14:paraId="707352DE"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14.00 </w:t>
            </w:r>
          </w:p>
        </w:tc>
        <w:tc>
          <w:tcPr>
            <w:tcW w:w="2076" w:type="dxa"/>
            <w:tcBorders>
              <w:top w:val="nil"/>
              <w:left w:val="nil"/>
              <w:bottom w:val="single" w:sz="4" w:space="0" w:color="000000"/>
              <w:right w:val="single" w:sz="4" w:space="0" w:color="000000"/>
            </w:tcBorders>
            <w:vAlign w:val="center"/>
          </w:tcPr>
          <w:p w14:paraId="133F0869" w14:textId="77777777" w:rsidR="0035611D" w:rsidRDefault="00A6742D">
            <w:pPr>
              <w:spacing w:before="0" w:after="0" w:line="240" w:lineRule="auto"/>
              <w:jc w:val="right"/>
              <w:rPr>
                <w:rFonts w:ascii="Arial" w:eastAsia="Arial" w:hAnsi="Arial" w:cs="Arial"/>
                <w:color w:val="000000"/>
              </w:rPr>
            </w:pPr>
            <w:r>
              <w:rPr>
                <w:rFonts w:ascii="Arial" w:eastAsia="Arial" w:hAnsi="Arial" w:cs="Arial"/>
                <w:color w:val="000000"/>
              </w:rPr>
              <w:t>10.00</w:t>
            </w:r>
          </w:p>
        </w:tc>
        <w:tc>
          <w:tcPr>
            <w:tcW w:w="1831" w:type="dxa"/>
            <w:tcBorders>
              <w:top w:val="nil"/>
              <w:left w:val="nil"/>
              <w:bottom w:val="single" w:sz="4" w:space="0" w:color="000000"/>
              <w:right w:val="single" w:sz="4" w:space="0" w:color="000000"/>
            </w:tcBorders>
            <w:vAlign w:val="center"/>
          </w:tcPr>
          <w:p w14:paraId="74325E10"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4.00 </w:t>
            </w:r>
          </w:p>
        </w:tc>
        <w:tc>
          <w:tcPr>
            <w:tcW w:w="1697" w:type="dxa"/>
            <w:tcBorders>
              <w:top w:val="nil"/>
              <w:left w:val="nil"/>
              <w:bottom w:val="nil"/>
              <w:right w:val="nil"/>
            </w:tcBorders>
            <w:vAlign w:val="bottom"/>
          </w:tcPr>
          <w:p w14:paraId="4B4F7550" w14:textId="77777777" w:rsidR="0035611D" w:rsidRDefault="0035611D">
            <w:pPr>
              <w:spacing w:before="0" w:after="0" w:line="240" w:lineRule="auto"/>
              <w:jc w:val="center"/>
              <w:rPr>
                <w:rFonts w:ascii="Arial" w:eastAsia="Arial" w:hAnsi="Arial" w:cs="Arial"/>
                <w:color w:val="000000"/>
              </w:rPr>
            </w:pPr>
          </w:p>
        </w:tc>
      </w:tr>
      <w:tr w:rsidR="0035611D" w14:paraId="621E3A08" w14:textId="77777777">
        <w:trPr>
          <w:trHeight w:val="300"/>
          <w:jc w:val="center"/>
        </w:trPr>
        <w:tc>
          <w:tcPr>
            <w:tcW w:w="1403" w:type="dxa"/>
            <w:tcBorders>
              <w:top w:val="nil"/>
              <w:left w:val="single" w:sz="4" w:space="0" w:color="000000"/>
              <w:bottom w:val="single" w:sz="4" w:space="0" w:color="000000"/>
              <w:right w:val="single" w:sz="4" w:space="0" w:color="000000"/>
            </w:tcBorders>
            <w:vAlign w:val="center"/>
          </w:tcPr>
          <w:p w14:paraId="374D1B2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4</w:t>
            </w:r>
          </w:p>
        </w:tc>
        <w:tc>
          <w:tcPr>
            <w:tcW w:w="2017" w:type="dxa"/>
            <w:tcBorders>
              <w:top w:val="nil"/>
              <w:left w:val="nil"/>
              <w:bottom w:val="single" w:sz="4" w:space="0" w:color="000000"/>
              <w:right w:val="single" w:sz="4" w:space="0" w:color="000000"/>
            </w:tcBorders>
            <w:vAlign w:val="center"/>
          </w:tcPr>
          <w:p w14:paraId="24172A3E"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10.00 </w:t>
            </w:r>
          </w:p>
        </w:tc>
        <w:tc>
          <w:tcPr>
            <w:tcW w:w="2076" w:type="dxa"/>
            <w:tcBorders>
              <w:top w:val="nil"/>
              <w:left w:val="nil"/>
              <w:bottom w:val="single" w:sz="4" w:space="0" w:color="000000"/>
              <w:right w:val="single" w:sz="4" w:space="0" w:color="000000"/>
            </w:tcBorders>
            <w:vAlign w:val="center"/>
          </w:tcPr>
          <w:p w14:paraId="27BC5129" w14:textId="77777777" w:rsidR="0035611D" w:rsidRDefault="00A6742D">
            <w:pPr>
              <w:spacing w:before="0" w:after="0" w:line="240" w:lineRule="auto"/>
              <w:jc w:val="right"/>
              <w:rPr>
                <w:rFonts w:ascii="Arial" w:eastAsia="Arial" w:hAnsi="Arial" w:cs="Arial"/>
                <w:color w:val="000000"/>
              </w:rPr>
            </w:pPr>
            <w:r>
              <w:rPr>
                <w:rFonts w:ascii="Arial" w:eastAsia="Arial" w:hAnsi="Arial" w:cs="Arial"/>
                <w:color w:val="000000"/>
              </w:rPr>
              <w:t>10.00</w:t>
            </w:r>
          </w:p>
        </w:tc>
        <w:tc>
          <w:tcPr>
            <w:tcW w:w="1831" w:type="dxa"/>
            <w:tcBorders>
              <w:top w:val="nil"/>
              <w:left w:val="nil"/>
              <w:bottom w:val="single" w:sz="4" w:space="0" w:color="000000"/>
              <w:right w:val="single" w:sz="4" w:space="0" w:color="000000"/>
            </w:tcBorders>
            <w:vAlign w:val="center"/>
          </w:tcPr>
          <w:p w14:paraId="7E82540D"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   </w:t>
            </w:r>
          </w:p>
        </w:tc>
        <w:tc>
          <w:tcPr>
            <w:tcW w:w="1697" w:type="dxa"/>
            <w:tcBorders>
              <w:top w:val="nil"/>
              <w:left w:val="nil"/>
              <w:bottom w:val="nil"/>
              <w:right w:val="nil"/>
            </w:tcBorders>
            <w:vAlign w:val="bottom"/>
          </w:tcPr>
          <w:p w14:paraId="68DF85D5" w14:textId="77777777" w:rsidR="0035611D" w:rsidRDefault="0035611D">
            <w:pPr>
              <w:spacing w:before="0" w:after="0" w:line="240" w:lineRule="auto"/>
              <w:jc w:val="center"/>
              <w:rPr>
                <w:rFonts w:ascii="Arial" w:eastAsia="Arial" w:hAnsi="Arial" w:cs="Arial"/>
                <w:color w:val="000000"/>
              </w:rPr>
            </w:pPr>
          </w:p>
        </w:tc>
      </w:tr>
      <w:tr w:rsidR="0035611D" w14:paraId="2EA77D8C" w14:textId="77777777">
        <w:trPr>
          <w:trHeight w:val="300"/>
          <w:jc w:val="center"/>
        </w:trPr>
        <w:tc>
          <w:tcPr>
            <w:tcW w:w="1403" w:type="dxa"/>
            <w:tcBorders>
              <w:top w:val="nil"/>
              <w:left w:val="single" w:sz="4" w:space="0" w:color="000000"/>
              <w:bottom w:val="single" w:sz="4" w:space="0" w:color="000000"/>
              <w:right w:val="single" w:sz="4" w:space="0" w:color="000000"/>
            </w:tcBorders>
            <w:vAlign w:val="center"/>
          </w:tcPr>
          <w:p w14:paraId="3CA53633"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5</w:t>
            </w:r>
          </w:p>
        </w:tc>
        <w:tc>
          <w:tcPr>
            <w:tcW w:w="2017" w:type="dxa"/>
            <w:tcBorders>
              <w:top w:val="nil"/>
              <w:left w:val="nil"/>
              <w:bottom w:val="single" w:sz="4" w:space="0" w:color="000000"/>
              <w:right w:val="single" w:sz="4" w:space="0" w:color="000000"/>
            </w:tcBorders>
            <w:vAlign w:val="center"/>
          </w:tcPr>
          <w:p w14:paraId="291D0E9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8.00 </w:t>
            </w:r>
          </w:p>
        </w:tc>
        <w:tc>
          <w:tcPr>
            <w:tcW w:w="2076" w:type="dxa"/>
            <w:tcBorders>
              <w:top w:val="nil"/>
              <w:left w:val="nil"/>
              <w:bottom w:val="single" w:sz="4" w:space="0" w:color="000000"/>
              <w:right w:val="single" w:sz="4" w:space="0" w:color="000000"/>
            </w:tcBorders>
            <w:vAlign w:val="center"/>
          </w:tcPr>
          <w:p w14:paraId="5AC52B9D" w14:textId="77777777" w:rsidR="0035611D" w:rsidRDefault="00A6742D">
            <w:pPr>
              <w:spacing w:before="0" w:after="0" w:line="240" w:lineRule="auto"/>
              <w:jc w:val="right"/>
              <w:rPr>
                <w:rFonts w:ascii="Arial" w:eastAsia="Arial" w:hAnsi="Arial" w:cs="Arial"/>
                <w:color w:val="000000"/>
              </w:rPr>
            </w:pPr>
            <w:r>
              <w:rPr>
                <w:rFonts w:ascii="Arial" w:eastAsia="Arial" w:hAnsi="Arial" w:cs="Arial"/>
                <w:color w:val="000000"/>
              </w:rPr>
              <w:t>10.00</w:t>
            </w:r>
          </w:p>
        </w:tc>
        <w:tc>
          <w:tcPr>
            <w:tcW w:w="1831" w:type="dxa"/>
            <w:tcBorders>
              <w:top w:val="nil"/>
              <w:left w:val="nil"/>
              <w:bottom w:val="single" w:sz="4" w:space="0" w:color="000000"/>
              <w:right w:val="single" w:sz="4" w:space="0" w:color="000000"/>
            </w:tcBorders>
            <w:vAlign w:val="center"/>
          </w:tcPr>
          <w:p w14:paraId="59271CCC"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2.00 </w:t>
            </w:r>
          </w:p>
        </w:tc>
        <w:tc>
          <w:tcPr>
            <w:tcW w:w="1697" w:type="dxa"/>
            <w:tcBorders>
              <w:top w:val="nil"/>
              <w:left w:val="nil"/>
              <w:bottom w:val="nil"/>
              <w:right w:val="nil"/>
            </w:tcBorders>
            <w:vAlign w:val="bottom"/>
          </w:tcPr>
          <w:p w14:paraId="4C889420" w14:textId="77777777" w:rsidR="0035611D" w:rsidRDefault="0035611D">
            <w:pPr>
              <w:spacing w:before="0" w:after="0" w:line="240" w:lineRule="auto"/>
              <w:jc w:val="center"/>
              <w:rPr>
                <w:rFonts w:ascii="Arial" w:eastAsia="Arial" w:hAnsi="Arial" w:cs="Arial"/>
                <w:color w:val="000000"/>
              </w:rPr>
            </w:pPr>
          </w:p>
        </w:tc>
      </w:tr>
      <w:tr w:rsidR="0035611D" w14:paraId="1531C0BE" w14:textId="77777777">
        <w:trPr>
          <w:trHeight w:val="312"/>
          <w:jc w:val="center"/>
        </w:trPr>
        <w:tc>
          <w:tcPr>
            <w:tcW w:w="5496" w:type="dxa"/>
            <w:gridSpan w:val="3"/>
            <w:tcBorders>
              <w:top w:val="single" w:sz="4" w:space="0" w:color="000000"/>
              <w:left w:val="single" w:sz="4" w:space="0" w:color="000000"/>
              <w:bottom w:val="single" w:sz="4" w:space="0" w:color="000000"/>
              <w:right w:val="single" w:sz="4" w:space="0" w:color="000000"/>
            </w:tcBorders>
            <w:shd w:val="clear" w:color="auto" w:fill="00B0F0"/>
            <w:vAlign w:val="center"/>
          </w:tcPr>
          <w:p w14:paraId="6A88293E"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 xml:space="preserve">"Accounting Rate of Return (ARR) of Project A" </w:t>
            </w:r>
          </w:p>
        </w:tc>
        <w:tc>
          <w:tcPr>
            <w:tcW w:w="1831" w:type="dxa"/>
            <w:tcBorders>
              <w:top w:val="nil"/>
              <w:left w:val="nil"/>
              <w:bottom w:val="single" w:sz="4" w:space="0" w:color="000000"/>
              <w:right w:val="single" w:sz="4" w:space="0" w:color="000000"/>
            </w:tcBorders>
            <w:shd w:val="clear" w:color="auto" w:fill="00B0F0"/>
            <w:vAlign w:val="center"/>
          </w:tcPr>
          <w:p w14:paraId="04A31102"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1.60%</w:t>
            </w:r>
          </w:p>
        </w:tc>
        <w:tc>
          <w:tcPr>
            <w:tcW w:w="1697" w:type="dxa"/>
            <w:tcBorders>
              <w:top w:val="nil"/>
              <w:left w:val="nil"/>
              <w:bottom w:val="nil"/>
              <w:right w:val="nil"/>
            </w:tcBorders>
            <w:vAlign w:val="bottom"/>
          </w:tcPr>
          <w:p w14:paraId="7ED03943" w14:textId="77777777" w:rsidR="0035611D" w:rsidRDefault="0035611D">
            <w:pPr>
              <w:spacing w:before="0" w:after="0" w:line="240" w:lineRule="auto"/>
              <w:jc w:val="center"/>
              <w:rPr>
                <w:rFonts w:ascii="Arial" w:eastAsia="Arial" w:hAnsi="Arial" w:cs="Arial"/>
                <w:b/>
                <w:bCs/>
                <w:color w:val="000000"/>
              </w:rPr>
            </w:pPr>
          </w:p>
        </w:tc>
      </w:tr>
    </w:tbl>
    <w:p w14:paraId="30BC072D" w14:textId="77777777" w:rsidR="0035611D" w:rsidRDefault="00A6742D">
      <w:pPr>
        <w:spacing w:before="200" w:after="200"/>
        <w:jc w:val="center"/>
        <w:rPr>
          <w:rFonts w:ascii="Arial" w:eastAsia="Arial" w:hAnsi="Arial" w:cs="Arial"/>
        </w:rPr>
      </w:pPr>
      <w:r>
        <w:rPr>
          <w:rFonts w:ascii="Arial" w:eastAsia="Arial" w:hAnsi="Arial" w:cs="Arial"/>
        </w:rPr>
        <w:t>(Source: MS-Excel)</w:t>
      </w:r>
    </w:p>
    <w:p w14:paraId="386C0E22" w14:textId="77777777" w:rsidR="0035611D" w:rsidRDefault="00A6742D">
      <w:pPr>
        <w:pStyle w:val="Heading2"/>
      </w:pPr>
      <w:bookmarkStart w:id="65" w:name="_ab2hqkaptg7c" w:colFirst="0" w:colLast="0"/>
      <w:bookmarkEnd w:id="65"/>
      <w:r>
        <w:t>Appendix 9: Project B</w:t>
      </w:r>
    </w:p>
    <w:tbl>
      <w:tblPr>
        <w:tblStyle w:val="a0"/>
        <w:tblW w:w="9024" w:type="dxa"/>
        <w:jc w:val="center"/>
        <w:tblInd w:w="0" w:type="dxa"/>
        <w:tblLayout w:type="fixed"/>
        <w:tblLook w:val="0400" w:firstRow="0" w:lastRow="0" w:firstColumn="0" w:lastColumn="0" w:noHBand="0" w:noVBand="1"/>
      </w:tblPr>
      <w:tblGrid>
        <w:gridCol w:w="907"/>
        <w:gridCol w:w="1891"/>
        <w:gridCol w:w="1768"/>
        <w:gridCol w:w="2691"/>
        <w:gridCol w:w="1767"/>
      </w:tblGrid>
      <w:tr w:rsidR="0035611D" w14:paraId="79228C87" w14:textId="77777777">
        <w:trPr>
          <w:trHeight w:val="624"/>
          <w:jc w:val="center"/>
        </w:trPr>
        <w:tc>
          <w:tcPr>
            <w:tcW w:w="907" w:type="dxa"/>
            <w:tcBorders>
              <w:top w:val="single" w:sz="4" w:space="0" w:color="000000"/>
              <w:left w:val="single" w:sz="4" w:space="0" w:color="000000"/>
              <w:bottom w:val="single" w:sz="4" w:space="0" w:color="000000"/>
              <w:right w:val="single" w:sz="4" w:space="0" w:color="000000"/>
            </w:tcBorders>
            <w:shd w:val="clear" w:color="auto" w:fill="66FFFF"/>
            <w:vAlign w:val="center"/>
          </w:tcPr>
          <w:p w14:paraId="2466FE74"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"Year"</w:t>
            </w:r>
          </w:p>
        </w:tc>
        <w:tc>
          <w:tcPr>
            <w:tcW w:w="1891" w:type="dxa"/>
            <w:tcBorders>
              <w:top w:val="single" w:sz="4" w:space="0" w:color="000000"/>
              <w:left w:val="nil"/>
              <w:bottom w:val="single" w:sz="4" w:space="0" w:color="000000"/>
              <w:right w:val="single" w:sz="4" w:space="0" w:color="000000"/>
            </w:tcBorders>
            <w:shd w:val="clear" w:color="auto" w:fill="66FFFF"/>
            <w:vAlign w:val="center"/>
          </w:tcPr>
          <w:p w14:paraId="1E3C624A"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"Cash Flow"</w:t>
            </w:r>
          </w:p>
        </w:tc>
        <w:tc>
          <w:tcPr>
            <w:tcW w:w="1768" w:type="dxa"/>
            <w:tcBorders>
              <w:top w:val="single" w:sz="4" w:space="0" w:color="000000"/>
              <w:left w:val="nil"/>
              <w:bottom w:val="single" w:sz="4" w:space="0" w:color="000000"/>
              <w:right w:val="single" w:sz="4" w:space="0" w:color="000000"/>
            </w:tcBorders>
            <w:shd w:val="clear" w:color="auto" w:fill="66FFFF"/>
            <w:vAlign w:val="center"/>
          </w:tcPr>
          <w:p w14:paraId="0D936290"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"Discounting Factor @10%"</w:t>
            </w:r>
          </w:p>
        </w:tc>
        <w:tc>
          <w:tcPr>
            <w:tcW w:w="2691" w:type="dxa"/>
            <w:tcBorders>
              <w:top w:val="single" w:sz="4" w:space="0" w:color="000000"/>
              <w:left w:val="nil"/>
              <w:bottom w:val="single" w:sz="4" w:space="0" w:color="000000"/>
              <w:right w:val="single" w:sz="4" w:space="0" w:color="000000"/>
            </w:tcBorders>
            <w:shd w:val="clear" w:color="auto" w:fill="66FFFF"/>
            <w:vAlign w:val="center"/>
          </w:tcPr>
          <w:p w14:paraId="6A38F232"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"Present Value"</w:t>
            </w:r>
          </w:p>
        </w:tc>
        <w:tc>
          <w:tcPr>
            <w:tcW w:w="1767" w:type="dxa"/>
            <w:tcBorders>
              <w:top w:val="nil"/>
              <w:left w:val="nil"/>
              <w:bottom w:val="nil"/>
              <w:right w:val="nil"/>
            </w:tcBorders>
            <w:vAlign w:val="bottom"/>
          </w:tcPr>
          <w:p w14:paraId="25B057BC" w14:textId="77777777" w:rsidR="0035611D" w:rsidRDefault="0035611D">
            <w:pPr>
              <w:spacing w:before="0" w:after="0" w:line="240" w:lineRule="auto"/>
              <w:jc w:val="center"/>
              <w:rPr>
                <w:rFonts w:ascii="Arial" w:eastAsia="Arial" w:hAnsi="Arial" w:cs="Arial"/>
                <w:b/>
                <w:bCs/>
                <w:color w:val="000000"/>
              </w:rPr>
            </w:pPr>
          </w:p>
        </w:tc>
      </w:tr>
      <w:tr w:rsidR="0035611D" w14:paraId="0DA6A18F"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3D7610F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w:t>
            </w:r>
          </w:p>
        </w:tc>
        <w:tc>
          <w:tcPr>
            <w:tcW w:w="1891" w:type="dxa"/>
            <w:tcBorders>
              <w:top w:val="nil"/>
              <w:left w:val="nil"/>
              <w:bottom w:val="single" w:sz="4" w:space="0" w:color="000000"/>
              <w:right w:val="single" w:sz="4" w:space="0" w:color="000000"/>
            </w:tcBorders>
            <w:vAlign w:val="bottom"/>
          </w:tcPr>
          <w:p w14:paraId="7575287E"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1768" w:type="dxa"/>
            <w:tcBorders>
              <w:top w:val="nil"/>
              <w:left w:val="nil"/>
              <w:bottom w:val="single" w:sz="4" w:space="0" w:color="000000"/>
              <w:right w:val="single" w:sz="4" w:space="0" w:color="000000"/>
            </w:tcBorders>
            <w:vAlign w:val="bottom"/>
          </w:tcPr>
          <w:p w14:paraId="2A9F716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1.000</w:t>
            </w:r>
          </w:p>
        </w:tc>
        <w:tc>
          <w:tcPr>
            <w:tcW w:w="2691" w:type="dxa"/>
            <w:tcBorders>
              <w:top w:val="nil"/>
              <w:left w:val="nil"/>
              <w:bottom w:val="single" w:sz="4" w:space="0" w:color="000000"/>
              <w:right w:val="single" w:sz="4" w:space="0" w:color="000000"/>
            </w:tcBorders>
            <w:vAlign w:val="bottom"/>
          </w:tcPr>
          <w:p w14:paraId="41CE00B0"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1767" w:type="dxa"/>
            <w:tcBorders>
              <w:top w:val="nil"/>
              <w:left w:val="nil"/>
              <w:bottom w:val="nil"/>
              <w:right w:val="nil"/>
            </w:tcBorders>
            <w:vAlign w:val="bottom"/>
          </w:tcPr>
          <w:p w14:paraId="16FD4757" w14:textId="77777777" w:rsidR="0035611D" w:rsidRDefault="0035611D">
            <w:pPr>
              <w:spacing w:before="0" w:after="0" w:line="240" w:lineRule="auto"/>
              <w:jc w:val="center"/>
              <w:rPr>
                <w:rFonts w:ascii="Arial" w:eastAsia="Arial" w:hAnsi="Arial" w:cs="Arial"/>
                <w:color w:val="000000"/>
              </w:rPr>
            </w:pPr>
          </w:p>
        </w:tc>
      </w:tr>
      <w:tr w:rsidR="0035611D" w14:paraId="361F96D0"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4C90B35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w:t>
            </w:r>
          </w:p>
        </w:tc>
        <w:tc>
          <w:tcPr>
            <w:tcW w:w="1891" w:type="dxa"/>
            <w:tcBorders>
              <w:top w:val="nil"/>
              <w:left w:val="nil"/>
              <w:bottom w:val="single" w:sz="4" w:space="0" w:color="000000"/>
              <w:right w:val="single" w:sz="4" w:space="0" w:color="000000"/>
            </w:tcBorders>
            <w:vAlign w:val="bottom"/>
          </w:tcPr>
          <w:p w14:paraId="663C8930"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11.00 </w:t>
            </w:r>
          </w:p>
        </w:tc>
        <w:tc>
          <w:tcPr>
            <w:tcW w:w="1768" w:type="dxa"/>
            <w:tcBorders>
              <w:top w:val="nil"/>
              <w:left w:val="nil"/>
              <w:bottom w:val="single" w:sz="4" w:space="0" w:color="000000"/>
              <w:right w:val="single" w:sz="4" w:space="0" w:color="000000"/>
            </w:tcBorders>
            <w:vAlign w:val="bottom"/>
          </w:tcPr>
          <w:p w14:paraId="3B67D0F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0.909</w:t>
            </w:r>
          </w:p>
        </w:tc>
        <w:tc>
          <w:tcPr>
            <w:tcW w:w="2691" w:type="dxa"/>
            <w:tcBorders>
              <w:top w:val="nil"/>
              <w:left w:val="nil"/>
              <w:bottom w:val="single" w:sz="4" w:space="0" w:color="000000"/>
              <w:right w:val="single" w:sz="4" w:space="0" w:color="000000"/>
            </w:tcBorders>
            <w:vAlign w:val="bottom"/>
          </w:tcPr>
          <w:p w14:paraId="18C7E44E"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10.00 </w:t>
            </w:r>
          </w:p>
        </w:tc>
        <w:tc>
          <w:tcPr>
            <w:tcW w:w="1767" w:type="dxa"/>
            <w:tcBorders>
              <w:top w:val="nil"/>
              <w:left w:val="nil"/>
              <w:bottom w:val="nil"/>
              <w:right w:val="nil"/>
            </w:tcBorders>
            <w:vAlign w:val="bottom"/>
          </w:tcPr>
          <w:p w14:paraId="478E38A3" w14:textId="77777777" w:rsidR="0035611D" w:rsidRDefault="0035611D">
            <w:pPr>
              <w:spacing w:before="0" w:after="0" w:line="240" w:lineRule="auto"/>
              <w:jc w:val="center"/>
              <w:rPr>
                <w:rFonts w:ascii="Arial" w:eastAsia="Arial" w:hAnsi="Arial" w:cs="Arial"/>
                <w:color w:val="000000"/>
              </w:rPr>
            </w:pPr>
          </w:p>
        </w:tc>
      </w:tr>
      <w:tr w:rsidR="0035611D" w14:paraId="10CCAFD4"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74E97BFB"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2</w:t>
            </w:r>
          </w:p>
        </w:tc>
        <w:tc>
          <w:tcPr>
            <w:tcW w:w="1891" w:type="dxa"/>
            <w:tcBorders>
              <w:top w:val="nil"/>
              <w:left w:val="nil"/>
              <w:bottom w:val="single" w:sz="4" w:space="0" w:color="000000"/>
              <w:right w:val="single" w:sz="4" w:space="0" w:color="000000"/>
            </w:tcBorders>
            <w:vAlign w:val="bottom"/>
          </w:tcPr>
          <w:p w14:paraId="3C4644E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11.00 </w:t>
            </w:r>
          </w:p>
        </w:tc>
        <w:tc>
          <w:tcPr>
            <w:tcW w:w="1768" w:type="dxa"/>
            <w:tcBorders>
              <w:top w:val="nil"/>
              <w:left w:val="nil"/>
              <w:bottom w:val="single" w:sz="4" w:space="0" w:color="000000"/>
              <w:right w:val="single" w:sz="4" w:space="0" w:color="000000"/>
            </w:tcBorders>
            <w:vAlign w:val="bottom"/>
          </w:tcPr>
          <w:p w14:paraId="6ECDD0A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0.826</w:t>
            </w:r>
          </w:p>
        </w:tc>
        <w:tc>
          <w:tcPr>
            <w:tcW w:w="2691" w:type="dxa"/>
            <w:tcBorders>
              <w:top w:val="nil"/>
              <w:left w:val="nil"/>
              <w:bottom w:val="single" w:sz="4" w:space="0" w:color="000000"/>
              <w:right w:val="single" w:sz="4" w:space="0" w:color="000000"/>
            </w:tcBorders>
            <w:vAlign w:val="bottom"/>
          </w:tcPr>
          <w:p w14:paraId="68CA2068"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9.09 </w:t>
            </w:r>
          </w:p>
        </w:tc>
        <w:tc>
          <w:tcPr>
            <w:tcW w:w="1767" w:type="dxa"/>
            <w:tcBorders>
              <w:top w:val="nil"/>
              <w:left w:val="nil"/>
              <w:bottom w:val="nil"/>
              <w:right w:val="nil"/>
            </w:tcBorders>
            <w:vAlign w:val="bottom"/>
          </w:tcPr>
          <w:p w14:paraId="2D4A2726" w14:textId="77777777" w:rsidR="0035611D" w:rsidRDefault="0035611D">
            <w:pPr>
              <w:spacing w:before="0" w:after="0" w:line="240" w:lineRule="auto"/>
              <w:jc w:val="center"/>
              <w:rPr>
                <w:rFonts w:ascii="Arial" w:eastAsia="Arial" w:hAnsi="Arial" w:cs="Arial"/>
                <w:color w:val="000000"/>
              </w:rPr>
            </w:pPr>
          </w:p>
        </w:tc>
      </w:tr>
      <w:tr w:rsidR="0035611D" w14:paraId="31D60A32"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17821562"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3</w:t>
            </w:r>
          </w:p>
        </w:tc>
        <w:tc>
          <w:tcPr>
            <w:tcW w:w="1891" w:type="dxa"/>
            <w:tcBorders>
              <w:top w:val="nil"/>
              <w:left w:val="nil"/>
              <w:bottom w:val="single" w:sz="4" w:space="0" w:color="000000"/>
              <w:right w:val="single" w:sz="4" w:space="0" w:color="000000"/>
            </w:tcBorders>
            <w:vAlign w:val="bottom"/>
          </w:tcPr>
          <w:p w14:paraId="747B215F"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11.00 </w:t>
            </w:r>
          </w:p>
        </w:tc>
        <w:tc>
          <w:tcPr>
            <w:tcW w:w="1768" w:type="dxa"/>
            <w:tcBorders>
              <w:top w:val="nil"/>
              <w:left w:val="nil"/>
              <w:bottom w:val="single" w:sz="4" w:space="0" w:color="000000"/>
              <w:right w:val="single" w:sz="4" w:space="0" w:color="000000"/>
            </w:tcBorders>
            <w:vAlign w:val="bottom"/>
          </w:tcPr>
          <w:p w14:paraId="32BC325F"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0.751</w:t>
            </w:r>
          </w:p>
        </w:tc>
        <w:tc>
          <w:tcPr>
            <w:tcW w:w="2691" w:type="dxa"/>
            <w:tcBorders>
              <w:top w:val="nil"/>
              <w:left w:val="nil"/>
              <w:bottom w:val="single" w:sz="4" w:space="0" w:color="000000"/>
              <w:right w:val="single" w:sz="4" w:space="0" w:color="000000"/>
            </w:tcBorders>
            <w:vAlign w:val="bottom"/>
          </w:tcPr>
          <w:p w14:paraId="78E53FE6"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8.26 </w:t>
            </w:r>
          </w:p>
        </w:tc>
        <w:tc>
          <w:tcPr>
            <w:tcW w:w="1767" w:type="dxa"/>
            <w:tcBorders>
              <w:top w:val="nil"/>
              <w:left w:val="nil"/>
              <w:bottom w:val="nil"/>
              <w:right w:val="nil"/>
            </w:tcBorders>
            <w:vAlign w:val="bottom"/>
          </w:tcPr>
          <w:p w14:paraId="0DD14F26" w14:textId="77777777" w:rsidR="0035611D" w:rsidRDefault="0035611D">
            <w:pPr>
              <w:spacing w:before="0" w:after="0" w:line="240" w:lineRule="auto"/>
              <w:jc w:val="center"/>
              <w:rPr>
                <w:rFonts w:ascii="Arial" w:eastAsia="Arial" w:hAnsi="Arial" w:cs="Arial"/>
                <w:color w:val="000000"/>
              </w:rPr>
            </w:pPr>
          </w:p>
        </w:tc>
      </w:tr>
      <w:tr w:rsidR="0035611D" w14:paraId="1AED1A72"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7B51EC23"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4</w:t>
            </w:r>
          </w:p>
        </w:tc>
        <w:tc>
          <w:tcPr>
            <w:tcW w:w="1891" w:type="dxa"/>
            <w:tcBorders>
              <w:top w:val="nil"/>
              <w:left w:val="nil"/>
              <w:bottom w:val="single" w:sz="4" w:space="0" w:color="000000"/>
              <w:right w:val="single" w:sz="4" w:space="0" w:color="000000"/>
            </w:tcBorders>
            <w:vAlign w:val="bottom"/>
          </w:tcPr>
          <w:p w14:paraId="10DD01F7"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11.00 </w:t>
            </w:r>
          </w:p>
        </w:tc>
        <w:tc>
          <w:tcPr>
            <w:tcW w:w="1768" w:type="dxa"/>
            <w:tcBorders>
              <w:top w:val="nil"/>
              <w:left w:val="nil"/>
              <w:bottom w:val="single" w:sz="4" w:space="0" w:color="000000"/>
              <w:right w:val="single" w:sz="4" w:space="0" w:color="000000"/>
            </w:tcBorders>
            <w:vAlign w:val="bottom"/>
          </w:tcPr>
          <w:p w14:paraId="09A10EF7"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0.683</w:t>
            </w:r>
          </w:p>
        </w:tc>
        <w:tc>
          <w:tcPr>
            <w:tcW w:w="2691" w:type="dxa"/>
            <w:tcBorders>
              <w:top w:val="nil"/>
              <w:left w:val="nil"/>
              <w:bottom w:val="single" w:sz="4" w:space="0" w:color="000000"/>
              <w:right w:val="single" w:sz="4" w:space="0" w:color="000000"/>
            </w:tcBorders>
            <w:vAlign w:val="bottom"/>
          </w:tcPr>
          <w:p w14:paraId="02C7CFFC"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7.51 </w:t>
            </w:r>
          </w:p>
        </w:tc>
        <w:tc>
          <w:tcPr>
            <w:tcW w:w="1767" w:type="dxa"/>
            <w:tcBorders>
              <w:top w:val="nil"/>
              <w:left w:val="nil"/>
              <w:bottom w:val="nil"/>
              <w:right w:val="nil"/>
            </w:tcBorders>
            <w:vAlign w:val="bottom"/>
          </w:tcPr>
          <w:p w14:paraId="46829724" w14:textId="77777777" w:rsidR="0035611D" w:rsidRDefault="0035611D">
            <w:pPr>
              <w:spacing w:before="0" w:after="0" w:line="240" w:lineRule="auto"/>
              <w:jc w:val="center"/>
              <w:rPr>
                <w:rFonts w:ascii="Arial" w:eastAsia="Arial" w:hAnsi="Arial" w:cs="Arial"/>
                <w:color w:val="000000"/>
              </w:rPr>
            </w:pPr>
          </w:p>
        </w:tc>
      </w:tr>
      <w:tr w:rsidR="0035611D" w14:paraId="5D53FD8D"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151C542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5</w:t>
            </w:r>
          </w:p>
        </w:tc>
        <w:tc>
          <w:tcPr>
            <w:tcW w:w="1891" w:type="dxa"/>
            <w:tcBorders>
              <w:top w:val="nil"/>
              <w:left w:val="nil"/>
              <w:bottom w:val="single" w:sz="4" w:space="0" w:color="000000"/>
              <w:right w:val="single" w:sz="4" w:space="0" w:color="000000"/>
            </w:tcBorders>
            <w:vAlign w:val="bottom"/>
          </w:tcPr>
          <w:p w14:paraId="7AD4C2EA"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11.00 </w:t>
            </w:r>
          </w:p>
        </w:tc>
        <w:tc>
          <w:tcPr>
            <w:tcW w:w="1768" w:type="dxa"/>
            <w:tcBorders>
              <w:top w:val="nil"/>
              <w:left w:val="nil"/>
              <w:bottom w:val="single" w:sz="4" w:space="0" w:color="000000"/>
              <w:right w:val="single" w:sz="4" w:space="0" w:color="000000"/>
            </w:tcBorders>
            <w:vAlign w:val="bottom"/>
          </w:tcPr>
          <w:p w14:paraId="4F46830B"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0.621</w:t>
            </w:r>
          </w:p>
        </w:tc>
        <w:tc>
          <w:tcPr>
            <w:tcW w:w="2691" w:type="dxa"/>
            <w:tcBorders>
              <w:top w:val="nil"/>
              <w:left w:val="nil"/>
              <w:bottom w:val="single" w:sz="4" w:space="0" w:color="000000"/>
              <w:right w:val="single" w:sz="4" w:space="0" w:color="000000"/>
            </w:tcBorders>
            <w:vAlign w:val="bottom"/>
          </w:tcPr>
          <w:p w14:paraId="5F1E1662"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6.83 </w:t>
            </w:r>
          </w:p>
        </w:tc>
        <w:tc>
          <w:tcPr>
            <w:tcW w:w="1767" w:type="dxa"/>
            <w:tcBorders>
              <w:top w:val="nil"/>
              <w:left w:val="nil"/>
              <w:bottom w:val="nil"/>
              <w:right w:val="nil"/>
            </w:tcBorders>
            <w:vAlign w:val="bottom"/>
          </w:tcPr>
          <w:p w14:paraId="204DA231" w14:textId="77777777" w:rsidR="0035611D" w:rsidRDefault="0035611D">
            <w:pPr>
              <w:spacing w:before="0" w:after="0" w:line="240" w:lineRule="auto"/>
              <w:jc w:val="center"/>
              <w:rPr>
                <w:rFonts w:ascii="Arial" w:eastAsia="Arial" w:hAnsi="Arial" w:cs="Arial"/>
                <w:color w:val="000000"/>
              </w:rPr>
            </w:pPr>
          </w:p>
        </w:tc>
      </w:tr>
      <w:tr w:rsidR="0035611D" w14:paraId="6B058216" w14:textId="77777777">
        <w:trPr>
          <w:trHeight w:val="312"/>
          <w:jc w:val="center"/>
        </w:trPr>
        <w:tc>
          <w:tcPr>
            <w:tcW w:w="4566" w:type="dxa"/>
            <w:gridSpan w:val="3"/>
            <w:vMerge w:val="restart"/>
            <w:tcBorders>
              <w:top w:val="single" w:sz="4" w:space="0" w:color="000000"/>
              <w:left w:val="single" w:sz="4" w:space="0" w:color="000000"/>
              <w:bottom w:val="nil"/>
              <w:right w:val="single" w:sz="4" w:space="0" w:color="000000"/>
            </w:tcBorders>
            <w:shd w:val="clear" w:color="auto" w:fill="66FFFF"/>
            <w:vAlign w:val="center"/>
          </w:tcPr>
          <w:p w14:paraId="7A32FC8F"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"Net Present Value (NPV) of Project B"</w:t>
            </w:r>
          </w:p>
        </w:tc>
        <w:tc>
          <w:tcPr>
            <w:tcW w:w="2691" w:type="dxa"/>
            <w:vMerge w:val="restart"/>
            <w:tcBorders>
              <w:top w:val="nil"/>
              <w:left w:val="single" w:sz="4" w:space="0" w:color="000000"/>
              <w:bottom w:val="nil"/>
              <w:right w:val="single" w:sz="4" w:space="0" w:color="000000"/>
            </w:tcBorders>
            <w:shd w:val="clear" w:color="auto" w:fill="66FFFF"/>
            <w:vAlign w:val="center"/>
          </w:tcPr>
          <w:p w14:paraId="11100133"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 xml:space="preserve">-£                              8.30 </w:t>
            </w:r>
          </w:p>
        </w:tc>
        <w:tc>
          <w:tcPr>
            <w:tcW w:w="1767" w:type="dxa"/>
            <w:tcBorders>
              <w:top w:val="nil"/>
              <w:left w:val="nil"/>
              <w:bottom w:val="nil"/>
              <w:right w:val="nil"/>
            </w:tcBorders>
            <w:vAlign w:val="bottom"/>
          </w:tcPr>
          <w:p w14:paraId="2E0AAFC2" w14:textId="77777777" w:rsidR="0035611D" w:rsidRDefault="0035611D">
            <w:pPr>
              <w:spacing w:before="0" w:after="0" w:line="240" w:lineRule="auto"/>
              <w:jc w:val="center"/>
              <w:rPr>
                <w:rFonts w:ascii="Arial" w:eastAsia="Arial" w:hAnsi="Arial" w:cs="Arial"/>
                <w:b/>
                <w:bCs/>
                <w:color w:val="000000"/>
              </w:rPr>
            </w:pPr>
          </w:p>
        </w:tc>
      </w:tr>
      <w:tr w:rsidR="0035611D" w14:paraId="4430615F" w14:textId="77777777">
        <w:trPr>
          <w:trHeight w:val="312"/>
          <w:jc w:val="center"/>
        </w:trPr>
        <w:tc>
          <w:tcPr>
            <w:tcW w:w="4566" w:type="dxa"/>
            <w:gridSpan w:val="3"/>
            <w:vMerge/>
            <w:tcBorders>
              <w:top w:val="single" w:sz="4" w:space="0" w:color="000000"/>
              <w:left w:val="single" w:sz="4" w:space="0" w:color="000000"/>
              <w:bottom w:val="nil"/>
              <w:right w:val="single" w:sz="4" w:space="0" w:color="000000"/>
            </w:tcBorders>
            <w:shd w:val="clear" w:color="auto" w:fill="66FFFF"/>
            <w:vAlign w:val="center"/>
          </w:tcPr>
          <w:p w14:paraId="4D5C7350" w14:textId="77777777" w:rsidR="0035611D" w:rsidRDefault="0035611D">
            <w:pPr>
              <w:widowControl w:val="0"/>
              <w:pBdr>
                <w:top w:val="nil"/>
                <w:left w:val="nil"/>
                <w:bottom w:val="nil"/>
                <w:right w:val="nil"/>
                <w:between w:val="nil"/>
              </w:pBdr>
              <w:spacing w:before="0" w:after="0" w:line="276" w:lineRule="auto"/>
              <w:jc w:val="left"/>
              <w:rPr>
                <w:rFonts w:ascii="Arial" w:eastAsia="Arial" w:hAnsi="Arial" w:cs="Arial"/>
                <w:b/>
                <w:bCs/>
                <w:color w:val="000000"/>
              </w:rPr>
            </w:pPr>
          </w:p>
        </w:tc>
        <w:tc>
          <w:tcPr>
            <w:tcW w:w="2691" w:type="dxa"/>
            <w:vMerge/>
            <w:tcBorders>
              <w:top w:val="nil"/>
              <w:left w:val="single" w:sz="4" w:space="0" w:color="000000"/>
              <w:bottom w:val="nil"/>
              <w:right w:val="single" w:sz="4" w:space="0" w:color="000000"/>
            </w:tcBorders>
            <w:shd w:val="clear" w:color="auto" w:fill="66FFFF"/>
            <w:vAlign w:val="center"/>
          </w:tcPr>
          <w:p w14:paraId="6EC09E80" w14:textId="77777777" w:rsidR="0035611D" w:rsidRDefault="0035611D">
            <w:pPr>
              <w:widowControl w:val="0"/>
              <w:pBdr>
                <w:top w:val="nil"/>
                <w:left w:val="nil"/>
                <w:bottom w:val="nil"/>
                <w:right w:val="nil"/>
                <w:between w:val="nil"/>
              </w:pBdr>
              <w:spacing w:before="0" w:after="0" w:line="276" w:lineRule="auto"/>
              <w:jc w:val="left"/>
              <w:rPr>
                <w:rFonts w:ascii="Arial" w:eastAsia="Arial" w:hAnsi="Arial" w:cs="Arial"/>
                <w:b/>
                <w:bCs/>
                <w:color w:val="000000"/>
              </w:rPr>
            </w:pPr>
          </w:p>
        </w:tc>
        <w:tc>
          <w:tcPr>
            <w:tcW w:w="1767" w:type="dxa"/>
            <w:tcBorders>
              <w:top w:val="nil"/>
              <w:left w:val="nil"/>
              <w:bottom w:val="nil"/>
              <w:right w:val="nil"/>
            </w:tcBorders>
            <w:vAlign w:val="bottom"/>
          </w:tcPr>
          <w:p w14:paraId="6E8D778D" w14:textId="77777777" w:rsidR="0035611D" w:rsidRDefault="0035611D">
            <w:pPr>
              <w:spacing w:before="0" w:after="0" w:line="240" w:lineRule="auto"/>
              <w:jc w:val="left"/>
              <w:rPr>
                <w:sz w:val="20"/>
                <w:szCs w:val="20"/>
              </w:rPr>
            </w:pPr>
          </w:p>
        </w:tc>
      </w:tr>
      <w:tr w:rsidR="0035611D" w14:paraId="75E3753D" w14:textId="77777777">
        <w:trPr>
          <w:trHeight w:val="312"/>
          <w:jc w:val="center"/>
        </w:trPr>
        <w:tc>
          <w:tcPr>
            <w:tcW w:w="4566" w:type="dxa"/>
            <w:gridSpan w:val="3"/>
            <w:tcBorders>
              <w:top w:val="single" w:sz="4" w:space="0" w:color="000000"/>
              <w:left w:val="single" w:sz="4" w:space="0" w:color="000000"/>
              <w:bottom w:val="single" w:sz="4" w:space="0" w:color="000000"/>
              <w:right w:val="single" w:sz="4" w:space="0" w:color="000000"/>
            </w:tcBorders>
            <w:shd w:val="clear" w:color="auto" w:fill="66FFFF"/>
            <w:vAlign w:val="bottom"/>
          </w:tcPr>
          <w:p w14:paraId="0F144AD0"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"Profitability Index (PI) of Project B"</w:t>
            </w:r>
          </w:p>
        </w:tc>
        <w:tc>
          <w:tcPr>
            <w:tcW w:w="2691" w:type="dxa"/>
            <w:tcBorders>
              <w:top w:val="single" w:sz="4" w:space="0" w:color="000000"/>
              <w:left w:val="nil"/>
              <w:bottom w:val="single" w:sz="4" w:space="0" w:color="000000"/>
              <w:right w:val="single" w:sz="4" w:space="0" w:color="000000"/>
            </w:tcBorders>
            <w:shd w:val="clear" w:color="auto" w:fill="66FFFF"/>
            <w:vAlign w:val="bottom"/>
          </w:tcPr>
          <w:p w14:paraId="1886C41D" w14:textId="77777777" w:rsidR="0035611D" w:rsidRDefault="00A6742D">
            <w:pPr>
              <w:spacing w:before="0" w:after="0" w:line="240" w:lineRule="auto"/>
              <w:jc w:val="right"/>
              <w:rPr>
                <w:rFonts w:ascii="Arial" w:eastAsia="Arial" w:hAnsi="Arial" w:cs="Arial"/>
                <w:b/>
                <w:bCs/>
                <w:color w:val="000000"/>
              </w:rPr>
            </w:pPr>
            <w:r>
              <w:rPr>
                <w:rFonts w:ascii="Arial" w:eastAsia="Arial" w:hAnsi="Arial" w:cs="Arial"/>
                <w:b/>
                <w:bCs/>
                <w:color w:val="000000"/>
              </w:rPr>
              <w:t>1.17</w:t>
            </w:r>
          </w:p>
        </w:tc>
        <w:tc>
          <w:tcPr>
            <w:tcW w:w="1767" w:type="dxa"/>
            <w:tcBorders>
              <w:top w:val="nil"/>
              <w:left w:val="nil"/>
              <w:bottom w:val="nil"/>
              <w:right w:val="nil"/>
            </w:tcBorders>
            <w:vAlign w:val="bottom"/>
          </w:tcPr>
          <w:p w14:paraId="051E4902" w14:textId="77777777" w:rsidR="0035611D" w:rsidRDefault="0035611D">
            <w:pPr>
              <w:spacing w:before="0" w:after="0" w:line="240" w:lineRule="auto"/>
              <w:jc w:val="right"/>
              <w:rPr>
                <w:rFonts w:ascii="Arial" w:eastAsia="Arial" w:hAnsi="Arial" w:cs="Arial"/>
                <w:b/>
                <w:bCs/>
                <w:color w:val="000000"/>
              </w:rPr>
            </w:pPr>
          </w:p>
        </w:tc>
      </w:tr>
      <w:tr w:rsidR="0035611D" w14:paraId="4DA640CB" w14:textId="77777777">
        <w:trPr>
          <w:trHeight w:val="312"/>
          <w:jc w:val="center"/>
        </w:trPr>
        <w:tc>
          <w:tcPr>
            <w:tcW w:w="907" w:type="dxa"/>
            <w:tcBorders>
              <w:top w:val="nil"/>
              <w:left w:val="nil"/>
              <w:bottom w:val="nil"/>
              <w:right w:val="nil"/>
            </w:tcBorders>
            <w:vAlign w:val="bottom"/>
          </w:tcPr>
          <w:p w14:paraId="3215A91C" w14:textId="77777777" w:rsidR="0035611D" w:rsidRDefault="0035611D">
            <w:pPr>
              <w:spacing w:before="0" w:after="0" w:line="240" w:lineRule="auto"/>
              <w:jc w:val="left"/>
              <w:rPr>
                <w:sz w:val="20"/>
                <w:szCs w:val="20"/>
              </w:rPr>
            </w:pPr>
          </w:p>
        </w:tc>
        <w:tc>
          <w:tcPr>
            <w:tcW w:w="1891" w:type="dxa"/>
            <w:tcBorders>
              <w:top w:val="nil"/>
              <w:left w:val="nil"/>
              <w:bottom w:val="nil"/>
              <w:right w:val="nil"/>
            </w:tcBorders>
            <w:vAlign w:val="bottom"/>
          </w:tcPr>
          <w:p w14:paraId="04056C12" w14:textId="77777777" w:rsidR="0035611D" w:rsidRDefault="0035611D">
            <w:pPr>
              <w:spacing w:before="0" w:after="0" w:line="240" w:lineRule="auto"/>
              <w:jc w:val="left"/>
              <w:rPr>
                <w:sz w:val="20"/>
                <w:szCs w:val="20"/>
              </w:rPr>
            </w:pPr>
          </w:p>
        </w:tc>
        <w:tc>
          <w:tcPr>
            <w:tcW w:w="1768" w:type="dxa"/>
            <w:tcBorders>
              <w:top w:val="nil"/>
              <w:left w:val="nil"/>
              <w:bottom w:val="nil"/>
              <w:right w:val="nil"/>
            </w:tcBorders>
            <w:vAlign w:val="bottom"/>
          </w:tcPr>
          <w:p w14:paraId="5F0F9A4C" w14:textId="77777777" w:rsidR="0035611D" w:rsidRDefault="0035611D">
            <w:pPr>
              <w:spacing w:before="0" w:after="0" w:line="240" w:lineRule="auto"/>
              <w:jc w:val="left"/>
              <w:rPr>
                <w:sz w:val="20"/>
                <w:szCs w:val="20"/>
              </w:rPr>
            </w:pPr>
          </w:p>
        </w:tc>
        <w:tc>
          <w:tcPr>
            <w:tcW w:w="2691" w:type="dxa"/>
            <w:tcBorders>
              <w:top w:val="nil"/>
              <w:left w:val="nil"/>
              <w:bottom w:val="nil"/>
              <w:right w:val="nil"/>
            </w:tcBorders>
            <w:vAlign w:val="bottom"/>
          </w:tcPr>
          <w:p w14:paraId="749F3271" w14:textId="77777777" w:rsidR="0035611D" w:rsidRDefault="0035611D">
            <w:pPr>
              <w:spacing w:before="0" w:after="0" w:line="240" w:lineRule="auto"/>
              <w:jc w:val="left"/>
              <w:rPr>
                <w:sz w:val="20"/>
                <w:szCs w:val="20"/>
              </w:rPr>
            </w:pPr>
          </w:p>
        </w:tc>
        <w:tc>
          <w:tcPr>
            <w:tcW w:w="1767" w:type="dxa"/>
            <w:tcBorders>
              <w:top w:val="nil"/>
              <w:left w:val="nil"/>
              <w:bottom w:val="nil"/>
              <w:right w:val="nil"/>
            </w:tcBorders>
            <w:vAlign w:val="bottom"/>
          </w:tcPr>
          <w:p w14:paraId="1A5F1B47" w14:textId="77777777" w:rsidR="0035611D" w:rsidRDefault="0035611D">
            <w:pPr>
              <w:spacing w:before="0" w:after="0" w:line="240" w:lineRule="auto"/>
              <w:jc w:val="left"/>
              <w:rPr>
                <w:sz w:val="20"/>
                <w:szCs w:val="20"/>
              </w:rPr>
            </w:pPr>
          </w:p>
        </w:tc>
      </w:tr>
      <w:tr w:rsidR="0035611D" w14:paraId="53FBDBF0" w14:textId="77777777">
        <w:trPr>
          <w:trHeight w:val="624"/>
          <w:jc w:val="center"/>
        </w:trPr>
        <w:tc>
          <w:tcPr>
            <w:tcW w:w="907" w:type="dxa"/>
            <w:tcBorders>
              <w:top w:val="single" w:sz="4" w:space="0" w:color="000000"/>
              <w:left w:val="single" w:sz="4" w:space="0" w:color="000000"/>
              <w:bottom w:val="single" w:sz="4" w:space="0" w:color="000000"/>
              <w:right w:val="single" w:sz="4" w:space="0" w:color="000000"/>
            </w:tcBorders>
            <w:shd w:val="clear" w:color="auto" w:fill="66FFFF"/>
            <w:vAlign w:val="center"/>
          </w:tcPr>
          <w:p w14:paraId="7E1088F4"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"Year"</w:t>
            </w:r>
          </w:p>
        </w:tc>
        <w:tc>
          <w:tcPr>
            <w:tcW w:w="1891" w:type="dxa"/>
            <w:tcBorders>
              <w:top w:val="single" w:sz="4" w:space="0" w:color="000000"/>
              <w:left w:val="nil"/>
              <w:bottom w:val="single" w:sz="4" w:space="0" w:color="000000"/>
              <w:right w:val="single" w:sz="4" w:space="0" w:color="000000"/>
            </w:tcBorders>
            <w:shd w:val="clear" w:color="auto" w:fill="66FFFF"/>
            <w:vAlign w:val="center"/>
          </w:tcPr>
          <w:p w14:paraId="5B62F758"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"Cash Flow"</w:t>
            </w:r>
          </w:p>
        </w:tc>
        <w:tc>
          <w:tcPr>
            <w:tcW w:w="1768" w:type="dxa"/>
            <w:tcBorders>
              <w:top w:val="single" w:sz="4" w:space="0" w:color="000000"/>
              <w:left w:val="nil"/>
              <w:bottom w:val="single" w:sz="4" w:space="0" w:color="000000"/>
              <w:right w:val="single" w:sz="4" w:space="0" w:color="000000"/>
            </w:tcBorders>
            <w:shd w:val="clear" w:color="auto" w:fill="66FFFF"/>
            <w:vAlign w:val="center"/>
          </w:tcPr>
          <w:p w14:paraId="7EB7CACC"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"Discounting Factor @10%"</w:t>
            </w:r>
          </w:p>
        </w:tc>
        <w:tc>
          <w:tcPr>
            <w:tcW w:w="2691" w:type="dxa"/>
            <w:tcBorders>
              <w:top w:val="single" w:sz="4" w:space="0" w:color="000000"/>
              <w:left w:val="nil"/>
              <w:bottom w:val="single" w:sz="4" w:space="0" w:color="000000"/>
              <w:right w:val="single" w:sz="4" w:space="0" w:color="000000"/>
            </w:tcBorders>
            <w:shd w:val="clear" w:color="auto" w:fill="66FFFF"/>
            <w:vAlign w:val="center"/>
          </w:tcPr>
          <w:p w14:paraId="6BEC0086"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"Present Value"</w:t>
            </w:r>
          </w:p>
        </w:tc>
        <w:tc>
          <w:tcPr>
            <w:tcW w:w="1767" w:type="dxa"/>
            <w:tcBorders>
              <w:top w:val="single" w:sz="4" w:space="0" w:color="000000"/>
              <w:left w:val="nil"/>
              <w:bottom w:val="single" w:sz="4" w:space="0" w:color="000000"/>
              <w:right w:val="single" w:sz="4" w:space="0" w:color="000000"/>
            </w:tcBorders>
            <w:shd w:val="clear" w:color="auto" w:fill="66FFFF"/>
            <w:vAlign w:val="center"/>
          </w:tcPr>
          <w:p w14:paraId="57DCFDA7" w14:textId="77777777" w:rsidR="0035611D" w:rsidRDefault="00A6742D">
            <w:pPr>
              <w:spacing w:before="0" w:after="0" w:line="240" w:lineRule="auto"/>
              <w:jc w:val="left"/>
              <w:rPr>
                <w:rFonts w:ascii="Arial" w:eastAsia="Arial" w:hAnsi="Arial" w:cs="Arial"/>
                <w:b/>
                <w:bCs/>
                <w:color w:val="000000"/>
              </w:rPr>
            </w:pPr>
            <w:r>
              <w:rPr>
                <w:rFonts w:ascii="Arial" w:eastAsia="Arial" w:hAnsi="Arial" w:cs="Arial"/>
                <w:b/>
                <w:bCs/>
                <w:color w:val="000000"/>
              </w:rPr>
              <w:t>Cumulative</w:t>
            </w:r>
          </w:p>
        </w:tc>
      </w:tr>
      <w:tr w:rsidR="0035611D" w14:paraId="21C06113"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00317217"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w:t>
            </w:r>
          </w:p>
        </w:tc>
        <w:tc>
          <w:tcPr>
            <w:tcW w:w="1891" w:type="dxa"/>
            <w:tcBorders>
              <w:top w:val="nil"/>
              <w:left w:val="nil"/>
              <w:bottom w:val="single" w:sz="4" w:space="0" w:color="000000"/>
              <w:right w:val="single" w:sz="4" w:space="0" w:color="000000"/>
            </w:tcBorders>
            <w:vAlign w:val="bottom"/>
          </w:tcPr>
          <w:p w14:paraId="03F27F0D"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1768" w:type="dxa"/>
            <w:tcBorders>
              <w:top w:val="nil"/>
              <w:left w:val="nil"/>
              <w:bottom w:val="single" w:sz="4" w:space="0" w:color="000000"/>
              <w:right w:val="single" w:sz="4" w:space="0" w:color="000000"/>
            </w:tcBorders>
            <w:vAlign w:val="bottom"/>
          </w:tcPr>
          <w:p w14:paraId="0900CD06"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1.000</w:t>
            </w:r>
          </w:p>
        </w:tc>
        <w:tc>
          <w:tcPr>
            <w:tcW w:w="2691" w:type="dxa"/>
            <w:tcBorders>
              <w:top w:val="nil"/>
              <w:left w:val="nil"/>
              <w:bottom w:val="single" w:sz="4" w:space="0" w:color="000000"/>
              <w:right w:val="single" w:sz="4" w:space="0" w:color="000000"/>
            </w:tcBorders>
            <w:vAlign w:val="bottom"/>
          </w:tcPr>
          <w:p w14:paraId="7EC622F9"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1767" w:type="dxa"/>
            <w:tcBorders>
              <w:top w:val="nil"/>
              <w:left w:val="nil"/>
              <w:bottom w:val="single" w:sz="4" w:space="0" w:color="000000"/>
              <w:right w:val="single" w:sz="4" w:space="0" w:color="000000"/>
            </w:tcBorders>
            <w:vAlign w:val="bottom"/>
          </w:tcPr>
          <w:p w14:paraId="1238A28B" w14:textId="77777777" w:rsidR="0035611D" w:rsidRDefault="00A6742D">
            <w:pPr>
              <w:spacing w:before="0" w:after="0" w:line="240" w:lineRule="auto"/>
              <w:jc w:val="left"/>
              <w:rPr>
                <w:rFonts w:ascii="Arial" w:eastAsia="Arial" w:hAnsi="Arial" w:cs="Arial"/>
                <w:color w:val="000000"/>
              </w:rPr>
            </w:pPr>
            <w:r>
              <w:rPr>
                <w:rFonts w:ascii="Arial" w:eastAsia="Arial" w:hAnsi="Arial" w:cs="Arial"/>
                <w:color w:val="000000"/>
              </w:rPr>
              <w:t xml:space="preserve">-£             50.00 </w:t>
            </w:r>
          </w:p>
        </w:tc>
      </w:tr>
      <w:tr w:rsidR="0035611D" w14:paraId="57E737E9"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6C58E0AE"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w:t>
            </w:r>
          </w:p>
        </w:tc>
        <w:tc>
          <w:tcPr>
            <w:tcW w:w="1891" w:type="dxa"/>
            <w:tcBorders>
              <w:top w:val="nil"/>
              <w:left w:val="nil"/>
              <w:bottom w:val="single" w:sz="4" w:space="0" w:color="000000"/>
              <w:right w:val="single" w:sz="4" w:space="0" w:color="000000"/>
            </w:tcBorders>
            <w:vAlign w:val="bottom"/>
          </w:tcPr>
          <w:p w14:paraId="28B057B1"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11.00 </w:t>
            </w:r>
          </w:p>
        </w:tc>
        <w:tc>
          <w:tcPr>
            <w:tcW w:w="1768" w:type="dxa"/>
            <w:tcBorders>
              <w:top w:val="nil"/>
              <w:left w:val="nil"/>
              <w:bottom w:val="single" w:sz="4" w:space="0" w:color="000000"/>
              <w:right w:val="single" w:sz="4" w:space="0" w:color="000000"/>
            </w:tcBorders>
            <w:vAlign w:val="bottom"/>
          </w:tcPr>
          <w:p w14:paraId="1020EB1C"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0.909</w:t>
            </w:r>
          </w:p>
        </w:tc>
        <w:tc>
          <w:tcPr>
            <w:tcW w:w="2691" w:type="dxa"/>
            <w:tcBorders>
              <w:top w:val="nil"/>
              <w:left w:val="nil"/>
              <w:bottom w:val="single" w:sz="4" w:space="0" w:color="000000"/>
              <w:right w:val="single" w:sz="4" w:space="0" w:color="000000"/>
            </w:tcBorders>
            <w:vAlign w:val="bottom"/>
          </w:tcPr>
          <w:p w14:paraId="59E8416D"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10.00 </w:t>
            </w:r>
          </w:p>
        </w:tc>
        <w:tc>
          <w:tcPr>
            <w:tcW w:w="1767" w:type="dxa"/>
            <w:tcBorders>
              <w:top w:val="nil"/>
              <w:left w:val="nil"/>
              <w:bottom w:val="single" w:sz="4" w:space="0" w:color="000000"/>
              <w:right w:val="single" w:sz="4" w:space="0" w:color="000000"/>
            </w:tcBorders>
            <w:vAlign w:val="bottom"/>
          </w:tcPr>
          <w:p w14:paraId="3E22CB8A" w14:textId="77777777" w:rsidR="0035611D" w:rsidRDefault="00A6742D">
            <w:pPr>
              <w:spacing w:before="0" w:after="0" w:line="240" w:lineRule="auto"/>
              <w:jc w:val="left"/>
              <w:rPr>
                <w:rFonts w:ascii="Arial" w:eastAsia="Arial" w:hAnsi="Arial" w:cs="Arial"/>
                <w:color w:val="000000"/>
              </w:rPr>
            </w:pPr>
            <w:r>
              <w:rPr>
                <w:rFonts w:ascii="Arial" w:eastAsia="Arial" w:hAnsi="Arial" w:cs="Arial"/>
                <w:color w:val="000000"/>
              </w:rPr>
              <w:t xml:space="preserve">-£             40.00 </w:t>
            </w:r>
          </w:p>
        </w:tc>
      </w:tr>
      <w:tr w:rsidR="0035611D" w14:paraId="53256797"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5C58CA1F"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2</w:t>
            </w:r>
          </w:p>
        </w:tc>
        <w:tc>
          <w:tcPr>
            <w:tcW w:w="1891" w:type="dxa"/>
            <w:tcBorders>
              <w:top w:val="nil"/>
              <w:left w:val="nil"/>
              <w:bottom w:val="single" w:sz="4" w:space="0" w:color="000000"/>
              <w:right w:val="single" w:sz="4" w:space="0" w:color="000000"/>
            </w:tcBorders>
            <w:vAlign w:val="bottom"/>
          </w:tcPr>
          <w:p w14:paraId="554EF75A"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11.00 </w:t>
            </w:r>
          </w:p>
        </w:tc>
        <w:tc>
          <w:tcPr>
            <w:tcW w:w="1768" w:type="dxa"/>
            <w:tcBorders>
              <w:top w:val="nil"/>
              <w:left w:val="nil"/>
              <w:bottom w:val="single" w:sz="4" w:space="0" w:color="000000"/>
              <w:right w:val="single" w:sz="4" w:space="0" w:color="000000"/>
            </w:tcBorders>
            <w:vAlign w:val="bottom"/>
          </w:tcPr>
          <w:p w14:paraId="51742DB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0.826</w:t>
            </w:r>
          </w:p>
        </w:tc>
        <w:tc>
          <w:tcPr>
            <w:tcW w:w="2691" w:type="dxa"/>
            <w:tcBorders>
              <w:top w:val="nil"/>
              <w:left w:val="nil"/>
              <w:bottom w:val="single" w:sz="4" w:space="0" w:color="000000"/>
              <w:right w:val="single" w:sz="4" w:space="0" w:color="000000"/>
            </w:tcBorders>
            <w:vAlign w:val="bottom"/>
          </w:tcPr>
          <w:p w14:paraId="710A55D0"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9.09 </w:t>
            </w:r>
          </w:p>
        </w:tc>
        <w:tc>
          <w:tcPr>
            <w:tcW w:w="1767" w:type="dxa"/>
            <w:tcBorders>
              <w:top w:val="nil"/>
              <w:left w:val="nil"/>
              <w:bottom w:val="single" w:sz="4" w:space="0" w:color="000000"/>
              <w:right w:val="single" w:sz="4" w:space="0" w:color="000000"/>
            </w:tcBorders>
            <w:vAlign w:val="bottom"/>
          </w:tcPr>
          <w:p w14:paraId="348AFD55" w14:textId="77777777" w:rsidR="0035611D" w:rsidRDefault="00A6742D">
            <w:pPr>
              <w:spacing w:before="0" w:after="0" w:line="240" w:lineRule="auto"/>
              <w:jc w:val="left"/>
              <w:rPr>
                <w:rFonts w:ascii="Arial" w:eastAsia="Arial" w:hAnsi="Arial" w:cs="Arial"/>
                <w:color w:val="000000"/>
              </w:rPr>
            </w:pPr>
            <w:r>
              <w:rPr>
                <w:rFonts w:ascii="Arial" w:eastAsia="Arial" w:hAnsi="Arial" w:cs="Arial"/>
                <w:color w:val="000000"/>
              </w:rPr>
              <w:t xml:space="preserve">-£             30.91 </w:t>
            </w:r>
          </w:p>
        </w:tc>
      </w:tr>
      <w:tr w:rsidR="0035611D" w14:paraId="6CC05DDD"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5D03F128"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3</w:t>
            </w:r>
          </w:p>
        </w:tc>
        <w:tc>
          <w:tcPr>
            <w:tcW w:w="1891" w:type="dxa"/>
            <w:tcBorders>
              <w:top w:val="nil"/>
              <w:left w:val="nil"/>
              <w:bottom w:val="single" w:sz="4" w:space="0" w:color="000000"/>
              <w:right w:val="single" w:sz="4" w:space="0" w:color="000000"/>
            </w:tcBorders>
            <w:vAlign w:val="bottom"/>
          </w:tcPr>
          <w:p w14:paraId="7B477B8C"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11.00 </w:t>
            </w:r>
          </w:p>
        </w:tc>
        <w:tc>
          <w:tcPr>
            <w:tcW w:w="1768" w:type="dxa"/>
            <w:tcBorders>
              <w:top w:val="nil"/>
              <w:left w:val="nil"/>
              <w:bottom w:val="single" w:sz="4" w:space="0" w:color="000000"/>
              <w:right w:val="single" w:sz="4" w:space="0" w:color="000000"/>
            </w:tcBorders>
            <w:vAlign w:val="bottom"/>
          </w:tcPr>
          <w:p w14:paraId="005B98E8"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0.751</w:t>
            </w:r>
          </w:p>
        </w:tc>
        <w:tc>
          <w:tcPr>
            <w:tcW w:w="2691" w:type="dxa"/>
            <w:tcBorders>
              <w:top w:val="nil"/>
              <w:left w:val="nil"/>
              <w:bottom w:val="single" w:sz="4" w:space="0" w:color="000000"/>
              <w:right w:val="single" w:sz="4" w:space="0" w:color="000000"/>
            </w:tcBorders>
            <w:vAlign w:val="bottom"/>
          </w:tcPr>
          <w:p w14:paraId="5505B719"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8.26 </w:t>
            </w:r>
          </w:p>
        </w:tc>
        <w:tc>
          <w:tcPr>
            <w:tcW w:w="1767" w:type="dxa"/>
            <w:tcBorders>
              <w:top w:val="nil"/>
              <w:left w:val="nil"/>
              <w:bottom w:val="single" w:sz="4" w:space="0" w:color="000000"/>
              <w:right w:val="single" w:sz="4" w:space="0" w:color="000000"/>
            </w:tcBorders>
            <w:vAlign w:val="bottom"/>
          </w:tcPr>
          <w:p w14:paraId="574E2A7A" w14:textId="77777777" w:rsidR="0035611D" w:rsidRDefault="00A6742D">
            <w:pPr>
              <w:spacing w:before="0" w:after="0" w:line="240" w:lineRule="auto"/>
              <w:jc w:val="left"/>
              <w:rPr>
                <w:rFonts w:ascii="Arial" w:eastAsia="Arial" w:hAnsi="Arial" w:cs="Arial"/>
                <w:color w:val="000000"/>
              </w:rPr>
            </w:pPr>
            <w:r>
              <w:rPr>
                <w:rFonts w:ascii="Arial" w:eastAsia="Arial" w:hAnsi="Arial" w:cs="Arial"/>
                <w:color w:val="000000"/>
              </w:rPr>
              <w:t xml:space="preserve">-£             22.64 </w:t>
            </w:r>
          </w:p>
        </w:tc>
      </w:tr>
      <w:tr w:rsidR="0035611D" w14:paraId="6E7C1346"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2ADDD56E"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4</w:t>
            </w:r>
          </w:p>
        </w:tc>
        <w:tc>
          <w:tcPr>
            <w:tcW w:w="1891" w:type="dxa"/>
            <w:tcBorders>
              <w:top w:val="nil"/>
              <w:left w:val="nil"/>
              <w:bottom w:val="single" w:sz="4" w:space="0" w:color="000000"/>
              <w:right w:val="single" w:sz="4" w:space="0" w:color="000000"/>
            </w:tcBorders>
            <w:vAlign w:val="bottom"/>
          </w:tcPr>
          <w:p w14:paraId="1B51B741"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11.00 </w:t>
            </w:r>
          </w:p>
        </w:tc>
        <w:tc>
          <w:tcPr>
            <w:tcW w:w="1768" w:type="dxa"/>
            <w:tcBorders>
              <w:top w:val="nil"/>
              <w:left w:val="nil"/>
              <w:bottom w:val="single" w:sz="4" w:space="0" w:color="000000"/>
              <w:right w:val="single" w:sz="4" w:space="0" w:color="000000"/>
            </w:tcBorders>
            <w:vAlign w:val="bottom"/>
          </w:tcPr>
          <w:p w14:paraId="28EFE75F"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0.683</w:t>
            </w:r>
          </w:p>
        </w:tc>
        <w:tc>
          <w:tcPr>
            <w:tcW w:w="2691" w:type="dxa"/>
            <w:tcBorders>
              <w:top w:val="nil"/>
              <w:left w:val="nil"/>
              <w:bottom w:val="single" w:sz="4" w:space="0" w:color="000000"/>
              <w:right w:val="single" w:sz="4" w:space="0" w:color="000000"/>
            </w:tcBorders>
            <w:vAlign w:val="bottom"/>
          </w:tcPr>
          <w:p w14:paraId="168BE82D"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7.51 </w:t>
            </w:r>
          </w:p>
        </w:tc>
        <w:tc>
          <w:tcPr>
            <w:tcW w:w="1767" w:type="dxa"/>
            <w:tcBorders>
              <w:top w:val="nil"/>
              <w:left w:val="nil"/>
              <w:bottom w:val="single" w:sz="4" w:space="0" w:color="000000"/>
              <w:right w:val="single" w:sz="4" w:space="0" w:color="000000"/>
            </w:tcBorders>
            <w:vAlign w:val="bottom"/>
          </w:tcPr>
          <w:p w14:paraId="1056D6D3" w14:textId="77777777" w:rsidR="0035611D" w:rsidRDefault="00A6742D">
            <w:pPr>
              <w:spacing w:before="0" w:after="0" w:line="240" w:lineRule="auto"/>
              <w:jc w:val="left"/>
              <w:rPr>
                <w:rFonts w:ascii="Arial" w:eastAsia="Arial" w:hAnsi="Arial" w:cs="Arial"/>
                <w:color w:val="000000"/>
              </w:rPr>
            </w:pPr>
            <w:r>
              <w:rPr>
                <w:rFonts w:ascii="Arial" w:eastAsia="Arial" w:hAnsi="Arial" w:cs="Arial"/>
                <w:color w:val="000000"/>
              </w:rPr>
              <w:t xml:space="preserve">-£             15.13 </w:t>
            </w:r>
          </w:p>
        </w:tc>
      </w:tr>
      <w:tr w:rsidR="0035611D" w14:paraId="2197F1F5"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28FC4E3B"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5</w:t>
            </w:r>
          </w:p>
        </w:tc>
        <w:tc>
          <w:tcPr>
            <w:tcW w:w="1891" w:type="dxa"/>
            <w:tcBorders>
              <w:top w:val="nil"/>
              <w:left w:val="nil"/>
              <w:bottom w:val="single" w:sz="4" w:space="0" w:color="000000"/>
              <w:right w:val="single" w:sz="4" w:space="0" w:color="000000"/>
            </w:tcBorders>
            <w:vAlign w:val="bottom"/>
          </w:tcPr>
          <w:p w14:paraId="7251F330"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11.00 </w:t>
            </w:r>
          </w:p>
        </w:tc>
        <w:tc>
          <w:tcPr>
            <w:tcW w:w="1768" w:type="dxa"/>
            <w:tcBorders>
              <w:top w:val="nil"/>
              <w:left w:val="nil"/>
              <w:bottom w:val="single" w:sz="4" w:space="0" w:color="000000"/>
              <w:right w:val="single" w:sz="4" w:space="0" w:color="000000"/>
            </w:tcBorders>
            <w:vAlign w:val="bottom"/>
          </w:tcPr>
          <w:p w14:paraId="4CEB7CC3"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0.621</w:t>
            </w:r>
          </w:p>
        </w:tc>
        <w:tc>
          <w:tcPr>
            <w:tcW w:w="2691" w:type="dxa"/>
            <w:tcBorders>
              <w:top w:val="nil"/>
              <w:left w:val="nil"/>
              <w:bottom w:val="single" w:sz="4" w:space="0" w:color="000000"/>
              <w:right w:val="single" w:sz="4" w:space="0" w:color="000000"/>
            </w:tcBorders>
            <w:vAlign w:val="bottom"/>
          </w:tcPr>
          <w:p w14:paraId="011E162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6.83 </w:t>
            </w:r>
          </w:p>
        </w:tc>
        <w:tc>
          <w:tcPr>
            <w:tcW w:w="1767" w:type="dxa"/>
            <w:tcBorders>
              <w:top w:val="nil"/>
              <w:left w:val="nil"/>
              <w:bottom w:val="single" w:sz="4" w:space="0" w:color="000000"/>
              <w:right w:val="single" w:sz="4" w:space="0" w:color="000000"/>
            </w:tcBorders>
            <w:vAlign w:val="bottom"/>
          </w:tcPr>
          <w:p w14:paraId="7A44199F" w14:textId="77777777" w:rsidR="0035611D" w:rsidRDefault="00A6742D">
            <w:pPr>
              <w:spacing w:before="0" w:after="0" w:line="240" w:lineRule="auto"/>
              <w:jc w:val="left"/>
              <w:rPr>
                <w:rFonts w:ascii="Arial" w:eastAsia="Arial" w:hAnsi="Arial" w:cs="Arial"/>
                <w:color w:val="000000"/>
              </w:rPr>
            </w:pPr>
            <w:r>
              <w:rPr>
                <w:rFonts w:ascii="Arial" w:eastAsia="Arial" w:hAnsi="Arial" w:cs="Arial"/>
                <w:color w:val="000000"/>
              </w:rPr>
              <w:t xml:space="preserve">-£               8.30 </w:t>
            </w:r>
          </w:p>
        </w:tc>
      </w:tr>
      <w:tr w:rsidR="0035611D" w14:paraId="3795A207" w14:textId="77777777">
        <w:trPr>
          <w:trHeight w:val="312"/>
          <w:jc w:val="center"/>
        </w:trPr>
        <w:tc>
          <w:tcPr>
            <w:tcW w:w="7257" w:type="dxa"/>
            <w:gridSpan w:val="4"/>
            <w:tcBorders>
              <w:top w:val="single" w:sz="4" w:space="0" w:color="000000"/>
              <w:left w:val="single" w:sz="4" w:space="0" w:color="000000"/>
              <w:bottom w:val="single" w:sz="4" w:space="0" w:color="000000"/>
              <w:right w:val="single" w:sz="4" w:space="0" w:color="000000"/>
            </w:tcBorders>
            <w:shd w:val="clear" w:color="auto" w:fill="66FFFF"/>
            <w:vAlign w:val="center"/>
          </w:tcPr>
          <w:p w14:paraId="5D2A1959"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"Payback Period (PBP) of Project B"</w:t>
            </w:r>
          </w:p>
        </w:tc>
        <w:tc>
          <w:tcPr>
            <w:tcW w:w="1767" w:type="dxa"/>
            <w:tcBorders>
              <w:top w:val="nil"/>
              <w:left w:val="nil"/>
              <w:bottom w:val="single" w:sz="4" w:space="0" w:color="000000"/>
              <w:right w:val="single" w:sz="4" w:space="0" w:color="000000"/>
            </w:tcBorders>
            <w:shd w:val="clear" w:color="auto" w:fill="66FFFF"/>
            <w:vAlign w:val="center"/>
          </w:tcPr>
          <w:p w14:paraId="331B40E7"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Not Recovered</w:t>
            </w:r>
          </w:p>
        </w:tc>
      </w:tr>
      <w:tr w:rsidR="0035611D" w14:paraId="31327FF1" w14:textId="77777777">
        <w:trPr>
          <w:trHeight w:val="312"/>
          <w:jc w:val="center"/>
        </w:trPr>
        <w:tc>
          <w:tcPr>
            <w:tcW w:w="907" w:type="dxa"/>
            <w:tcBorders>
              <w:top w:val="nil"/>
              <w:left w:val="nil"/>
              <w:bottom w:val="nil"/>
              <w:right w:val="nil"/>
            </w:tcBorders>
            <w:vAlign w:val="bottom"/>
          </w:tcPr>
          <w:p w14:paraId="0275C4A8" w14:textId="77777777" w:rsidR="0035611D" w:rsidRDefault="0035611D">
            <w:pPr>
              <w:spacing w:before="0" w:after="0" w:line="240" w:lineRule="auto"/>
              <w:jc w:val="center"/>
              <w:rPr>
                <w:rFonts w:ascii="Arial" w:eastAsia="Arial" w:hAnsi="Arial" w:cs="Arial"/>
                <w:b/>
                <w:bCs/>
                <w:color w:val="000000"/>
              </w:rPr>
            </w:pPr>
          </w:p>
        </w:tc>
        <w:tc>
          <w:tcPr>
            <w:tcW w:w="1891" w:type="dxa"/>
            <w:tcBorders>
              <w:top w:val="nil"/>
              <w:left w:val="nil"/>
              <w:bottom w:val="nil"/>
              <w:right w:val="nil"/>
            </w:tcBorders>
            <w:vAlign w:val="bottom"/>
          </w:tcPr>
          <w:p w14:paraId="7B0619E6" w14:textId="77777777" w:rsidR="0035611D" w:rsidRDefault="0035611D">
            <w:pPr>
              <w:spacing w:before="0" w:after="0" w:line="240" w:lineRule="auto"/>
              <w:jc w:val="left"/>
              <w:rPr>
                <w:sz w:val="20"/>
                <w:szCs w:val="20"/>
              </w:rPr>
            </w:pPr>
          </w:p>
        </w:tc>
        <w:tc>
          <w:tcPr>
            <w:tcW w:w="1768" w:type="dxa"/>
            <w:tcBorders>
              <w:top w:val="nil"/>
              <w:left w:val="nil"/>
              <w:bottom w:val="nil"/>
              <w:right w:val="nil"/>
            </w:tcBorders>
            <w:vAlign w:val="bottom"/>
          </w:tcPr>
          <w:p w14:paraId="341C8797" w14:textId="77777777" w:rsidR="0035611D" w:rsidRDefault="0035611D">
            <w:pPr>
              <w:spacing w:before="0" w:after="0" w:line="240" w:lineRule="auto"/>
              <w:jc w:val="left"/>
              <w:rPr>
                <w:sz w:val="20"/>
                <w:szCs w:val="20"/>
              </w:rPr>
            </w:pPr>
          </w:p>
        </w:tc>
        <w:tc>
          <w:tcPr>
            <w:tcW w:w="2691" w:type="dxa"/>
            <w:tcBorders>
              <w:top w:val="nil"/>
              <w:left w:val="nil"/>
              <w:bottom w:val="nil"/>
              <w:right w:val="nil"/>
            </w:tcBorders>
            <w:vAlign w:val="bottom"/>
          </w:tcPr>
          <w:p w14:paraId="458A8000" w14:textId="77777777" w:rsidR="0035611D" w:rsidRDefault="0035611D">
            <w:pPr>
              <w:spacing w:before="0" w:after="0" w:line="240" w:lineRule="auto"/>
              <w:jc w:val="left"/>
              <w:rPr>
                <w:sz w:val="20"/>
                <w:szCs w:val="20"/>
              </w:rPr>
            </w:pPr>
          </w:p>
        </w:tc>
        <w:tc>
          <w:tcPr>
            <w:tcW w:w="1767" w:type="dxa"/>
            <w:tcBorders>
              <w:top w:val="nil"/>
              <w:left w:val="nil"/>
              <w:bottom w:val="nil"/>
              <w:right w:val="nil"/>
            </w:tcBorders>
            <w:vAlign w:val="bottom"/>
          </w:tcPr>
          <w:p w14:paraId="6D5D592A" w14:textId="77777777" w:rsidR="0035611D" w:rsidRDefault="0035611D">
            <w:pPr>
              <w:spacing w:before="0" w:after="0" w:line="240" w:lineRule="auto"/>
              <w:jc w:val="left"/>
              <w:rPr>
                <w:sz w:val="20"/>
                <w:szCs w:val="20"/>
              </w:rPr>
            </w:pPr>
          </w:p>
        </w:tc>
      </w:tr>
      <w:tr w:rsidR="0035611D" w14:paraId="20AB13A5" w14:textId="77777777">
        <w:trPr>
          <w:trHeight w:val="624"/>
          <w:jc w:val="center"/>
        </w:trPr>
        <w:tc>
          <w:tcPr>
            <w:tcW w:w="907" w:type="dxa"/>
            <w:tcBorders>
              <w:top w:val="single" w:sz="4" w:space="0" w:color="000000"/>
              <w:left w:val="single" w:sz="4" w:space="0" w:color="000000"/>
              <w:bottom w:val="single" w:sz="4" w:space="0" w:color="000000"/>
              <w:right w:val="single" w:sz="4" w:space="0" w:color="000000"/>
            </w:tcBorders>
            <w:shd w:val="clear" w:color="auto" w:fill="66FFFF"/>
            <w:vAlign w:val="center"/>
          </w:tcPr>
          <w:p w14:paraId="796318BD"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Year</w:t>
            </w:r>
          </w:p>
        </w:tc>
        <w:tc>
          <w:tcPr>
            <w:tcW w:w="1891" w:type="dxa"/>
            <w:tcBorders>
              <w:top w:val="single" w:sz="4" w:space="0" w:color="000000"/>
              <w:left w:val="nil"/>
              <w:bottom w:val="single" w:sz="4" w:space="0" w:color="000000"/>
              <w:right w:val="single" w:sz="4" w:space="0" w:color="000000"/>
            </w:tcBorders>
            <w:shd w:val="clear" w:color="auto" w:fill="66FFFF"/>
            <w:vAlign w:val="center"/>
          </w:tcPr>
          <w:p w14:paraId="69B902D8"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Cashflow</w:t>
            </w:r>
          </w:p>
        </w:tc>
        <w:tc>
          <w:tcPr>
            <w:tcW w:w="1768" w:type="dxa"/>
            <w:tcBorders>
              <w:top w:val="single" w:sz="4" w:space="0" w:color="000000"/>
              <w:left w:val="nil"/>
              <w:bottom w:val="single" w:sz="4" w:space="0" w:color="000000"/>
              <w:right w:val="single" w:sz="4" w:space="0" w:color="000000"/>
            </w:tcBorders>
            <w:shd w:val="clear" w:color="auto" w:fill="66FFFF"/>
            <w:vAlign w:val="center"/>
          </w:tcPr>
          <w:p w14:paraId="79AEFFCB"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"Discounting Factor @10%"</w:t>
            </w:r>
          </w:p>
        </w:tc>
        <w:tc>
          <w:tcPr>
            <w:tcW w:w="2691" w:type="dxa"/>
            <w:tcBorders>
              <w:top w:val="single" w:sz="4" w:space="0" w:color="000000"/>
              <w:left w:val="nil"/>
              <w:bottom w:val="single" w:sz="4" w:space="0" w:color="000000"/>
              <w:right w:val="single" w:sz="4" w:space="0" w:color="000000"/>
            </w:tcBorders>
            <w:shd w:val="clear" w:color="auto" w:fill="66FFFF"/>
            <w:vAlign w:val="center"/>
          </w:tcPr>
          <w:p w14:paraId="4997FB18"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Present value</w:t>
            </w:r>
          </w:p>
        </w:tc>
        <w:tc>
          <w:tcPr>
            <w:tcW w:w="1767" w:type="dxa"/>
            <w:tcBorders>
              <w:top w:val="nil"/>
              <w:left w:val="nil"/>
              <w:bottom w:val="nil"/>
              <w:right w:val="nil"/>
            </w:tcBorders>
            <w:vAlign w:val="bottom"/>
          </w:tcPr>
          <w:p w14:paraId="66889438" w14:textId="77777777" w:rsidR="0035611D" w:rsidRDefault="0035611D">
            <w:pPr>
              <w:spacing w:before="0" w:after="0" w:line="240" w:lineRule="auto"/>
              <w:jc w:val="center"/>
              <w:rPr>
                <w:rFonts w:ascii="Arial" w:eastAsia="Arial" w:hAnsi="Arial" w:cs="Arial"/>
                <w:b/>
                <w:bCs/>
                <w:color w:val="000000"/>
              </w:rPr>
            </w:pPr>
          </w:p>
        </w:tc>
      </w:tr>
      <w:tr w:rsidR="0035611D" w14:paraId="6A9A52D2"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5E1D589D"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w:t>
            </w:r>
          </w:p>
        </w:tc>
        <w:tc>
          <w:tcPr>
            <w:tcW w:w="1891" w:type="dxa"/>
            <w:tcBorders>
              <w:top w:val="nil"/>
              <w:left w:val="nil"/>
              <w:bottom w:val="single" w:sz="4" w:space="0" w:color="000000"/>
              <w:right w:val="single" w:sz="4" w:space="0" w:color="000000"/>
            </w:tcBorders>
            <w:vAlign w:val="bottom"/>
          </w:tcPr>
          <w:p w14:paraId="26DD574D"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1768" w:type="dxa"/>
            <w:tcBorders>
              <w:top w:val="nil"/>
              <w:left w:val="nil"/>
              <w:bottom w:val="single" w:sz="4" w:space="0" w:color="000000"/>
              <w:right w:val="single" w:sz="4" w:space="0" w:color="000000"/>
            </w:tcBorders>
            <w:vAlign w:val="bottom"/>
          </w:tcPr>
          <w:p w14:paraId="146AFDC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1.000</w:t>
            </w:r>
          </w:p>
        </w:tc>
        <w:tc>
          <w:tcPr>
            <w:tcW w:w="2691" w:type="dxa"/>
            <w:tcBorders>
              <w:top w:val="nil"/>
              <w:left w:val="nil"/>
              <w:bottom w:val="single" w:sz="4" w:space="0" w:color="000000"/>
              <w:right w:val="single" w:sz="4" w:space="0" w:color="000000"/>
            </w:tcBorders>
            <w:vAlign w:val="bottom"/>
          </w:tcPr>
          <w:p w14:paraId="6796050B"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1767" w:type="dxa"/>
            <w:tcBorders>
              <w:top w:val="nil"/>
              <w:left w:val="nil"/>
              <w:bottom w:val="nil"/>
              <w:right w:val="nil"/>
            </w:tcBorders>
            <w:vAlign w:val="bottom"/>
          </w:tcPr>
          <w:p w14:paraId="014C63B9" w14:textId="77777777" w:rsidR="0035611D" w:rsidRDefault="0035611D">
            <w:pPr>
              <w:spacing w:before="0" w:after="0" w:line="240" w:lineRule="auto"/>
              <w:jc w:val="center"/>
              <w:rPr>
                <w:rFonts w:ascii="Arial" w:eastAsia="Arial" w:hAnsi="Arial" w:cs="Arial"/>
                <w:color w:val="000000"/>
              </w:rPr>
            </w:pPr>
          </w:p>
        </w:tc>
      </w:tr>
      <w:tr w:rsidR="0035611D" w14:paraId="0CB3E00C"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3D683F59"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w:t>
            </w:r>
          </w:p>
        </w:tc>
        <w:tc>
          <w:tcPr>
            <w:tcW w:w="1891" w:type="dxa"/>
            <w:tcBorders>
              <w:top w:val="nil"/>
              <w:left w:val="nil"/>
              <w:bottom w:val="single" w:sz="4" w:space="0" w:color="000000"/>
              <w:right w:val="single" w:sz="4" w:space="0" w:color="000000"/>
            </w:tcBorders>
            <w:vAlign w:val="bottom"/>
          </w:tcPr>
          <w:p w14:paraId="6352FE57"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11.00 </w:t>
            </w:r>
          </w:p>
        </w:tc>
        <w:tc>
          <w:tcPr>
            <w:tcW w:w="1768" w:type="dxa"/>
            <w:tcBorders>
              <w:top w:val="nil"/>
              <w:left w:val="nil"/>
              <w:bottom w:val="single" w:sz="4" w:space="0" w:color="000000"/>
              <w:right w:val="single" w:sz="4" w:space="0" w:color="000000"/>
            </w:tcBorders>
            <w:vAlign w:val="bottom"/>
          </w:tcPr>
          <w:p w14:paraId="01F4349D"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0.909</w:t>
            </w:r>
          </w:p>
        </w:tc>
        <w:tc>
          <w:tcPr>
            <w:tcW w:w="2691" w:type="dxa"/>
            <w:tcBorders>
              <w:top w:val="nil"/>
              <w:left w:val="nil"/>
              <w:bottom w:val="single" w:sz="4" w:space="0" w:color="000000"/>
              <w:right w:val="single" w:sz="4" w:space="0" w:color="000000"/>
            </w:tcBorders>
            <w:vAlign w:val="bottom"/>
          </w:tcPr>
          <w:p w14:paraId="109318D2"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10.00 </w:t>
            </w:r>
          </w:p>
        </w:tc>
        <w:tc>
          <w:tcPr>
            <w:tcW w:w="1767" w:type="dxa"/>
            <w:tcBorders>
              <w:top w:val="nil"/>
              <w:left w:val="nil"/>
              <w:bottom w:val="nil"/>
              <w:right w:val="nil"/>
            </w:tcBorders>
            <w:vAlign w:val="bottom"/>
          </w:tcPr>
          <w:p w14:paraId="762BE317" w14:textId="77777777" w:rsidR="0035611D" w:rsidRDefault="0035611D">
            <w:pPr>
              <w:spacing w:before="0" w:after="0" w:line="240" w:lineRule="auto"/>
              <w:jc w:val="center"/>
              <w:rPr>
                <w:rFonts w:ascii="Arial" w:eastAsia="Arial" w:hAnsi="Arial" w:cs="Arial"/>
                <w:color w:val="000000"/>
              </w:rPr>
            </w:pPr>
          </w:p>
        </w:tc>
      </w:tr>
      <w:tr w:rsidR="0035611D" w14:paraId="416F1D7C"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6BA6D50B"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2</w:t>
            </w:r>
          </w:p>
        </w:tc>
        <w:tc>
          <w:tcPr>
            <w:tcW w:w="1891" w:type="dxa"/>
            <w:tcBorders>
              <w:top w:val="nil"/>
              <w:left w:val="nil"/>
              <w:bottom w:val="single" w:sz="4" w:space="0" w:color="000000"/>
              <w:right w:val="single" w:sz="4" w:space="0" w:color="000000"/>
            </w:tcBorders>
            <w:vAlign w:val="bottom"/>
          </w:tcPr>
          <w:p w14:paraId="7A47F909"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11.00 </w:t>
            </w:r>
          </w:p>
        </w:tc>
        <w:tc>
          <w:tcPr>
            <w:tcW w:w="1768" w:type="dxa"/>
            <w:tcBorders>
              <w:top w:val="nil"/>
              <w:left w:val="nil"/>
              <w:bottom w:val="single" w:sz="4" w:space="0" w:color="000000"/>
              <w:right w:val="single" w:sz="4" w:space="0" w:color="000000"/>
            </w:tcBorders>
            <w:vAlign w:val="bottom"/>
          </w:tcPr>
          <w:p w14:paraId="3629B9A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0.826</w:t>
            </w:r>
          </w:p>
        </w:tc>
        <w:tc>
          <w:tcPr>
            <w:tcW w:w="2691" w:type="dxa"/>
            <w:tcBorders>
              <w:top w:val="nil"/>
              <w:left w:val="nil"/>
              <w:bottom w:val="single" w:sz="4" w:space="0" w:color="000000"/>
              <w:right w:val="single" w:sz="4" w:space="0" w:color="000000"/>
            </w:tcBorders>
            <w:vAlign w:val="bottom"/>
          </w:tcPr>
          <w:p w14:paraId="79C3ADA7"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9.09 </w:t>
            </w:r>
          </w:p>
        </w:tc>
        <w:tc>
          <w:tcPr>
            <w:tcW w:w="1767" w:type="dxa"/>
            <w:tcBorders>
              <w:top w:val="nil"/>
              <w:left w:val="nil"/>
              <w:bottom w:val="nil"/>
              <w:right w:val="nil"/>
            </w:tcBorders>
            <w:vAlign w:val="bottom"/>
          </w:tcPr>
          <w:p w14:paraId="62E9E124" w14:textId="77777777" w:rsidR="0035611D" w:rsidRDefault="0035611D">
            <w:pPr>
              <w:spacing w:before="0" w:after="0" w:line="240" w:lineRule="auto"/>
              <w:jc w:val="center"/>
              <w:rPr>
                <w:rFonts w:ascii="Arial" w:eastAsia="Arial" w:hAnsi="Arial" w:cs="Arial"/>
                <w:color w:val="000000"/>
              </w:rPr>
            </w:pPr>
          </w:p>
        </w:tc>
      </w:tr>
      <w:tr w:rsidR="0035611D" w14:paraId="45BFD764"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5ECAFE1A"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3</w:t>
            </w:r>
          </w:p>
        </w:tc>
        <w:tc>
          <w:tcPr>
            <w:tcW w:w="1891" w:type="dxa"/>
            <w:tcBorders>
              <w:top w:val="nil"/>
              <w:left w:val="nil"/>
              <w:bottom w:val="single" w:sz="4" w:space="0" w:color="000000"/>
              <w:right w:val="single" w:sz="4" w:space="0" w:color="000000"/>
            </w:tcBorders>
            <w:vAlign w:val="bottom"/>
          </w:tcPr>
          <w:p w14:paraId="2C832667"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11.00 </w:t>
            </w:r>
          </w:p>
        </w:tc>
        <w:tc>
          <w:tcPr>
            <w:tcW w:w="1768" w:type="dxa"/>
            <w:tcBorders>
              <w:top w:val="nil"/>
              <w:left w:val="nil"/>
              <w:bottom w:val="single" w:sz="4" w:space="0" w:color="000000"/>
              <w:right w:val="single" w:sz="4" w:space="0" w:color="000000"/>
            </w:tcBorders>
            <w:vAlign w:val="bottom"/>
          </w:tcPr>
          <w:p w14:paraId="3E651A08"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0.751</w:t>
            </w:r>
          </w:p>
        </w:tc>
        <w:tc>
          <w:tcPr>
            <w:tcW w:w="2691" w:type="dxa"/>
            <w:tcBorders>
              <w:top w:val="nil"/>
              <w:left w:val="nil"/>
              <w:bottom w:val="single" w:sz="4" w:space="0" w:color="000000"/>
              <w:right w:val="single" w:sz="4" w:space="0" w:color="000000"/>
            </w:tcBorders>
            <w:vAlign w:val="bottom"/>
          </w:tcPr>
          <w:p w14:paraId="47A46BDD"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8.26 </w:t>
            </w:r>
          </w:p>
        </w:tc>
        <w:tc>
          <w:tcPr>
            <w:tcW w:w="1767" w:type="dxa"/>
            <w:tcBorders>
              <w:top w:val="nil"/>
              <w:left w:val="nil"/>
              <w:bottom w:val="nil"/>
              <w:right w:val="nil"/>
            </w:tcBorders>
            <w:vAlign w:val="bottom"/>
          </w:tcPr>
          <w:p w14:paraId="09CAD7A7" w14:textId="77777777" w:rsidR="0035611D" w:rsidRDefault="0035611D">
            <w:pPr>
              <w:spacing w:before="0" w:after="0" w:line="240" w:lineRule="auto"/>
              <w:jc w:val="center"/>
              <w:rPr>
                <w:rFonts w:ascii="Arial" w:eastAsia="Arial" w:hAnsi="Arial" w:cs="Arial"/>
                <w:color w:val="000000"/>
              </w:rPr>
            </w:pPr>
          </w:p>
        </w:tc>
      </w:tr>
      <w:tr w:rsidR="0035611D" w14:paraId="00B0BDB3"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6BB6FA3B"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4</w:t>
            </w:r>
          </w:p>
        </w:tc>
        <w:tc>
          <w:tcPr>
            <w:tcW w:w="1891" w:type="dxa"/>
            <w:tcBorders>
              <w:top w:val="nil"/>
              <w:left w:val="nil"/>
              <w:bottom w:val="single" w:sz="4" w:space="0" w:color="000000"/>
              <w:right w:val="single" w:sz="4" w:space="0" w:color="000000"/>
            </w:tcBorders>
            <w:vAlign w:val="bottom"/>
          </w:tcPr>
          <w:p w14:paraId="65AAA0A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11.00 </w:t>
            </w:r>
          </w:p>
        </w:tc>
        <w:tc>
          <w:tcPr>
            <w:tcW w:w="1768" w:type="dxa"/>
            <w:tcBorders>
              <w:top w:val="nil"/>
              <w:left w:val="nil"/>
              <w:bottom w:val="single" w:sz="4" w:space="0" w:color="000000"/>
              <w:right w:val="single" w:sz="4" w:space="0" w:color="000000"/>
            </w:tcBorders>
            <w:vAlign w:val="bottom"/>
          </w:tcPr>
          <w:p w14:paraId="5DE1B37B"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0.683</w:t>
            </w:r>
          </w:p>
        </w:tc>
        <w:tc>
          <w:tcPr>
            <w:tcW w:w="2691" w:type="dxa"/>
            <w:tcBorders>
              <w:top w:val="nil"/>
              <w:left w:val="nil"/>
              <w:bottom w:val="single" w:sz="4" w:space="0" w:color="000000"/>
              <w:right w:val="single" w:sz="4" w:space="0" w:color="000000"/>
            </w:tcBorders>
            <w:vAlign w:val="bottom"/>
          </w:tcPr>
          <w:p w14:paraId="36AF51D9"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7.51 </w:t>
            </w:r>
          </w:p>
        </w:tc>
        <w:tc>
          <w:tcPr>
            <w:tcW w:w="1767" w:type="dxa"/>
            <w:tcBorders>
              <w:top w:val="nil"/>
              <w:left w:val="nil"/>
              <w:bottom w:val="nil"/>
              <w:right w:val="nil"/>
            </w:tcBorders>
            <w:vAlign w:val="bottom"/>
          </w:tcPr>
          <w:p w14:paraId="7EE3B557" w14:textId="77777777" w:rsidR="0035611D" w:rsidRDefault="0035611D">
            <w:pPr>
              <w:spacing w:before="0" w:after="0" w:line="240" w:lineRule="auto"/>
              <w:jc w:val="center"/>
              <w:rPr>
                <w:rFonts w:ascii="Arial" w:eastAsia="Arial" w:hAnsi="Arial" w:cs="Arial"/>
                <w:color w:val="000000"/>
              </w:rPr>
            </w:pPr>
          </w:p>
        </w:tc>
      </w:tr>
      <w:tr w:rsidR="0035611D" w14:paraId="019FF794"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176A2F82"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5</w:t>
            </w:r>
          </w:p>
        </w:tc>
        <w:tc>
          <w:tcPr>
            <w:tcW w:w="1891" w:type="dxa"/>
            <w:tcBorders>
              <w:top w:val="nil"/>
              <w:left w:val="nil"/>
              <w:bottom w:val="single" w:sz="4" w:space="0" w:color="000000"/>
              <w:right w:val="single" w:sz="4" w:space="0" w:color="000000"/>
            </w:tcBorders>
            <w:vAlign w:val="bottom"/>
          </w:tcPr>
          <w:p w14:paraId="5FAD3989"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11.00 </w:t>
            </w:r>
          </w:p>
        </w:tc>
        <w:tc>
          <w:tcPr>
            <w:tcW w:w="1768" w:type="dxa"/>
            <w:tcBorders>
              <w:top w:val="nil"/>
              <w:left w:val="nil"/>
              <w:bottom w:val="single" w:sz="4" w:space="0" w:color="000000"/>
              <w:right w:val="single" w:sz="4" w:space="0" w:color="000000"/>
            </w:tcBorders>
            <w:vAlign w:val="bottom"/>
          </w:tcPr>
          <w:p w14:paraId="138521AA"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0.621</w:t>
            </w:r>
          </w:p>
        </w:tc>
        <w:tc>
          <w:tcPr>
            <w:tcW w:w="2691" w:type="dxa"/>
            <w:tcBorders>
              <w:top w:val="nil"/>
              <w:left w:val="nil"/>
              <w:bottom w:val="single" w:sz="4" w:space="0" w:color="000000"/>
              <w:right w:val="single" w:sz="4" w:space="0" w:color="000000"/>
            </w:tcBorders>
            <w:vAlign w:val="bottom"/>
          </w:tcPr>
          <w:p w14:paraId="75692D4D"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6.83 </w:t>
            </w:r>
          </w:p>
        </w:tc>
        <w:tc>
          <w:tcPr>
            <w:tcW w:w="1767" w:type="dxa"/>
            <w:tcBorders>
              <w:top w:val="nil"/>
              <w:left w:val="nil"/>
              <w:bottom w:val="nil"/>
              <w:right w:val="nil"/>
            </w:tcBorders>
            <w:vAlign w:val="bottom"/>
          </w:tcPr>
          <w:p w14:paraId="5EFBEC2A" w14:textId="77777777" w:rsidR="0035611D" w:rsidRDefault="0035611D">
            <w:pPr>
              <w:spacing w:before="0" w:after="0" w:line="240" w:lineRule="auto"/>
              <w:jc w:val="center"/>
              <w:rPr>
                <w:rFonts w:ascii="Arial" w:eastAsia="Arial" w:hAnsi="Arial" w:cs="Arial"/>
                <w:color w:val="000000"/>
              </w:rPr>
            </w:pPr>
          </w:p>
        </w:tc>
      </w:tr>
      <w:tr w:rsidR="0035611D" w14:paraId="15405206" w14:textId="77777777">
        <w:trPr>
          <w:trHeight w:val="312"/>
          <w:jc w:val="center"/>
        </w:trPr>
        <w:tc>
          <w:tcPr>
            <w:tcW w:w="4566" w:type="dxa"/>
            <w:gridSpan w:val="3"/>
            <w:tcBorders>
              <w:top w:val="single" w:sz="4" w:space="0" w:color="000000"/>
              <w:left w:val="single" w:sz="4" w:space="0" w:color="000000"/>
              <w:bottom w:val="single" w:sz="4" w:space="0" w:color="000000"/>
              <w:right w:val="single" w:sz="4" w:space="0" w:color="000000"/>
            </w:tcBorders>
            <w:shd w:val="clear" w:color="auto" w:fill="66FFFF"/>
            <w:vAlign w:val="center"/>
          </w:tcPr>
          <w:p w14:paraId="70E9A6F4"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"Internal Rate of Return (IRR) of Project B"</w:t>
            </w:r>
          </w:p>
        </w:tc>
        <w:tc>
          <w:tcPr>
            <w:tcW w:w="2691" w:type="dxa"/>
            <w:tcBorders>
              <w:top w:val="nil"/>
              <w:left w:val="nil"/>
              <w:bottom w:val="single" w:sz="4" w:space="0" w:color="000000"/>
              <w:right w:val="single" w:sz="4" w:space="0" w:color="000000"/>
            </w:tcBorders>
            <w:shd w:val="clear" w:color="auto" w:fill="66FFFF"/>
            <w:vAlign w:val="center"/>
          </w:tcPr>
          <w:p w14:paraId="4EB6D5B4"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3.26%</w:t>
            </w:r>
          </w:p>
        </w:tc>
        <w:tc>
          <w:tcPr>
            <w:tcW w:w="1767" w:type="dxa"/>
            <w:tcBorders>
              <w:top w:val="nil"/>
              <w:left w:val="nil"/>
              <w:bottom w:val="nil"/>
              <w:right w:val="nil"/>
            </w:tcBorders>
            <w:vAlign w:val="bottom"/>
          </w:tcPr>
          <w:p w14:paraId="57313162" w14:textId="77777777" w:rsidR="0035611D" w:rsidRDefault="0035611D">
            <w:pPr>
              <w:spacing w:before="0" w:after="0" w:line="240" w:lineRule="auto"/>
              <w:jc w:val="center"/>
              <w:rPr>
                <w:rFonts w:ascii="Arial" w:eastAsia="Arial" w:hAnsi="Arial" w:cs="Arial"/>
                <w:b/>
                <w:bCs/>
                <w:color w:val="000000"/>
              </w:rPr>
            </w:pPr>
          </w:p>
        </w:tc>
      </w:tr>
      <w:tr w:rsidR="0035611D" w14:paraId="1C44003F" w14:textId="77777777">
        <w:trPr>
          <w:trHeight w:val="312"/>
          <w:jc w:val="center"/>
        </w:trPr>
        <w:tc>
          <w:tcPr>
            <w:tcW w:w="907" w:type="dxa"/>
            <w:tcBorders>
              <w:top w:val="nil"/>
              <w:left w:val="nil"/>
              <w:bottom w:val="nil"/>
              <w:right w:val="nil"/>
            </w:tcBorders>
            <w:vAlign w:val="bottom"/>
          </w:tcPr>
          <w:p w14:paraId="5F97665A" w14:textId="77777777" w:rsidR="0035611D" w:rsidRDefault="0035611D">
            <w:pPr>
              <w:spacing w:before="0" w:after="0" w:line="240" w:lineRule="auto"/>
              <w:jc w:val="left"/>
              <w:rPr>
                <w:sz w:val="20"/>
                <w:szCs w:val="20"/>
              </w:rPr>
            </w:pPr>
          </w:p>
        </w:tc>
        <w:tc>
          <w:tcPr>
            <w:tcW w:w="1891" w:type="dxa"/>
            <w:tcBorders>
              <w:top w:val="nil"/>
              <w:left w:val="nil"/>
              <w:bottom w:val="nil"/>
              <w:right w:val="nil"/>
            </w:tcBorders>
            <w:vAlign w:val="bottom"/>
          </w:tcPr>
          <w:p w14:paraId="4E3E710C" w14:textId="77777777" w:rsidR="0035611D" w:rsidRDefault="0035611D">
            <w:pPr>
              <w:spacing w:before="0" w:after="0" w:line="240" w:lineRule="auto"/>
              <w:jc w:val="left"/>
              <w:rPr>
                <w:sz w:val="20"/>
                <w:szCs w:val="20"/>
              </w:rPr>
            </w:pPr>
          </w:p>
        </w:tc>
        <w:tc>
          <w:tcPr>
            <w:tcW w:w="1768" w:type="dxa"/>
            <w:tcBorders>
              <w:top w:val="nil"/>
              <w:left w:val="nil"/>
              <w:bottom w:val="nil"/>
              <w:right w:val="nil"/>
            </w:tcBorders>
            <w:vAlign w:val="bottom"/>
          </w:tcPr>
          <w:p w14:paraId="4C83B7D8" w14:textId="77777777" w:rsidR="0035611D" w:rsidRDefault="0035611D">
            <w:pPr>
              <w:spacing w:before="0" w:after="0" w:line="240" w:lineRule="auto"/>
              <w:jc w:val="left"/>
              <w:rPr>
                <w:sz w:val="20"/>
                <w:szCs w:val="20"/>
              </w:rPr>
            </w:pPr>
          </w:p>
        </w:tc>
        <w:tc>
          <w:tcPr>
            <w:tcW w:w="2691" w:type="dxa"/>
            <w:tcBorders>
              <w:top w:val="nil"/>
              <w:left w:val="nil"/>
              <w:bottom w:val="nil"/>
              <w:right w:val="nil"/>
            </w:tcBorders>
            <w:vAlign w:val="bottom"/>
          </w:tcPr>
          <w:p w14:paraId="7430B52E" w14:textId="77777777" w:rsidR="0035611D" w:rsidRDefault="0035611D">
            <w:pPr>
              <w:spacing w:before="0" w:after="0" w:line="240" w:lineRule="auto"/>
              <w:jc w:val="left"/>
              <w:rPr>
                <w:sz w:val="20"/>
                <w:szCs w:val="20"/>
              </w:rPr>
            </w:pPr>
          </w:p>
        </w:tc>
        <w:tc>
          <w:tcPr>
            <w:tcW w:w="1767" w:type="dxa"/>
            <w:tcBorders>
              <w:top w:val="nil"/>
              <w:left w:val="nil"/>
              <w:bottom w:val="nil"/>
              <w:right w:val="nil"/>
            </w:tcBorders>
            <w:vAlign w:val="bottom"/>
          </w:tcPr>
          <w:p w14:paraId="0BA38C24" w14:textId="77777777" w:rsidR="0035611D" w:rsidRDefault="0035611D">
            <w:pPr>
              <w:spacing w:before="0" w:after="0" w:line="240" w:lineRule="auto"/>
              <w:jc w:val="left"/>
              <w:rPr>
                <w:sz w:val="20"/>
                <w:szCs w:val="20"/>
              </w:rPr>
            </w:pPr>
          </w:p>
        </w:tc>
      </w:tr>
      <w:tr w:rsidR="0035611D" w14:paraId="5EE0B269" w14:textId="77777777">
        <w:trPr>
          <w:trHeight w:val="312"/>
          <w:jc w:val="center"/>
        </w:trPr>
        <w:tc>
          <w:tcPr>
            <w:tcW w:w="907" w:type="dxa"/>
            <w:tcBorders>
              <w:top w:val="nil"/>
              <w:left w:val="nil"/>
              <w:bottom w:val="nil"/>
              <w:right w:val="nil"/>
            </w:tcBorders>
            <w:vAlign w:val="bottom"/>
          </w:tcPr>
          <w:p w14:paraId="77CA2914" w14:textId="77777777" w:rsidR="0035611D" w:rsidRDefault="0035611D">
            <w:pPr>
              <w:spacing w:before="0" w:after="0" w:line="240" w:lineRule="auto"/>
              <w:jc w:val="left"/>
              <w:rPr>
                <w:sz w:val="20"/>
                <w:szCs w:val="20"/>
              </w:rPr>
            </w:pPr>
          </w:p>
        </w:tc>
        <w:tc>
          <w:tcPr>
            <w:tcW w:w="1891" w:type="dxa"/>
            <w:tcBorders>
              <w:top w:val="nil"/>
              <w:left w:val="nil"/>
              <w:bottom w:val="nil"/>
              <w:right w:val="nil"/>
            </w:tcBorders>
            <w:vAlign w:val="bottom"/>
          </w:tcPr>
          <w:p w14:paraId="2196ED50" w14:textId="77777777" w:rsidR="0035611D" w:rsidRDefault="0035611D">
            <w:pPr>
              <w:spacing w:before="0" w:after="0" w:line="240" w:lineRule="auto"/>
              <w:jc w:val="left"/>
              <w:rPr>
                <w:sz w:val="20"/>
                <w:szCs w:val="20"/>
              </w:rPr>
            </w:pPr>
          </w:p>
        </w:tc>
        <w:tc>
          <w:tcPr>
            <w:tcW w:w="1768" w:type="dxa"/>
            <w:tcBorders>
              <w:top w:val="nil"/>
              <w:left w:val="nil"/>
              <w:bottom w:val="nil"/>
              <w:right w:val="nil"/>
            </w:tcBorders>
            <w:vAlign w:val="bottom"/>
          </w:tcPr>
          <w:p w14:paraId="361AD215" w14:textId="77777777" w:rsidR="0035611D" w:rsidRDefault="0035611D">
            <w:pPr>
              <w:spacing w:before="0" w:after="0" w:line="240" w:lineRule="auto"/>
              <w:jc w:val="left"/>
              <w:rPr>
                <w:sz w:val="20"/>
                <w:szCs w:val="20"/>
              </w:rPr>
            </w:pPr>
          </w:p>
        </w:tc>
        <w:tc>
          <w:tcPr>
            <w:tcW w:w="2691" w:type="dxa"/>
            <w:tcBorders>
              <w:top w:val="nil"/>
              <w:left w:val="nil"/>
              <w:bottom w:val="nil"/>
              <w:right w:val="nil"/>
            </w:tcBorders>
            <w:vAlign w:val="bottom"/>
          </w:tcPr>
          <w:p w14:paraId="3DFA3610" w14:textId="77777777" w:rsidR="0035611D" w:rsidRDefault="0035611D">
            <w:pPr>
              <w:spacing w:before="0" w:after="0" w:line="240" w:lineRule="auto"/>
              <w:jc w:val="left"/>
              <w:rPr>
                <w:sz w:val="20"/>
                <w:szCs w:val="20"/>
              </w:rPr>
            </w:pPr>
          </w:p>
        </w:tc>
        <w:tc>
          <w:tcPr>
            <w:tcW w:w="1767" w:type="dxa"/>
            <w:tcBorders>
              <w:top w:val="nil"/>
              <w:left w:val="nil"/>
              <w:bottom w:val="nil"/>
              <w:right w:val="nil"/>
            </w:tcBorders>
            <w:vAlign w:val="bottom"/>
          </w:tcPr>
          <w:p w14:paraId="42F8D3C3" w14:textId="77777777" w:rsidR="0035611D" w:rsidRDefault="0035611D">
            <w:pPr>
              <w:spacing w:before="0" w:after="0" w:line="240" w:lineRule="auto"/>
              <w:jc w:val="left"/>
              <w:rPr>
                <w:sz w:val="20"/>
                <w:szCs w:val="20"/>
              </w:rPr>
            </w:pPr>
          </w:p>
        </w:tc>
      </w:tr>
      <w:tr w:rsidR="0035611D" w14:paraId="032BBB42" w14:textId="77777777">
        <w:trPr>
          <w:trHeight w:val="312"/>
          <w:jc w:val="center"/>
        </w:trPr>
        <w:tc>
          <w:tcPr>
            <w:tcW w:w="907" w:type="dxa"/>
            <w:tcBorders>
              <w:top w:val="single" w:sz="4" w:space="0" w:color="000000"/>
              <w:left w:val="single" w:sz="4" w:space="0" w:color="000000"/>
              <w:bottom w:val="single" w:sz="4" w:space="0" w:color="000000"/>
              <w:right w:val="single" w:sz="4" w:space="0" w:color="000000"/>
            </w:tcBorders>
            <w:shd w:val="clear" w:color="auto" w:fill="66FFFF"/>
            <w:vAlign w:val="center"/>
          </w:tcPr>
          <w:p w14:paraId="6D29466D"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"Year"</w:t>
            </w:r>
          </w:p>
        </w:tc>
        <w:tc>
          <w:tcPr>
            <w:tcW w:w="1891" w:type="dxa"/>
            <w:tcBorders>
              <w:top w:val="single" w:sz="4" w:space="0" w:color="000000"/>
              <w:left w:val="nil"/>
              <w:bottom w:val="single" w:sz="4" w:space="0" w:color="000000"/>
              <w:right w:val="single" w:sz="4" w:space="0" w:color="000000"/>
            </w:tcBorders>
            <w:shd w:val="clear" w:color="auto" w:fill="66FFFF"/>
            <w:vAlign w:val="center"/>
          </w:tcPr>
          <w:p w14:paraId="637FAD18"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"Cash Flow"</w:t>
            </w:r>
          </w:p>
        </w:tc>
        <w:tc>
          <w:tcPr>
            <w:tcW w:w="1768" w:type="dxa"/>
            <w:tcBorders>
              <w:top w:val="single" w:sz="4" w:space="0" w:color="000000"/>
              <w:left w:val="nil"/>
              <w:bottom w:val="single" w:sz="4" w:space="0" w:color="000000"/>
              <w:right w:val="single" w:sz="4" w:space="0" w:color="000000"/>
            </w:tcBorders>
            <w:shd w:val="clear" w:color="auto" w:fill="66FFFF"/>
            <w:vAlign w:val="center"/>
          </w:tcPr>
          <w:p w14:paraId="34206855"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 xml:space="preserve">"Depreciation" </w:t>
            </w:r>
          </w:p>
        </w:tc>
        <w:tc>
          <w:tcPr>
            <w:tcW w:w="2691" w:type="dxa"/>
            <w:tcBorders>
              <w:top w:val="single" w:sz="4" w:space="0" w:color="000000"/>
              <w:left w:val="nil"/>
              <w:bottom w:val="single" w:sz="4" w:space="0" w:color="000000"/>
              <w:right w:val="single" w:sz="4" w:space="0" w:color="000000"/>
            </w:tcBorders>
            <w:shd w:val="clear" w:color="auto" w:fill="66FFFF"/>
            <w:vAlign w:val="center"/>
          </w:tcPr>
          <w:p w14:paraId="5A4F4CF5"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"Present Value"</w:t>
            </w:r>
          </w:p>
        </w:tc>
        <w:tc>
          <w:tcPr>
            <w:tcW w:w="1767" w:type="dxa"/>
            <w:tcBorders>
              <w:top w:val="nil"/>
              <w:left w:val="nil"/>
              <w:bottom w:val="nil"/>
              <w:right w:val="nil"/>
            </w:tcBorders>
            <w:vAlign w:val="bottom"/>
          </w:tcPr>
          <w:p w14:paraId="2F48492B" w14:textId="77777777" w:rsidR="0035611D" w:rsidRDefault="0035611D">
            <w:pPr>
              <w:spacing w:before="0" w:after="0" w:line="240" w:lineRule="auto"/>
              <w:jc w:val="center"/>
              <w:rPr>
                <w:rFonts w:ascii="Arial" w:eastAsia="Arial" w:hAnsi="Arial" w:cs="Arial"/>
                <w:b/>
                <w:bCs/>
                <w:color w:val="000000"/>
              </w:rPr>
            </w:pPr>
          </w:p>
        </w:tc>
      </w:tr>
      <w:tr w:rsidR="0035611D" w14:paraId="4E5C064E" w14:textId="77777777">
        <w:trPr>
          <w:trHeight w:val="312"/>
          <w:jc w:val="center"/>
        </w:trPr>
        <w:tc>
          <w:tcPr>
            <w:tcW w:w="907" w:type="dxa"/>
            <w:tcBorders>
              <w:top w:val="nil"/>
              <w:left w:val="single" w:sz="4" w:space="0" w:color="000000"/>
              <w:bottom w:val="single" w:sz="4" w:space="0" w:color="000000"/>
              <w:right w:val="single" w:sz="4" w:space="0" w:color="000000"/>
            </w:tcBorders>
            <w:vAlign w:val="center"/>
          </w:tcPr>
          <w:p w14:paraId="3FBB9523"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w:t>
            </w:r>
          </w:p>
        </w:tc>
        <w:tc>
          <w:tcPr>
            <w:tcW w:w="1891" w:type="dxa"/>
            <w:tcBorders>
              <w:top w:val="nil"/>
              <w:left w:val="nil"/>
              <w:bottom w:val="single" w:sz="4" w:space="0" w:color="000000"/>
              <w:right w:val="single" w:sz="4" w:space="0" w:color="000000"/>
            </w:tcBorders>
            <w:vAlign w:val="center"/>
          </w:tcPr>
          <w:p w14:paraId="1A554878"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1768" w:type="dxa"/>
            <w:tcBorders>
              <w:top w:val="nil"/>
              <w:left w:val="nil"/>
              <w:bottom w:val="single" w:sz="4" w:space="0" w:color="000000"/>
              <w:right w:val="single" w:sz="4" w:space="0" w:color="000000"/>
            </w:tcBorders>
            <w:vAlign w:val="center"/>
          </w:tcPr>
          <w:p w14:paraId="54C9EB86" w14:textId="77777777" w:rsidR="0035611D" w:rsidRDefault="00A6742D">
            <w:pPr>
              <w:spacing w:before="0" w:after="0" w:line="240" w:lineRule="auto"/>
              <w:jc w:val="right"/>
              <w:rPr>
                <w:rFonts w:ascii="Arial" w:eastAsia="Arial" w:hAnsi="Arial" w:cs="Arial"/>
                <w:color w:val="000000"/>
              </w:rPr>
            </w:pPr>
            <w:r>
              <w:rPr>
                <w:rFonts w:ascii="Arial" w:eastAsia="Arial" w:hAnsi="Arial" w:cs="Arial"/>
                <w:color w:val="000000"/>
              </w:rPr>
              <w:t>0.00</w:t>
            </w:r>
          </w:p>
        </w:tc>
        <w:tc>
          <w:tcPr>
            <w:tcW w:w="2691" w:type="dxa"/>
            <w:tcBorders>
              <w:top w:val="nil"/>
              <w:left w:val="nil"/>
              <w:bottom w:val="single" w:sz="4" w:space="0" w:color="000000"/>
              <w:right w:val="single" w:sz="4" w:space="0" w:color="000000"/>
            </w:tcBorders>
            <w:vAlign w:val="center"/>
          </w:tcPr>
          <w:p w14:paraId="615D5BE7"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1767" w:type="dxa"/>
            <w:tcBorders>
              <w:top w:val="nil"/>
              <w:left w:val="nil"/>
              <w:bottom w:val="nil"/>
              <w:right w:val="nil"/>
            </w:tcBorders>
            <w:vAlign w:val="bottom"/>
          </w:tcPr>
          <w:p w14:paraId="559BA028" w14:textId="77777777" w:rsidR="0035611D" w:rsidRDefault="0035611D">
            <w:pPr>
              <w:spacing w:before="0" w:after="0" w:line="240" w:lineRule="auto"/>
              <w:jc w:val="center"/>
              <w:rPr>
                <w:rFonts w:ascii="Arial" w:eastAsia="Arial" w:hAnsi="Arial" w:cs="Arial"/>
                <w:color w:val="000000"/>
              </w:rPr>
            </w:pPr>
          </w:p>
        </w:tc>
      </w:tr>
      <w:tr w:rsidR="0035611D" w14:paraId="370A1641" w14:textId="77777777">
        <w:trPr>
          <w:trHeight w:val="312"/>
          <w:jc w:val="center"/>
        </w:trPr>
        <w:tc>
          <w:tcPr>
            <w:tcW w:w="907" w:type="dxa"/>
            <w:tcBorders>
              <w:top w:val="nil"/>
              <w:left w:val="single" w:sz="4" w:space="0" w:color="000000"/>
              <w:bottom w:val="single" w:sz="4" w:space="0" w:color="000000"/>
              <w:right w:val="single" w:sz="4" w:space="0" w:color="000000"/>
            </w:tcBorders>
            <w:vAlign w:val="center"/>
          </w:tcPr>
          <w:p w14:paraId="3B6ACE21"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w:t>
            </w:r>
          </w:p>
        </w:tc>
        <w:tc>
          <w:tcPr>
            <w:tcW w:w="1891" w:type="dxa"/>
            <w:tcBorders>
              <w:top w:val="nil"/>
              <w:left w:val="nil"/>
              <w:bottom w:val="single" w:sz="4" w:space="0" w:color="000000"/>
              <w:right w:val="single" w:sz="4" w:space="0" w:color="000000"/>
            </w:tcBorders>
            <w:vAlign w:val="center"/>
          </w:tcPr>
          <w:p w14:paraId="0B72A221"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11.00 </w:t>
            </w:r>
          </w:p>
        </w:tc>
        <w:tc>
          <w:tcPr>
            <w:tcW w:w="1768" w:type="dxa"/>
            <w:tcBorders>
              <w:top w:val="nil"/>
              <w:left w:val="nil"/>
              <w:bottom w:val="single" w:sz="4" w:space="0" w:color="000000"/>
              <w:right w:val="single" w:sz="4" w:space="0" w:color="000000"/>
            </w:tcBorders>
            <w:vAlign w:val="center"/>
          </w:tcPr>
          <w:p w14:paraId="47C2932C" w14:textId="77777777" w:rsidR="0035611D" w:rsidRDefault="00A6742D">
            <w:pPr>
              <w:spacing w:before="0" w:after="0" w:line="240" w:lineRule="auto"/>
              <w:jc w:val="right"/>
              <w:rPr>
                <w:rFonts w:ascii="Arial" w:eastAsia="Arial" w:hAnsi="Arial" w:cs="Arial"/>
                <w:color w:val="000000"/>
              </w:rPr>
            </w:pPr>
            <w:r>
              <w:rPr>
                <w:rFonts w:ascii="Arial" w:eastAsia="Arial" w:hAnsi="Arial" w:cs="Arial"/>
                <w:color w:val="000000"/>
              </w:rPr>
              <w:t>10.00</w:t>
            </w:r>
          </w:p>
        </w:tc>
        <w:tc>
          <w:tcPr>
            <w:tcW w:w="2691" w:type="dxa"/>
            <w:tcBorders>
              <w:top w:val="nil"/>
              <w:left w:val="nil"/>
              <w:bottom w:val="single" w:sz="4" w:space="0" w:color="000000"/>
              <w:right w:val="single" w:sz="4" w:space="0" w:color="000000"/>
            </w:tcBorders>
            <w:vAlign w:val="center"/>
          </w:tcPr>
          <w:p w14:paraId="0E94C7E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 </w:t>
            </w:r>
          </w:p>
        </w:tc>
        <w:tc>
          <w:tcPr>
            <w:tcW w:w="1767" w:type="dxa"/>
            <w:tcBorders>
              <w:top w:val="nil"/>
              <w:left w:val="nil"/>
              <w:bottom w:val="nil"/>
              <w:right w:val="nil"/>
            </w:tcBorders>
            <w:vAlign w:val="bottom"/>
          </w:tcPr>
          <w:p w14:paraId="7CC5458C" w14:textId="77777777" w:rsidR="0035611D" w:rsidRDefault="0035611D">
            <w:pPr>
              <w:spacing w:before="0" w:after="0" w:line="240" w:lineRule="auto"/>
              <w:jc w:val="center"/>
              <w:rPr>
                <w:rFonts w:ascii="Arial" w:eastAsia="Arial" w:hAnsi="Arial" w:cs="Arial"/>
                <w:color w:val="000000"/>
              </w:rPr>
            </w:pPr>
          </w:p>
        </w:tc>
      </w:tr>
      <w:tr w:rsidR="0035611D" w14:paraId="65578DB8" w14:textId="77777777">
        <w:trPr>
          <w:trHeight w:val="312"/>
          <w:jc w:val="center"/>
        </w:trPr>
        <w:tc>
          <w:tcPr>
            <w:tcW w:w="907" w:type="dxa"/>
            <w:tcBorders>
              <w:top w:val="nil"/>
              <w:left w:val="single" w:sz="4" w:space="0" w:color="000000"/>
              <w:bottom w:val="single" w:sz="4" w:space="0" w:color="000000"/>
              <w:right w:val="single" w:sz="4" w:space="0" w:color="000000"/>
            </w:tcBorders>
            <w:vAlign w:val="center"/>
          </w:tcPr>
          <w:p w14:paraId="190481F9"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2</w:t>
            </w:r>
          </w:p>
        </w:tc>
        <w:tc>
          <w:tcPr>
            <w:tcW w:w="1891" w:type="dxa"/>
            <w:tcBorders>
              <w:top w:val="nil"/>
              <w:left w:val="nil"/>
              <w:bottom w:val="single" w:sz="4" w:space="0" w:color="000000"/>
              <w:right w:val="single" w:sz="4" w:space="0" w:color="000000"/>
            </w:tcBorders>
            <w:vAlign w:val="center"/>
          </w:tcPr>
          <w:p w14:paraId="5CFAF670"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11.00 </w:t>
            </w:r>
          </w:p>
        </w:tc>
        <w:tc>
          <w:tcPr>
            <w:tcW w:w="1768" w:type="dxa"/>
            <w:tcBorders>
              <w:top w:val="nil"/>
              <w:left w:val="nil"/>
              <w:bottom w:val="single" w:sz="4" w:space="0" w:color="000000"/>
              <w:right w:val="single" w:sz="4" w:space="0" w:color="000000"/>
            </w:tcBorders>
            <w:vAlign w:val="center"/>
          </w:tcPr>
          <w:p w14:paraId="22CCFD62" w14:textId="77777777" w:rsidR="0035611D" w:rsidRDefault="00A6742D">
            <w:pPr>
              <w:spacing w:before="0" w:after="0" w:line="240" w:lineRule="auto"/>
              <w:jc w:val="right"/>
              <w:rPr>
                <w:rFonts w:ascii="Arial" w:eastAsia="Arial" w:hAnsi="Arial" w:cs="Arial"/>
                <w:color w:val="000000"/>
              </w:rPr>
            </w:pPr>
            <w:r>
              <w:rPr>
                <w:rFonts w:ascii="Arial" w:eastAsia="Arial" w:hAnsi="Arial" w:cs="Arial"/>
                <w:color w:val="000000"/>
              </w:rPr>
              <w:t>10.00</w:t>
            </w:r>
          </w:p>
        </w:tc>
        <w:tc>
          <w:tcPr>
            <w:tcW w:w="2691" w:type="dxa"/>
            <w:tcBorders>
              <w:top w:val="nil"/>
              <w:left w:val="nil"/>
              <w:bottom w:val="single" w:sz="4" w:space="0" w:color="000000"/>
              <w:right w:val="single" w:sz="4" w:space="0" w:color="000000"/>
            </w:tcBorders>
            <w:vAlign w:val="center"/>
          </w:tcPr>
          <w:p w14:paraId="2D215226"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 </w:t>
            </w:r>
          </w:p>
        </w:tc>
        <w:tc>
          <w:tcPr>
            <w:tcW w:w="1767" w:type="dxa"/>
            <w:tcBorders>
              <w:top w:val="nil"/>
              <w:left w:val="nil"/>
              <w:bottom w:val="nil"/>
              <w:right w:val="nil"/>
            </w:tcBorders>
            <w:vAlign w:val="bottom"/>
          </w:tcPr>
          <w:p w14:paraId="72594276" w14:textId="77777777" w:rsidR="0035611D" w:rsidRDefault="0035611D">
            <w:pPr>
              <w:spacing w:before="0" w:after="0" w:line="240" w:lineRule="auto"/>
              <w:jc w:val="center"/>
              <w:rPr>
                <w:rFonts w:ascii="Arial" w:eastAsia="Arial" w:hAnsi="Arial" w:cs="Arial"/>
                <w:color w:val="000000"/>
              </w:rPr>
            </w:pPr>
          </w:p>
        </w:tc>
      </w:tr>
      <w:tr w:rsidR="0035611D" w14:paraId="7C8532A0" w14:textId="77777777">
        <w:trPr>
          <w:trHeight w:val="312"/>
          <w:jc w:val="center"/>
        </w:trPr>
        <w:tc>
          <w:tcPr>
            <w:tcW w:w="907" w:type="dxa"/>
            <w:tcBorders>
              <w:top w:val="nil"/>
              <w:left w:val="single" w:sz="4" w:space="0" w:color="000000"/>
              <w:bottom w:val="single" w:sz="4" w:space="0" w:color="000000"/>
              <w:right w:val="single" w:sz="4" w:space="0" w:color="000000"/>
            </w:tcBorders>
            <w:vAlign w:val="center"/>
          </w:tcPr>
          <w:p w14:paraId="6AE4B86A"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3</w:t>
            </w:r>
          </w:p>
        </w:tc>
        <w:tc>
          <w:tcPr>
            <w:tcW w:w="1891" w:type="dxa"/>
            <w:tcBorders>
              <w:top w:val="nil"/>
              <w:left w:val="nil"/>
              <w:bottom w:val="single" w:sz="4" w:space="0" w:color="000000"/>
              <w:right w:val="single" w:sz="4" w:space="0" w:color="000000"/>
            </w:tcBorders>
            <w:vAlign w:val="center"/>
          </w:tcPr>
          <w:p w14:paraId="63839BEA"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11.00 </w:t>
            </w:r>
          </w:p>
        </w:tc>
        <w:tc>
          <w:tcPr>
            <w:tcW w:w="1768" w:type="dxa"/>
            <w:tcBorders>
              <w:top w:val="nil"/>
              <w:left w:val="nil"/>
              <w:bottom w:val="single" w:sz="4" w:space="0" w:color="000000"/>
              <w:right w:val="single" w:sz="4" w:space="0" w:color="000000"/>
            </w:tcBorders>
            <w:vAlign w:val="center"/>
          </w:tcPr>
          <w:p w14:paraId="4B013EF1" w14:textId="77777777" w:rsidR="0035611D" w:rsidRDefault="00A6742D">
            <w:pPr>
              <w:spacing w:before="0" w:after="0" w:line="240" w:lineRule="auto"/>
              <w:jc w:val="right"/>
              <w:rPr>
                <w:rFonts w:ascii="Arial" w:eastAsia="Arial" w:hAnsi="Arial" w:cs="Arial"/>
                <w:color w:val="000000"/>
              </w:rPr>
            </w:pPr>
            <w:r>
              <w:rPr>
                <w:rFonts w:ascii="Arial" w:eastAsia="Arial" w:hAnsi="Arial" w:cs="Arial"/>
                <w:color w:val="000000"/>
              </w:rPr>
              <w:t>10.00</w:t>
            </w:r>
          </w:p>
        </w:tc>
        <w:tc>
          <w:tcPr>
            <w:tcW w:w="2691" w:type="dxa"/>
            <w:tcBorders>
              <w:top w:val="nil"/>
              <w:left w:val="nil"/>
              <w:bottom w:val="single" w:sz="4" w:space="0" w:color="000000"/>
              <w:right w:val="single" w:sz="4" w:space="0" w:color="000000"/>
            </w:tcBorders>
            <w:vAlign w:val="center"/>
          </w:tcPr>
          <w:p w14:paraId="09D882B7"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 </w:t>
            </w:r>
          </w:p>
        </w:tc>
        <w:tc>
          <w:tcPr>
            <w:tcW w:w="1767" w:type="dxa"/>
            <w:tcBorders>
              <w:top w:val="nil"/>
              <w:left w:val="nil"/>
              <w:bottom w:val="nil"/>
              <w:right w:val="nil"/>
            </w:tcBorders>
            <w:vAlign w:val="bottom"/>
          </w:tcPr>
          <w:p w14:paraId="521B4DD1" w14:textId="77777777" w:rsidR="0035611D" w:rsidRDefault="0035611D">
            <w:pPr>
              <w:spacing w:before="0" w:after="0" w:line="240" w:lineRule="auto"/>
              <w:jc w:val="center"/>
              <w:rPr>
                <w:rFonts w:ascii="Arial" w:eastAsia="Arial" w:hAnsi="Arial" w:cs="Arial"/>
                <w:color w:val="000000"/>
              </w:rPr>
            </w:pPr>
          </w:p>
        </w:tc>
      </w:tr>
      <w:tr w:rsidR="0035611D" w14:paraId="45269354" w14:textId="77777777">
        <w:trPr>
          <w:trHeight w:val="312"/>
          <w:jc w:val="center"/>
        </w:trPr>
        <w:tc>
          <w:tcPr>
            <w:tcW w:w="907" w:type="dxa"/>
            <w:tcBorders>
              <w:top w:val="nil"/>
              <w:left w:val="single" w:sz="4" w:space="0" w:color="000000"/>
              <w:bottom w:val="single" w:sz="4" w:space="0" w:color="000000"/>
              <w:right w:val="single" w:sz="4" w:space="0" w:color="000000"/>
            </w:tcBorders>
            <w:vAlign w:val="center"/>
          </w:tcPr>
          <w:p w14:paraId="1CF40CF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4</w:t>
            </w:r>
          </w:p>
        </w:tc>
        <w:tc>
          <w:tcPr>
            <w:tcW w:w="1891" w:type="dxa"/>
            <w:tcBorders>
              <w:top w:val="nil"/>
              <w:left w:val="nil"/>
              <w:bottom w:val="single" w:sz="4" w:space="0" w:color="000000"/>
              <w:right w:val="single" w:sz="4" w:space="0" w:color="000000"/>
            </w:tcBorders>
            <w:vAlign w:val="center"/>
          </w:tcPr>
          <w:p w14:paraId="59A1A49C"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11.00 </w:t>
            </w:r>
          </w:p>
        </w:tc>
        <w:tc>
          <w:tcPr>
            <w:tcW w:w="1768" w:type="dxa"/>
            <w:tcBorders>
              <w:top w:val="nil"/>
              <w:left w:val="nil"/>
              <w:bottom w:val="single" w:sz="4" w:space="0" w:color="000000"/>
              <w:right w:val="single" w:sz="4" w:space="0" w:color="000000"/>
            </w:tcBorders>
            <w:vAlign w:val="center"/>
          </w:tcPr>
          <w:p w14:paraId="2934E8D0" w14:textId="77777777" w:rsidR="0035611D" w:rsidRDefault="00A6742D">
            <w:pPr>
              <w:spacing w:before="0" w:after="0" w:line="240" w:lineRule="auto"/>
              <w:jc w:val="right"/>
              <w:rPr>
                <w:rFonts w:ascii="Arial" w:eastAsia="Arial" w:hAnsi="Arial" w:cs="Arial"/>
                <w:color w:val="000000"/>
              </w:rPr>
            </w:pPr>
            <w:r>
              <w:rPr>
                <w:rFonts w:ascii="Arial" w:eastAsia="Arial" w:hAnsi="Arial" w:cs="Arial"/>
                <w:color w:val="000000"/>
              </w:rPr>
              <w:t>10.00</w:t>
            </w:r>
          </w:p>
        </w:tc>
        <w:tc>
          <w:tcPr>
            <w:tcW w:w="2691" w:type="dxa"/>
            <w:tcBorders>
              <w:top w:val="nil"/>
              <w:left w:val="nil"/>
              <w:bottom w:val="single" w:sz="4" w:space="0" w:color="000000"/>
              <w:right w:val="single" w:sz="4" w:space="0" w:color="000000"/>
            </w:tcBorders>
            <w:vAlign w:val="center"/>
          </w:tcPr>
          <w:p w14:paraId="6DD43BDE"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 </w:t>
            </w:r>
          </w:p>
        </w:tc>
        <w:tc>
          <w:tcPr>
            <w:tcW w:w="1767" w:type="dxa"/>
            <w:tcBorders>
              <w:top w:val="nil"/>
              <w:left w:val="nil"/>
              <w:bottom w:val="nil"/>
              <w:right w:val="nil"/>
            </w:tcBorders>
            <w:vAlign w:val="bottom"/>
          </w:tcPr>
          <w:p w14:paraId="0209985B" w14:textId="77777777" w:rsidR="0035611D" w:rsidRDefault="0035611D">
            <w:pPr>
              <w:spacing w:before="0" w:after="0" w:line="240" w:lineRule="auto"/>
              <w:jc w:val="center"/>
              <w:rPr>
                <w:rFonts w:ascii="Arial" w:eastAsia="Arial" w:hAnsi="Arial" w:cs="Arial"/>
                <w:color w:val="000000"/>
              </w:rPr>
            </w:pPr>
          </w:p>
        </w:tc>
      </w:tr>
      <w:tr w:rsidR="0035611D" w14:paraId="31A593DE" w14:textId="77777777">
        <w:trPr>
          <w:trHeight w:val="312"/>
          <w:jc w:val="center"/>
        </w:trPr>
        <w:tc>
          <w:tcPr>
            <w:tcW w:w="907" w:type="dxa"/>
            <w:tcBorders>
              <w:top w:val="nil"/>
              <w:left w:val="single" w:sz="4" w:space="0" w:color="000000"/>
              <w:bottom w:val="single" w:sz="4" w:space="0" w:color="000000"/>
              <w:right w:val="single" w:sz="4" w:space="0" w:color="000000"/>
            </w:tcBorders>
            <w:vAlign w:val="center"/>
          </w:tcPr>
          <w:p w14:paraId="73EEE72A"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5</w:t>
            </w:r>
          </w:p>
        </w:tc>
        <w:tc>
          <w:tcPr>
            <w:tcW w:w="1891" w:type="dxa"/>
            <w:tcBorders>
              <w:top w:val="nil"/>
              <w:left w:val="nil"/>
              <w:bottom w:val="single" w:sz="4" w:space="0" w:color="000000"/>
              <w:right w:val="single" w:sz="4" w:space="0" w:color="000000"/>
            </w:tcBorders>
            <w:vAlign w:val="center"/>
          </w:tcPr>
          <w:p w14:paraId="2F272B72"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11.00 </w:t>
            </w:r>
          </w:p>
        </w:tc>
        <w:tc>
          <w:tcPr>
            <w:tcW w:w="1768" w:type="dxa"/>
            <w:tcBorders>
              <w:top w:val="nil"/>
              <w:left w:val="nil"/>
              <w:bottom w:val="single" w:sz="4" w:space="0" w:color="000000"/>
              <w:right w:val="single" w:sz="4" w:space="0" w:color="000000"/>
            </w:tcBorders>
            <w:vAlign w:val="center"/>
          </w:tcPr>
          <w:p w14:paraId="0CBA918E" w14:textId="77777777" w:rsidR="0035611D" w:rsidRDefault="00A6742D">
            <w:pPr>
              <w:spacing w:before="0" w:after="0" w:line="240" w:lineRule="auto"/>
              <w:jc w:val="right"/>
              <w:rPr>
                <w:rFonts w:ascii="Arial" w:eastAsia="Arial" w:hAnsi="Arial" w:cs="Arial"/>
                <w:color w:val="000000"/>
              </w:rPr>
            </w:pPr>
            <w:r>
              <w:rPr>
                <w:rFonts w:ascii="Arial" w:eastAsia="Arial" w:hAnsi="Arial" w:cs="Arial"/>
                <w:color w:val="000000"/>
              </w:rPr>
              <w:t>10.00</w:t>
            </w:r>
          </w:p>
        </w:tc>
        <w:tc>
          <w:tcPr>
            <w:tcW w:w="2691" w:type="dxa"/>
            <w:tcBorders>
              <w:top w:val="nil"/>
              <w:left w:val="nil"/>
              <w:bottom w:val="single" w:sz="4" w:space="0" w:color="000000"/>
              <w:right w:val="single" w:sz="4" w:space="0" w:color="000000"/>
            </w:tcBorders>
            <w:vAlign w:val="center"/>
          </w:tcPr>
          <w:p w14:paraId="6C6E9F98"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 </w:t>
            </w:r>
          </w:p>
        </w:tc>
        <w:tc>
          <w:tcPr>
            <w:tcW w:w="1767" w:type="dxa"/>
            <w:tcBorders>
              <w:top w:val="nil"/>
              <w:left w:val="nil"/>
              <w:bottom w:val="nil"/>
              <w:right w:val="nil"/>
            </w:tcBorders>
            <w:vAlign w:val="bottom"/>
          </w:tcPr>
          <w:p w14:paraId="6AED6E19" w14:textId="77777777" w:rsidR="0035611D" w:rsidRDefault="0035611D">
            <w:pPr>
              <w:spacing w:before="0" w:after="0" w:line="240" w:lineRule="auto"/>
              <w:jc w:val="center"/>
              <w:rPr>
                <w:rFonts w:ascii="Arial" w:eastAsia="Arial" w:hAnsi="Arial" w:cs="Arial"/>
                <w:color w:val="000000"/>
              </w:rPr>
            </w:pPr>
          </w:p>
        </w:tc>
      </w:tr>
      <w:tr w:rsidR="0035611D" w14:paraId="7142C7EC" w14:textId="77777777">
        <w:trPr>
          <w:trHeight w:val="312"/>
          <w:jc w:val="center"/>
        </w:trPr>
        <w:tc>
          <w:tcPr>
            <w:tcW w:w="4566" w:type="dxa"/>
            <w:gridSpan w:val="3"/>
            <w:tcBorders>
              <w:top w:val="single" w:sz="4" w:space="0" w:color="000000"/>
              <w:left w:val="single" w:sz="4" w:space="0" w:color="000000"/>
              <w:bottom w:val="single" w:sz="4" w:space="0" w:color="000000"/>
              <w:right w:val="single" w:sz="4" w:space="0" w:color="000000"/>
            </w:tcBorders>
            <w:shd w:val="clear" w:color="auto" w:fill="66FFFF"/>
            <w:vAlign w:val="center"/>
          </w:tcPr>
          <w:p w14:paraId="38267CF2"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 xml:space="preserve">"Accounting Rate of Return (ARR) of Project B" </w:t>
            </w:r>
          </w:p>
        </w:tc>
        <w:tc>
          <w:tcPr>
            <w:tcW w:w="2691" w:type="dxa"/>
            <w:tcBorders>
              <w:top w:val="nil"/>
              <w:left w:val="nil"/>
              <w:bottom w:val="single" w:sz="4" w:space="0" w:color="000000"/>
              <w:right w:val="single" w:sz="4" w:space="0" w:color="000000"/>
            </w:tcBorders>
            <w:shd w:val="clear" w:color="auto" w:fill="66FFFF"/>
            <w:vAlign w:val="center"/>
          </w:tcPr>
          <w:p w14:paraId="37942CD3"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2.00%</w:t>
            </w:r>
          </w:p>
        </w:tc>
        <w:tc>
          <w:tcPr>
            <w:tcW w:w="1767" w:type="dxa"/>
            <w:tcBorders>
              <w:top w:val="nil"/>
              <w:left w:val="nil"/>
              <w:bottom w:val="nil"/>
              <w:right w:val="nil"/>
            </w:tcBorders>
            <w:vAlign w:val="bottom"/>
          </w:tcPr>
          <w:p w14:paraId="4A887D7C" w14:textId="77777777" w:rsidR="0035611D" w:rsidRDefault="0035611D">
            <w:pPr>
              <w:spacing w:before="0" w:after="0" w:line="240" w:lineRule="auto"/>
              <w:jc w:val="center"/>
              <w:rPr>
                <w:rFonts w:ascii="Arial" w:eastAsia="Arial" w:hAnsi="Arial" w:cs="Arial"/>
                <w:b/>
                <w:bCs/>
                <w:color w:val="000000"/>
              </w:rPr>
            </w:pPr>
          </w:p>
        </w:tc>
      </w:tr>
    </w:tbl>
    <w:p w14:paraId="29FCACAF" w14:textId="77777777" w:rsidR="0035611D" w:rsidRDefault="00A6742D">
      <w:pPr>
        <w:spacing w:before="200" w:after="200"/>
        <w:jc w:val="center"/>
        <w:rPr>
          <w:rFonts w:ascii="Arial" w:eastAsia="Arial" w:hAnsi="Arial" w:cs="Arial"/>
        </w:rPr>
      </w:pPr>
      <w:r>
        <w:rPr>
          <w:rFonts w:ascii="Arial" w:eastAsia="Arial" w:hAnsi="Arial" w:cs="Arial"/>
        </w:rPr>
        <w:t>(Source: MS-Excel)</w:t>
      </w:r>
    </w:p>
    <w:p w14:paraId="5D798A77" w14:textId="77777777" w:rsidR="0035611D" w:rsidRDefault="00A6742D">
      <w:pPr>
        <w:pStyle w:val="Heading2"/>
      </w:pPr>
      <w:bookmarkStart w:id="66" w:name="_dzrkt2ejll" w:colFirst="0" w:colLast="0"/>
      <w:bookmarkEnd w:id="66"/>
      <w:r>
        <w:t>Appendix 10: Project C</w:t>
      </w:r>
    </w:p>
    <w:tbl>
      <w:tblPr>
        <w:tblStyle w:val="a1"/>
        <w:tblW w:w="9024" w:type="dxa"/>
        <w:jc w:val="center"/>
        <w:tblInd w:w="0" w:type="dxa"/>
        <w:tblLayout w:type="fixed"/>
        <w:tblLook w:val="0400" w:firstRow="0" w:lastRow="0" w:firstColumn="0" w:lastColumn="0" w:noHBand="0" w:noVBand="1"/>
      </w:tblPr>
      <w:tblGrid>
        <w:gridCol w:w="907"/>
        <w:gridCol w:w="1891"/>
        <w:gridCol w:w="1768"/>
        <w:gridCol w:w="2691"/>
        <w:gridCol w:w="1767"/>
      </w:tblGrid>
      <w:tr w:rsidR="0035611D" w14:paraId="4FF37F46" w14:textId="77777777">
        <w:trPr>
          <w:trHeight w:val="624"/>
          <w:jc w:val="center"/>
        </w:trPr>
        <w:tc>
          <w:tcPr>
            <w:tcW w:w="907"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1AC1EFB8"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"Year"</w:t>
            </w:r>
          </w:p>
        </w:tc>
        <w:tc>
          <w:tcPr>
            <w:tcW w:w="1891" w:type="dxa"/>
            <w:tcBorders>
              <w:top w:val="single" w:sz="4" w:space="0" w:color="000000"/>
              <w:left w:val="nil"/>
              <w:bottom w:val="single" w:sz="4" w:space="0" w:color="000000"/>
              <w:right w:val="single" w:sz="4" w:space="0" w:color="000000"/>
            </w:tcBorders>
            <w:shd w:val="clear" w:color="auto" w:fill="92D050"/>
            <w:vAlign w:val="center"/>
          </w:tcPr>
          <w:p w14:paraId="1D161C52"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"Cash Flow"</w:t>
            </w:r>
          </w:p>
        </w:tc>
        <w:tc>
          <w:tcPr>
            <w:tcW w:w="1768" w:type="dxa"/>
            <w:tcBorders>
              <w:top w:val="single" w:sz="4" w:space="0" w:color="000000"/>
              <w:left w:val="nil"/>
              <w:bottom w:val="single" w:sz="4" w:space="0" w:color="000000"/>
              <w:right w:val="single" w:sz="4" w:space="0" w:color="000000"/>
            </w:tcBorders>
            <w:shd w:val="clear" w:color="auto" w:fill="92D050"/>
            <w:vAlign w:val="center"/>
          </w:tcPr>
          <w:p w14:paraId="74492B49"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"Discounting Factor @10%"</w:t>
            </w:r>
          </w:p>
        </w:tc>
        <w:tc>
          <w:tcPr>
            <w:tcW w:w="2691" w:type="dxa"/>
            <w:tcBorders>
              <w:top w:val="single" w:sz="4" w:space="0" w:color="000000"/>
              <w:left w:val="nil"/>
              <w:bottom w:val="single" w:sz="4" w:space="0" w:color="000000"/>
              <w:right w:val="single" w:sz="4" w:space="0" w:color="000000"/>
            </w:tcBorders>
            <w:shd w:val="clear" w:color="auto" w:fill="92D050"/>
            <w:vAlign w:val="center"/>
          </w:tcPr>
          <w:p w14:paraId="360E83E2"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"Present Value"</w:t>
            </w:r>
          </w:p>
        </w:tc>
        <w:tc>
          <w:tcPr>
            <w:tcW w:w="1767" w:type="dxa"/>
            <w:tcBorders>
              <w:top w:val="nil"/>
              <w:left w:val="nil"/>
              <w:bottom w:val="nil"/>
              <w:right w:val="nil"/>
            </w:tcBorders>
            <w:vAlign w:val="bottom"/>
          </w:tcPr>
          <w:p w14:paraId="65E65263" w14:textId="77777777" w:rsidR="0035611D" w:rsidRDefault="0035611D">
            <w:pPr>
              <w:spacing w:before="0" w:after="0" w:line="240" w:lineRule="auto"/>
              <w:jc w:val="center"/>
              <w:rPr>
                <w:rFonts w:ascii="Arial" w:eastAsia="Arial" w:hAnsi="Arial" w:cs="Arial"/>
                <w:b/>
                <w:bCs/>
                <w:color w:val="000000"/>
              </w:rPr>
            </w:pPr>
          </w:p>
        </w:tc>
      </w:tr>
      <w:tr w:rsidR="0035611D" w14:paraId="568218A3"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4B667C11"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w:t>
            </w:r>
          </w:p>
        </w:tc>
        <w:tc>
          <w:tcPr>
            <w:tcW w:w="1891" w:type="dxa"/>
            <w:tcBorders>
              <w:top w:val="nil"/>
              <w:left w:val="nil"/>
              <w:bottom w:val="single" w:sz="4" w:space="0" w:color="000000"/>
              <w:right w:val="single" w:sz="4" w:space="0" w:color="000000"/>
            </w:tcBorders>
            <w:vAlign w:val="bottom"/>
          </w:tcPr>
          <w:p w14:paraId="35B277A3"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1768" w:type="dxa"/>
            <w:tcBorders>
              <w:top w:val="nil"/>
              <w:left w:val="nil"/>
              <w:bottom w:val="single" w:sz="4" w:space="0" w:color="000000"/>
              <w:right w:val="single" w:sz="4" w:space="0" w:color="000000"/>
            </w:tcBorders>
            <w:vAlign w:val="bottom"/>
          </w:tcPr>
          <w:p w14:paraId="1AA46B6E"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1.000</w:t>
            </w:r>
          </w:p>
        </w:tc>
        <w:tc>
          <w:tcPr>
            <w:tcW w:w="2691" w:type="dxa"/>
            <w:tcBorders>
              <w:top w:val="nil"/>
              <w:left w:val="nil"/>
              <w:bottom w:val="single" w:sz="4" w:space="0" w:color="000000"/>
              <w:right w:val="single" w:sz="4" w:space="0" w:color="000000"/>
            </w:tcBorders>
            <w:vAlign w:val="bottom"/>
          </w:tcPr>
          <w:p w14:paraId="30BA0BD1"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1767" w:type="dxa"/>
            <w:tcBorders>
              <w:top w:val="nil"/>
              <w:left w:val="nil"/>
              <w:bottom w:val="nil"/>
              <w:right w:val="nil"/>
            </w:tcBorders>
            <w:vAlign w:val="bottom"/>
          </w:tcPr>
          <w:p w14:paraId="6C6414E2" w14:textId="77777777" w:rsidR="0035611D" w:rsidRDefault="0035611D">
            <w:pPr>
              <w:spacing w:before="0" w:after="0" w:line="240" w:lineRule="auto"/>
              <w:jc w:val="center"/>
              <w:rPr>
                <w:rFonts w:ascii="Arial" w:eastAsia="Arial" w:hAnsi="Arial" w:cs="Arial"/>
                <w:color w:val="000000"/>
              </w:rPr>
            </w:pPr>
          </w:p>
        </w:tc>
      </w:tr>
      <w:tr w:rsidR="0035611D" w14:paraId="4F78EDF0"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57F80CB1"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w:t>
            </w:r>
          </w:p>
        </w:tc>
        <w:tc>
          <w:tcPr>
            <w:tcW w:w="1891" w:type="dxa"/>
            <w:tcBorders>
              <w:top w:val="nil"/>
              <w:left w:val="nil"/>
              <w:bottom w:val="single" w:sz="4" w:space="0" w:color="000000"/>
              <w:right w:val="single" w:sz="4" w:space="0" w:color="000000"/>
            </w:tcBorders>
            <w:vAlign w:val="bottom"/>
          </w:tcPr>
          <w:p w14:paraId="620BB638"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5.00 </w:t>
            </w:r>
          </w:p>
        </w:tc>
        <w:tc>
          <w:tcPr>
            <w:tcW w:w="1768" w:type="dxa"/>
            <w:tcBorders>
              <w:top w:val="nil"/>
              <w:left w:val="nil"/>
              <w:bottom w:val="single" w:sz="4" w:space="0" w:color="000000"/>
              <w:right w:val="single" w:sz="4" w:space="0" w:color="000000"/>
            </w:tcBorders>
            <w:vAlign w:val="bottom"/>
          </w:tcPr>
          <w:p w14:paraId="765A6CF7"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0.909</w:t>
            </w:r>
          </w:p>
        </w:tc>
        <w:tc>
          <w:tcPr>
            <w:tcW w:w="2691" w:type="dxa"/>
            <w:tcBorders>
              <w:top w:val="nil"/>
              <w:left w:val="nil"/>
              <w:bottom w:val="single" w:sz="4" w:space="0" w:color="000000"/>
              <w:right w:val="single" w:sz="4" w:space="0" w:color="000000"/>
            </w:tcBorders>
            <w:vAlign w:val="bottom"/>
          </w:tcPr>
          <w:p w14:paraId="06132BC8"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4.55 </w:t>
            </w:r>
          </w:p>
        </w:tc>
        <w:tc>
          <w:tcPr>
            <w:tcW w:w="1767" w:type="dxa"/>
            <w:tcBorders>
              <w:top w:val="nil"/>
              <w:left w:val="nil"/>
              <w:bottom w:val="nil"/>
              <w:right w:val="nil"/>
            </w:tcBorders>
            <w:vAlign w:val="bottom"/>
          </w:tcPr>
          <w:p w14:paraId="28834849" w14:textId="77777777" w:rsidR="0035611D" w:rsidRDefault="0035611D">
            <w:pPr>
              <w:spacing w:before="0" w:after="0" w:line="240" w:lineRule="auto"/>
              <w:jc w:val="center"/>
              <w:rPr>
                <w:rFonts w:ascii="Arial" w:eastAsia="Arial" w:hAnsi="Arial" w:cs="Arial"/>
                <w:color w:val="000000"/>
              </w:rPr>
            </w:pPr>
          </w:p>
        </w:tc>
      </w:tr>
      <w:tr w:rsidR="0035611D" w14:paraId="0F912A1F"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6D4CECB9"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2</w:t>
            </w:r>
          </w:p>
        </w:tc>
        <w:tc>
          <w:tcPr>
            <w:tcW w:w="1891" w:type="dxa"/>
            <w:tcBorders>
              <w:top w:val="nil"/>
              <w:left w:val="nil"/>
              <w:bottom w:val="single" w:sz="4" w:space="0" w:color="000000"/>
              <w:right w:val="single" w:sz="4" w:space="0" w:color="000000"/>
            </w:tcBorders>
            <w:vAlign w:val="bottom"/>
          </w:tcPr>
          <w:p w14:paraId="3B225B8F"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10.00 </w:t>
            </w:r>
          </w:p>
        </w:tc>
        <w:tc>
          <w:tcPr>
            <w:tcW w:w="1768" w:type="dxa"/>
            <w:tcBorders>
              <w:top w:val="nil"/>
              <w:left w:val="nil"/>
              <w:bottom w:val="single" w:sz="4" w:space="0" w:color="000000"/>
              <w:right w:val="single" w:sz="4" w:space="0" w:color="000000"/>
            </w:tcBorders>
            <w:vAlign w:val="bottom"/>
          </w:tcPr>
          <w:p w14:paraId="301F5B6F"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0.826</w:t>
            </w:r>
          </w:p>
        </w:tc>
        <w:tc>
          <w:tcPr>
            <w:tcW w:w="2691" w:type="dxa"/>
            <w:tcBorders>
              <w:top w:val="nil"/>
              <w:left w:val="nil"/>
              <w:bottom w:val="single" w:sz="4" w:space="0" w:color="000000"/>
              <w:right w:val="single" w:sz="4" w:space="0" w:color="000000"/>
            </w:tcBorders>
            <w:vAlign w:val="bottom"/>
          </w:tcPr>
          <w:p w14:paraId="3E038D09"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8.26 </w:t>
            </w:r>
          </w:p>
        </w:tc>
        <w:tc>
          <w:tcPr>
            <w:tcW w:w="1767" w:type="dxa"/>
            <w:tcBorders>
              <w:top w:val="nil"/>
              <w:left w:val="nil"/>
              <w:bottom w:val="nil"/>
              <w:right w:val="nil"/>
            </w:tcBorders>
            <w:vAlign w:val="bottom"/>
          </w:tcPr>
          <w:p w14:paraId="294678B3" w14:textId="77777777" w:rsidR="0035611D" w:rsidRDefault="0035611D">
            <w:pPr>
              <w:spacing w:before="0" w:after="0" w:line="240" w:lineRule="auto"/>
              <w:jc w:val="center"/>
              <w:rPr>
                <w:rFonts w:ascii="Arial" w:eastAsia="Arial" w:hAnsi="Arial" w:cs="Arial"/>
                <w:color w:val="000000"/>
              </w:rPr>
            </w:pPr>
          </w:p>
        </w:tc>
      </w:tr>
      <w:tr w:rsidR="0035611D" w14:paraId="445D2AC9"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4F09987D"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3</w:t>
            </w:r>
          </w:p>
        </w:tc>
        <w:tc>
          <w:tcPr>
            <w:tcW w:w="1891" w:type="dxa"/>
            <w:tcBorders>
              <w:top w:val="nil"/>
              <w:left w:val="nil"/>
              <w:bottom w:val="single" w:sz="4" w:space="0" w:color="000000"/>
              <w:right w:val="single" w:sz="4" w:space="0" w:color="000000"/>
            </w:tcBorders>
            <w:vAlign w:val="bottom"/>
          </w:tcPr>
          <w:p w14:paraId="3E2BDA36"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20.00 </w:t>
            </w:r>
          </w:p>
        </w:tc>
        <w:tc>
          <w:tcPr>
            <w:tcW w:w="1768" w:type="dxa"/>
            <w:tcBorders>
              <w:top w:val="nil"/>
              <w:left w:val="nil"/>
              <w:bottom w:val="single" w:sz="4" w:space="0" w:color="000000"/>
              <w:right w:val="single" w:sz="4" w:space="0" w:color="000000"/>
            </w:tcBorders>
            <w:vAlign w:val="bottom"/>
          </w:tcPr>
          <w:p w14:paraId="335F2B8D"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0.751</w:t>
            </w:r>
          </w:p>
        </w:tc>
        <w:tc>
          <w:tcPr>
            <w:tcW w:w="2691" w:type="dxa"/>
            <w:tcBorders>
              <w:top w:val="nil"/>
              <w:left w:val="nil"/>
              <w:bottom w:val="single" w:sz="4" w:space="0" w:color="000000"/>
              <w:right w:val="single" w:sz="4" w:space="0" w:color="000000"/>
            </w:tcBorders>
            <w:vAlign w:val="bottom"/>
          </w:tcPr>
          <w:p w14:paraId="6516833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15.03 </w:t>
            </w:r>
          </w:p>
        </w:tc>
        <w:tc>
          <w:tcPr>
            <w:tcW w:w="1767" w:type="dxa"/>
            <w:tcBorders>
              <w:top w:val="nil"/>
              <w:left w:val="nil"/>
              <w:bottom w:val="nil"/>
              <w:right w:val="nil"/>
            </w:tcBorders>
            <w:vAlign w:val="bottom"/>
          </w:tcPr>
          <w:p w14:paraId="2BB470EE" w14:textId="77777777" w:rsidR="0035611D" w:rsidRDefault="0035611D">
            <w:pPr>
              <w:spacing w:before="0" w:after="0" w:line="240" w:lineRule="auto"/>
              <w:jc w:val="center"/>
              <w:rPr>
                <w:rFonts w:ascii="Arial" w:eastAsia="Arial" w:hAnsi="Arial" w:cs="Arial"/>
                <w:color w:val="000000"/>
              </w:rPr>
            </w:pPr>
          </w:p>
        </w:tc>
      </w:tr>
      <w:tr w:rsidR="0035611D" w14:paraId="0C216027"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453F3012"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4</w:t>
            </w:r>
          </w:p>
        </w:tc>
        <w:tc>
          <w:tcPr>
            <w:tcW w:w="1891" w:type="dxa"/>
            <w:tcBorders>
              <w:top w:val="nil"/>
              <w:left w:val="nil"/>
              <w:bottom w:val="single" w:sz="4" w:space="0" w:color="000000"/>
              <w:right w:val="single" w:sz="4" w:space="0" w:color="000000"/>
            </w:tcBorders>
            <w:vAlign w:val="bottom"/>
          </w:tcPr>
          <w:p w14:paraId="2423EE38"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25.00 </w:t>
            </w:r>
          </w:p>
        </w:tc>
        <w:tc>
          <w:tcPr>
            <w:tcW w:w="1768" w:type="dxa"/>
            <w:tcBorders>
              <w:top w:val="nil"/>
              <w:left w:val="nil"/>
              <w:bottom w:val="single" w:sz="4" w:space="0" w:color="000000"/>
              <w:right w:val="single" w:sz="4" w:space="0" w:color="000000"/>
            </w:tcBorders>
            <w:vAlign w:val="bottom"/>
          </w:tcPr>
          <w:p w14:paraId="11769F5B"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0.683</w:t>
            </w:r>
          </w:p>
        </w:tc>
        <w:tc>
          <w:tcPr>
            <w:tcW w:w="2691" w:type="dxa"/>
            <w:tcBorders>
              <w:top w:val="nil"/>
              <w:left w:val="nil"/>
              <w:bottom w:val="single" w:sz="4" w:space="0" w:color="000000"/>
              <w:right w:val="single" w:sz="4" w:space="0" w:color="000000"/>
            </w:tcBorders>
            <w:vAlign w:val="bottom"/>
          </w:tcPr>
          <w:p w14:paraId="0ECC24B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17.08 </w:t>
            </w:r>
          </w:p>
        </w:tc>
        <w:tc>
          <w:tcPr>
            <w:tcW w:w="1767" w:type="dxa"/>
            <w:tcBorders>
              <w:top w:val="nil"/>
              <w:left w:val="nil"/>
              <w:bottom w:val="nil"/>
              <w:right w:val="nil"/>
            </w:tcBorders>
            <w:vAlign w:val="bottom"/>
          </w:tcPr>
          <w:p w14:paraId="48A8BB2C" w14:textId="77777777" w:rsidR="0035611D" w:rsidRDefault="0035611D">
            <w:pPr>
              <w:spacing w:before="0" w:after="0" w:line="240" w:lineRule="auto"/>
              <w:jc w:val="center"/>
              <w:rPr>
                <w:rFonts w:ascii="Arial" w:eastAsia="Arial" w:hAnsi="Arial" w:cs="Arial"/>
                <w:color w:val="000000"/>
              </w:rPr>
            </w:pPr>
          </w:p>
        </w:tc>
      </w:tr>
      <w:tr w:rsidR="0035611D" w14:paraId="05EB955B"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7772717C"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5</w:t>
            </w:r>
          </w:p>
        </w:tc>
        <w:tc>
          <w:tcPr>
            <w:tcW w:w="1891" w:type="dxa"/>
            <w:tcBorders>
              <w:top w:val="nil"/>
              <w:left w:val="nil"/>
              <w:bottom w:val="single" w:sz="4" w:space="0" w:color="000000"/>
              <w:right w:val="single" w:sz="4" w:space="0" w:color="000000"/>
            </w:tcBorders>
            <w:vAlign w:val="bottom"/>
          </w:tcPr>
          <w:p w14:paraId="7C78A086"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5.00 </w:t>
            </w:r>
          </w:p>
        </w:tc>
        <w:tc>
          <w:tcPr>
            <w:tcW w:w="1768" w:type="dxa"/>
            <w:tcBorders>
              <w:top w:val="nil"/>
              <w:left w:val="nil"/>
              <w:bottom w:val="single" w:sz="4" w:space="0" w:color="000000"/>
              <w:right w:val="single" w:sz="4" w:space="0" w:color="000000"/>
            </w:tcBorders>
            <w:vAlign w:val="bottom"/>
          </w:tcPr>
          <w:p w14:paraId="3AB325E6"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0.621</w:t>
            </w:r>
          </w:p>
        </w:tc>
        <w:tc>
          <w:tcPr>
            <w:tcW w:w="2691" w:type="dxa"/>
            <w:tcBorders>
              <w:top w:val="nil"/>
              <w:left w:val="nil"/>
              <w:bottom w:val="single" w:sz="4" w:space="0" w:color="000000"/>
              <w:right w:val="single" w:sz="4" w:space="0" w:color="000000"/>
            </w:tcBorders>
            <w:vAlign w:val="bottom"/>
          </w:tcPr>
          <w:p w14:paraId="05C1ADB8"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3.10 </w:t>
            </w:r>
          </w:p>
        </w:tc>
        <w:tc>
          <w:tcPr>
            <w:tcW w:w="1767" w:type="dxa"/>
            <w:tcBorders>
              <w:top w:val="nil"/>
              <w:left w:val="nil"/>
              <w:bottom w:val="nil"/>
              <w:right w:val="nil"/>
            </w:tcBorders>
            <w:vAlign w:val="bottom"/>
          </w:tcPr>
          <w:p w14:paraId="7232120E" w14:textId="77777777" w:rsidR="0035611D" w:rsidRDefault="0035611D">
            <w:pPr>
              <w:spacing w:before="0" w:after="0" w:line="240" w:lineRule="auto"/>
              <w:jc w:val="center"/>
              <w:rPr>
                <w:rFonts w:ascii="Arial" w:eastAsia="Arial" w:hAnsi="Arial" w:cs="Arial"/>
                <w:color w:val="000000"/>
              </w:rPr>
            </w:pPr>
          </w:p>
        </w:tc>
      </w:tr>
      <w:tr w:rsidR="0035611D" w14:paraId="751739AE" w14:textId="77777777">
        <w:trPr>
          <w:trHeight w:val="312"/>
          <w:jc w:val="center"/>
        </w:trPr>
        <w:tc>
          <w:tcPr>
            <w:tcW w:w="4566" w:type="dxa"/>
            <w:gridSpan w:val="3"/>
            <w:vMerge w:val="restart"/>
            <w:tcBorders>
              <w:top w:val="single" w:sz="4" w:space="0" w:color="000000"/>
              <w:left w:val="single" w:sz="4" w:space="0" w:color="000000"/>
              <w:bottom w:val="nil"/>
              <w:right w:val="single" w:sz="4" w:space="0" w:color="000000"/>
            </w:tcBorders>
            <w:shd w:val="clear" w:color="auto" w:fill="92D050"/>
            <w:vAlign w:val="center"/>
          </w:tcPr>
          <w:p w14:paraId="39CD77AF"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"Net Present Value (NPV) of Project C"</w:t>
            </w:r>
          </w:p>
        </w:tc>
        <w:tc>
          <w:tcPr>
            <w:tcW w:w="2691" w:type="dxa"/>
            <w:vMerge w:val="restart"/>
            <w:tcBorders>
              <w:top w:val="nil"/>
              <w:left w:val="single" w:sz="4" w:space="0" w:color="000000"/>
              <w:bottom w:val="nil"/>
              <w:right w:val="single" w:sz="4" w:space="0" w:color="000000"/>
            </w:tcBorders>
            <w:shd w:val="clear" w:color="auto" w:fill="92D050"/>
            <w:vAlign w:val="center"/>
          </w:tcPr>
          <w:p w14:paraId="1A75542F"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 xml:space="preserve">-£                              1.98 </w:t>
            </w:r>
          </w:p>
        </w:tc>
        <w:tc>
          <w:tcPr>
            <w:tcW w:w="1767" w:type="dxa"/>
            <w:tcBorders>
              <w:top w:val="nil"/>
              <w:left w:val="nil"/>
              <w:bottom w:val="nil"/>
              <w:right w:val="nil"/>
            </w:tcBorders>
            <w:vAlign w:val="bottom"/>
          </w:tcPr>
          <w:p w14:paraId="222B6039" w14:textId="77777777" w:rsidR="0035611D" w:rsidRDefault="0035611D">
            <w:pPr>
              <w:spacing w:before="0" w:after="0" w:line="240" w:lineRule="auto"/>
              <w:jc w:val="center"/>
              <w:rPr>
                <w:rFonts w:ascii="Arial" w:eastAsia="Arial" w:hAnsi="Arial" w:cs="Arial"/>
                <w:b/>
                <w:bCs/>
                <w:color w:val="000000"/>
              </w:rPr>
            </w:pPr>
          </w:p>
        </w:tc>
      </w:tr>
      <w:tr w:rsidR="0035611D" w14:paraId="39940662" w14:textId="77777777">
        <w:trPr>
          <w:trHeight w:val="312"/>
          <w:jc w:val="center"/>
        </w:trPr>
        <w:tc>
          <w:tcPr>
            <w:tcW w:w="4566" w:type="dxa"/>
            <w:gridSpan w:val="3"/>
            <w:vMerge/>
            <w:tcBorders>
              <w:top w:val="single" w:sz="4" w:space="0" w:color="000000"/>
              <w:left w:val="single" w:sz="4" w:space="0" w:color="000000"/>
              <w:bottom w:val="nil"/>
              <w:right w:val="single" w:sz="4" w:space="0" w:color="000000"/>
            </w:tcBorders>
            <w:shd w:val="clear" w:color="auto" w:fill="92D050"/>
            <w:vAlign w:val="center"/>
          </w:tcPr>
          <w:p w14:paraId="170CB349" w14:textId="77777777" w:rsidR="0035611D" w:rsidRDefault="0035611D">
            <w:pPr>
              <w:widowControl w:val="0"/>
              <w:pBdr>
                <w:top w:val="nil"/>
                <w:left w:val="nil"/>
                <w:bottom w:val="nil"/>
                <w:right w:val="nil"/>
                <w:between w:val="nil"/>
              </w:pBdr>
              <w:spacing w:before="0" w:after="0" w:line="276" w:lineRule="auto"/>
              <w:jc w:val="left"/>
              <w:rPr>
                <w:rFonts w:ascii="Arial" w:eastAsia="Arial" w:hAnsi="Arial" w:cs="Arial"/>
                <w:b/>
                <w:bCs/>
                <w:color w:val="000000"/>
              </w:rPr>
            </w:pPr>
          </w:p>
        </w:tc>
        <w:tc>
          <w:tcPr>
            <w:tcW w:w="2691" w:type="dxa"/>
            <w:vMerge/>
            <w:tcBorders>
              <w:top w:val="nil"/>
              <w:left w:val="single" w:sz="4" w:space="0" w:color="000000"/>
              <w:bottom w:val="nil"/>
              <w:right w:val="single" w:sz="4" w:space="0" w:color="000000"/>
            </w:tcBorders>
            <w:shd w:val="clear" w:color="auto" w:fill="92D050"/>
            <w:vAlign w:val="center"/>
          </w:tcPr>
          <w:p w14:paraId="5D46C0B9" w14:textId="77777777" w:rsidR="0035611D" w:rsidRDefault="0035611D">
            <w:pPr>
              <w:widowControl w:val="0"/>
              <w:pBdr>
                <w:top w:val="nil"/>
                <w:left w:val="nil"/>
                <w:bottom w:val="nil"/>
                <w:right w:val="nil"/>
                <w:between w:val="nil"/>
              </w:pBdr>
              <w:spacing w:before="0" w:after="0" w:line="276" w:lineRule="auto"/>
              <w:jc w:val="left"/>
              <w:rPr>
                <w:rFonts w:ascii="Arial" w:eastAsia="Arial" w:hAnsi="Arial" w:cs="Arial"/>
                <w:b/>
                <w:bCs/>
                <w:color w:val="000000"/>
              </w:rPr>
            </w:pPr>
          </w:p>
        </w:tc>
        <w:tc>
          <w:tcPr>
            <w:tcW w:w="1767" w:type="dxa"/>
            <w:tcBorders>
              <w:top w:val="nil"/>
              <w:left w:val="nil"/>
              <w:bottom w:val="nil"/>
              <w:right w:val="nil"/>
            </w:tcBorders>
            <w:vAlign w:val="bottom"/>
          </w:tcPr>
          <w:p w14:paraId="7E5C64CD" w14:textId="77777777" w:rsidR="0035611D" w:rsidRDefault="0035611D">
            <w:pPr>
              <w:spacing w:before="0" w:after="0" w:line="240" w:lineRule="auto"/>
              <w:jc w:val="left"/>
              <w:rPr>
                <w:sz w:val="20"/>
                <w:szCs w:val="20"/>
              </w:rPr>
            </w:pPr>
          </w:p>
        </w:tc>
      </w:tr>
      <w:tr w:rsidR="0035611D" w14:paraId="2DF1E838" w14:textId="77777777">
        <w:trPr>
          <w:trHeight w:val="312"/>
          <w:jc w:val="center"/>
        </w:trPr>
        <w:tc>
          <w:tcPr>
            <w:tcW w:w="4566" w:type="dxa"/>
            <w:gridSpan w:val="3"/>
            <w:tcBorders>
              <w:top w:val="single" w:sz="4" w:space="0" w:color="000000"/>
              <w:left w:val="single" w:sz="4" w:space="0" w:color="000000"/>
              <w:bottom w:val="single" w:sz="4" w:space="0" w:color="000000"/>
              <w:right w:val="single" w:sz="4" w:space="0" w:color="000000"/>
            </w:tcBorders>
            <w:shd w:val="clear" w:color="auto" w:fill="92D050"/>
            <w:vAlign w:val="bottom"/>
          </w:tcPr>
          <w:p w14:paraId="7EC5A574"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"Profitability Index (PI) of Project C"</w:t>
            </w:r>
          </w:p>
        </w:tc>
        <w:tc>
          <w:tcPr>
            <w:tcW w:w="2691" w:type="dxa"/>
            <w:tcBorders>
              <w:top w:val="single" w:sz="4" w:space="0" w:color="000000"/>
              <w:left w:val="nil"/>
              <w:bottom w:val="single" w:sz="4" w:space="0" w:color="000000"/>
              <w:right w:val="single" w:sz="4" w:space="0" w:color="000000"/>
            </w:tcBorders>
            <w:shd w:val="clear" w:color="auto" w:fill="92D050"/>
            <w:vAlign w:val="bottom"/>
          </w:tcPr>
          <w:p w14:paraId="7F695AC2" w14:textId="77777777" w:rsidR="0035611D" w:rsidRDefault="00A6742D">
            <w:pPr>
              <w:spacing w:before="0" w:after="0" w:line="240" w:lineRule="auto"/>
              <w:jc w:val="right"/>
              <w:rPr>
                <w:rFonts w:ascii="Arial" w:eastAsia="Arial" w:hAnsi="Arial" w:cs="Arial"/>
                <w:b/>
                <w:bCs/>
                <w:color w:val="000000"/>
              </w:rPr>
            </w:pPr>
            <w:r>
              <w:rPr>
                <w:rFonts w:ascii="Arial" w:eastAsia="Arial" w:hAnsi="Arial" w:cs="Arial"/>
                <w:b/>
                <w:bCs/>
                <w:color w:val="000000"/>
              </w:rPr>
              <w:t>1.04</w:t>
            </w:r>
          </w:p>
        </w:tc>
        <w:tc>
          <w:tcPr>
            <w:tcW w:w="1767" w:type="dxa"/>
            <w:tcBorders>
              <w:top w:val="nil"/>
              <w:left w:val="nil"/>
              <w:bottom w:val="nil"/>
              <w:right w:val="nil"/>
            </w:tcBorders>
            <w:vAlign w:val="bottom"/>
          </w:tcPr>
          <w:p w14:paraId="07CBBBD7" w14:textId="77777777" w:rsidR="0035611D" w:rsidRDefault="0035611D">
            <w:pPr>
              <w:spacing w:before="0" w:after="0" w:line="240" w:lineRule="auto"/>
              <w:jc w:val="right"/>
              <w:rPr>
                <w:rFonts w:ascii="Arial" w:eastAsia="Arial" w:hAnsi="Arial" w:cs="Arial"/>
                <w:b/>
                <w:bCs/>
                <w:color w:val="000000"/>
              </w:rPr>
            </w:pPr>
          </w:p>
        </w:tc>
      </w:tr>
      <w:tr w:rsidR="0035611D" w14:paraId="76340CE8" w14:textId="77777777">
        <w:trPr>
          <w:trHeight w:val="312"/>
          <w:jc w:val="center"/>
        </w:trPr>
        <w:tc>
          <w:tcPr>
            <w:tcW w:w="907" w:type="dxa"/>
            <w:tcBorders>
              <w:top w:val="nil"/>
              <w:left w:val="nil"/>
              <w:bottom w:val="nil"/>
              <w:right w:val="nil"/>
            </w:tcBorders>
            <w:vAlign w:val="bottom"/>
          </w:tcPr>
          <w:p w14:paraId="34668044" w14:textId="77777777" w:rsidR="0035611D" w:rsidRDefault="0035611D">
            <w:pPr>
              <w:spacing w:before="0" w:after="0" w:line="240" w:lineRule="auto"/>
              <w:jc w:val="left"/>
              <w:rPr>
                <w:sz w:val="20"/>
                <w:szCs w:val="20"/>
              </w:rPr>
            </w:pPr>
          </w:p>
        </w:tc>
        <w:tc>
          <w:tcPr>
            <w:tcW w:w="1891" w:type="dxa"/>
            <w:tcBorders>
              <w:top w:val="nil"/>
              <w:left w:val="nil"/>
              <w:bottom w:val="nil"/>
              <w:right w:val="nil"/>
            </w:tcBorders>
            <w:vAlign w:val="bottom"/>
          </w:tcPr>
          <w:p w14:paraId="5B5374F6" w14:textId="77777777" w:rsidR="0035611D" w:rsidRDefault="0035611D">
            <w:pPr>
              <w:spacing w:before="0" w:after="0" w:line="240" w:lineRule="auto"/>
              <w:jc w:val="left"/>
              <w:rPr>
                <w:sz w:val="20"/>
                <w:szCs w:val="20"/>
              </w:rPr>
            </w:pPr>
          </w:p>
        </w:tc>
        <w:tc>
          <w:tcPr>
            <w:tcW w:w="1768" w:type="dxa"/>
            <w:tcBorders>
              <w:top w:val="nil"/>
              <w:left w:val="nil"/>
              <w:bottom w:val="nil"/>
              <w:right w:val="nil"/>
            </w:tcBorders>
            <w:vAlign w:val="bottom"/>
          </w:tcPr>
          <w:p w14:paraId="2BBAED6A" w14:textId="77777777" w:rsidR="0035611D" w:rsidRDefault="0035611D">
            <w:pPr>
              <w:spacing w:before="0" w:after="0" w:line="240" w:lineRule="auto"/>
              <w:jc w:val="left"/>
              <w:rPr>
                <w:sz w:val="20"/>
                <w:szCs w:val="20"/>
              </w:rPr>
            </w:pPr>
          </w:p>
        </w:tc>
        <w:tc>
          <w:tcPr>
            <w:tcW w:w="2691" w:type="dxa"/>
            <w:tcBorders>
              <w:top w:val="nil"/>
              <w:left w:val="nil"/>
              <w:bottom w:val="nil"/>
              <w:right w:val="nil"/>
            </w:tcBorders>
            <w:vAlign w:val="bottom"/>
          </w:tcPr>
          <w:p w14:paraId="3D32D280" w14:textId="77777777" w:rsidR="0035611D" w:rsidRDefault="0035611D">
            <w:pPr>
              <w:spacing w:before="0" w:after="0" w:line="240" w:lineRule="auto"/>
              <w:jc w:val="left"/>
              <w:rPr>
                <w:sz w:val="20"/>
                <w:szCs w:val="20"/>
              </w:rPr>
            </w:pPr>
          </w:p>
        </w:tc>
        <w:tc>
          <w:tcPr>
            <w:tcW w:w="1767" w:type="dxa"/>
            <w:tcBorders>
              <w:top w:val="nil"/>
              <w:left w:val="nil"/>
              <w:bottom w:val="nil"/>
              <w:right w:val="nil"/>
            </w:tcBorders>
            <w:vAlign w:val="bottom"/>
          </w:tcPr>
          <w:p w14:paraId="61C24DEB" w14:textId="77777777" w:rsidR="0035611D" w:rsidRDefault="0035611D">
            <w:pPr>
              <w:spacing w:before="0" w:after="0" w:line="240" w:lineRule="auto"/>
              <w:jc w:val="left"/>
              <w:rPr>
                <w:sz w:val="20"/>
                <w:szCs w:val="20"/>
              </w:rPr>
            </w:pPr>
          </w:p>
        </w:tc>
      </w:tr>
      <w:tr w:rsidR="0035611D" w14:paraId="242CED15" w14:textId="77777777">
        <w:trPr>
          <w:trHeight w:val="624"/>
          <w:jc w:val="center"/>
        </w:trPr>
        <w:tc>
          <w:tcPr>
            <w:tcW w:w="907"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45E006A2"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"Year"</w:t>
            </w:r>
          </w:p>
        </w:tc>
        <w:tc>
          <w:tcPr>
            <w:tcW w:w="1891" w:type="dxa"/>
            <w:tcBorders>
              <w:top w:val="single" w:sz="4" w:space="0" w:color="000000"/>
              <w:left w:val="nil"/>
              <w:bottom w:val="single" w:sz="4" w:space="0" w:color="000000"/>
              <w:right w:val="single" w:sz="4" w:space="0" w:color="000000"/>
            </w:tcBorders>
            <w:shd w:val="clear" w:color="auto" w:fill="92D050"/>
            <w:vAlign w:val="center"/>
          </w:tcPr>
          <w:p w14:paraId="3E6B5356"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"Cash Flow"</w:t>
            </w:r>
          </w:p>
        </w:tc>
        <w:tc>
          <w:tcPr>
            <w:tcW w:w="1768" w:type="dxa"/>
            <w:tcBorders>
              <w:top w:val="single" w:sz="4" w:space="0" w:color="000000"/>
              <w:left w:val="nil"/>
              <w:bottom w:val="single" w:sz="4" w:space="0" w:color="000000"/>
              <w:right w:val="single" w:sz="4" w:space="0" w:color="000000"/>
            </w:tcBorders>
            <w:shd w:val="clear" w:color="auto" w:fill="92D050"/>
            <w:vAlign w:val="center"/>
          </w:tcPr>
          <w:p w14:paraId="3668E5F5"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"Discounting Factor @10%"</w:t>
            </w:r>
          </w:p>
        </w:tc>
        <w:tc>
          <w:tcPr>
            <w:tcW w:w="2691" w:type="dxa"/>
            <w:tcBorders>
              <w:top w:val="single" w:sz="4" w:space="0" w:color="000000"/>
              <w:left w:val="nil"/>
              <w:bottom w:val="single" w:sz="4" w:space="0" w:color="000000"/>
              <w:right w:val="single" w:sz="4" w:space="0" w:color="000000"/>
            </w:tcBorders>
            <w:shd w:val="clear" w:color="auto" w:fill="92D050"/>
            <w:vAlign w:val="center"/>
          </w:tcPr>
          <w:p w14:paraId="714AA811"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"Present Value"</w:t>
            </w:r>
          </w:p>
        </w:tc>
        <w:tc>
          <w:tcPr>
            <w:tcW w:w="1767" w:type="dxa"/>
            <w:tcBorders>
              <w:top w:val="single" w:sz="4" w:space="0" w:color="000000"/>
              <w:left w:val="nil"/>
              <w:bottom w:val="single" w:sz="4" w:space="0" w:color="000000"/>
              <w:right w:val="single" w:sz="4" w:space="0" w:color="000000"/>
            </w:tcBorders>
            <w:shd w:val="clear" w:color="auto" w:fill="92D050"/>
            <w:vAlign w:val="center"/>
          </w:tcPr>
          <w:p w14:paraId="581E79A1" w14:textId="77777777" w:rsidR="0035611D" w:rsidRDefault="00A6742D">
            <w:pPr>
              <w:spacing w:before="0" w:after="0" w:line="240" w:lineRule="auto"/>
              <w:jc w:val="left"/>
              <w:rPr>
                <w:rFonts w:ascii="Arial" w:eastAsia="Arial" w:hAnsi="Arial" w:cs="Arial"/>
                <w:b/>
                <w:bCs/>
                <w:color w:val="000000"/>
              </w:rPr>
            </w:pPr>
            <w:r>
              <w:rPr>
                <w:rFonts w:ascii="Arial" w:eastAsia="Arial" w:hAnsi="Arial" w:cs="Arial"/>
                <w:b/>
                <w:bCs/>
                <w:color w:val="000000"/>
              </w:rPr>
              <w:t>Cumulative</w:t>
            </w:r>
          </w:p>
        </w:tc>
      </w:tr>
      <w:tr w:rsidR="0035611D" w14:paraId="10E302C4"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6A8FFF11"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w:t>
            </w:r>
          </w:p>
        </w:tc>
        <w:tc>
          <w:tcPr>
            <w:tcW w:w="1891" w:type="dxa"/>
            <w:tcBorders>
              <w:top w:val="nil"/>
              <w:left w:val="nil"/>
              <w:bottom w:val="single" w:sz="4" w:space="0" w:color="000000"/>
              <w:right w:val="single" w:sz="4" w:space="0" w:color="000000"/>
            </w:tcBorders>
            <w:vAlign w:val="bottom"/>
          </w:tcPr>
          <w:p w14:paraId="3139111C"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1768" w:type="dxa"/>
            <w:tcBorders>
              <w:top w:val="nil"/>
              <w:left w:val="nil"/>
              <w:bottom w:val="single" w:sz="4" w:space="0" w:color="000000"/>
              <w:right w:val="single" w:sz="4" w:space="0" w:color="000000"/>
            </w:tcBorders>
            <w:vAlign w:val="bottom"/>
          </w:tcPr>
          <w:p w14:paraId="75522228"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1.000</w:t>
            </w:r>
          </w:p>
        </w:tc>
        <w:tc>
          <w:tcPr>
            <w:tcW w:w="2691" w:type="dxa"/>
            <w:tcBorders>
              <w:top w:val="nil"/>
              <w:left w:val="nil"/>
              <w:bottom w:val="single" w:sz="4" w:space="0" w:color="000000"/>
              <w:right w:val="single" w:sz="4" w:space="0" w:color="000000"/>
            </w:tcBorders>
            <w:vAlign w:val="bottom"/>
          </w:tcPr>
          <w:p w14:paraId="6AF5413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1767" w:type="dxa"/>
            <w:tcBorders>
              <w:top w:val="nil"/>
              <w:left w:val="nil"/>
              <w:bottom w:val="single" w:sz="4" w:space="0" w:color="000000"/>
              <w:right w:val="single" w:sz="4" w:space="0" w:color="000000"/>
            </w:tcBorders>
            <w:vAlign w:val="bottom"/>
          </w:tcPr>
          <w:p w14:paraId="5DD35EA7" w14:textId="77777777" w:rsidR="0035611D" w:rsidRDefault="00A6742D">
            <w:pPr>
              <w:spacing w:before="0" w:after="0" w:line="240" w:lineRule="auto"/>
              <w:jc w:val="left"/>
              <w:rPr>
                <w:rFonts w:ascii="Arial" w:eastAsia="Arial" w:hAnsi="Arial" w:cs="Arial"/>
                <w:color w:val="000000"/>
              </w:rPr>
            </w:pPr>
            <w:r>
              <w:rPr>
                <w:rFonts w:ascii="Arial" w:eastAsia="Arial" w:hAnsi="Arial" w:cs="Arial"/>
                <w:color w:val="000000"/>
              </w:rPr>
              <w:t xml:space="preserve">-£             50.00 </w:t>
            </w:r>
          </w:p>
        </w:tc>
      </w:tr>
      <w:tr w:rsidR="0035611D" w14:paraId="3A11136C"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6FEDC15D"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w:t>
            </w:r>
          </w:p>
        </w:tc>
        <w:tc>
          <w:tcPr>
            <w:tcW w:w="1891" w:type="dxa"/>
            <w:tcBorders>
              <w:top w:val="nil"/>
              <w:left w:val="nil"/>
              <w:bottom w:val="single" w:sz="4" w:space="0" w:color="000000"/>
              <w:right w:val="single" w:sz="4" w:space="0" w:color="000000"/>
            </w:tcBorders>
            <w:vAlign w:val="bottom"/>
          </w:tcPr>
          <w:p w14:paraId="0F1FF46A"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5.00 </w:t>
            </w:r>
          </w:p>
        </w:tc>
        <w:tc>
          <w:tcPr>
            <w:tcW w:w="1768" w:type="dxa"/>
            <w:tcBorders>
              <w:top w:val="nil"/>
              <w:left w:val="nil"/>
              <w:bottom w:val="single" w:sz="4" w:space="0" w:color="000000"/>
              <w:right w:val="single" w:sz="4" w:space="0" w:color="000000"/>
            </w:tcBorders>
            <w:vAlign w:val="bottom"/>
          </w:tcPr>
          <w:p w14:paraId="57F04213"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0.909</w:t>
            </w:r>
          </w:p>
        </w:tc>
        <w:tc>
          <w:tcPr>
            <w:tcW w:w="2691" w:type="dxa"/>
            <w:tcBorders>
              <w:top w:val="nil"/>
              <w:left w:val="nil"/>
              <w:bottom w:val="single" w:sz="4" w:space="0" w:color="000000"/>
              <w:right w:val="single" w:sz="4" w:space="0" w:color="000000"/>
            </w:tcBorders>
            <w:vAlign w:val="bottom"/>
          </w:tcPr>
          <w:p w14:paraId="3723BC41"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4.55 </w:t>
            </w:r>
          </w:p>
        </w:tc>
        <w:tc>
          <w:tcPr>
            <w:tcW w:w="1767" w:type="dxa"/>
            <w:tcBorders>
              <w:top w:val="nil"/>
              <w:left w:val="nil"/>
              <w:bottom w:val="single" w:sz="4" w:space="0" w:color="000000"/>
              <w:right w:val="single" w:sz="4" w:space="0" w:color="000000"/>
            </w:tcBorders>
            <w:vAlign w:val="bottom"/>
          </w:tcPr>
          <w:p w14:paraId="70F9CBEC" w14:textId="77777777" w:rsidR="0035611D" w:rsidRDefault="00A6742D">
            <w:pPr>
              <w:spacing w:before="0" w:after="0" w:line="240" w:lineRule="auto"/>
              <w:jc w:val="left"/>
              <w:rPr>
                <w:rFonts w:ascii="Arial" w:eastAsia="Arial" w:hAnsi="Arial" w:cs="Arial"/>
                <w:color w:val="000000"/>
              </w:rPr>
            </w:pPr>
            <w:r>
              <w:rPr>
                <w:rFonts w:ascii="Arial" w:eastAsia="Arial" w:hAnsi="Arial" w:cs="Arial"/>
                <w:color w:val="000000"/>
              </w:rPr>
              <w:t xml:space="preserve">-£             45.45 </w:t>
            </w:r>
          </w:p>
        </w:tc>
      </w:tr>
      <w:tr w:rsidR="0035611D" w14:paraId="78668810"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3C22E549"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2</w:t>
            </w:r>
          </w:p>
        </w:tc>
        <w:tc>
          <w:tcPr>
            <w:tcW w:w="1891" w:type="dxa"/>
            <w:tcBorders>
              <w:top w:val="nil"/>
              <w:left w:val="nil"/>
              <w:bottom w:val="single" w:sz="4" w:space="0" w:color="000000"/>
              <w:right w:val="single" w:sz="4" w:space="0" w:color="000000"/>
            </w:tcBorders>
            <w:vAlign w:val="bottom"/>
          </w:tcPr>
          <w:p w14:paraId="21C2ED33"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10.00 </w:t>
            </w:r>
          </w:p>
        </w:tc>
        <w:tc>
          <w:tcPr>
            <w:tcW w:w="1768" w:type="dxa"/>
            <w:tcBorders>
              <w:top w:val="nil"/>
              <w:left w:val="nil"/>
              <w:bottom w:val="single" w:sz="4" w:space="0" w:color="000000"/>
              <w:right w:val="single" w:sz="4" w:space="0" w:color="000000"/>
            </w:tcBorders>
            <w:vAlign w:val="bottom"/>
          </w:tcPr>
          <w:p w14:paraId="4E128289"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0.826</w:t>
            </w:r>
          </w:p>
        </w:tc>
        <w:tc>
          <w:tcPr>
            <w:tcW w:w="2691" w:type="dxa"/>
            <w:tcBorders>
              <w:top w:val="nil"/>
              <w:left w:val="nil"/>
              <w:bottom w:val="single" w:sz="4" w:space="0" w:color="000000"/>
              <w:right w:val="single" w:sz="4" w:space="0" w:color="000000"/>
            </w:tcBorders>
            <w:vAlign w:val="bottom"/>
          </w:tcPr>
          <w:p w14:paraId="3726A6C6"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8.26 </w:t>
            </w:r>
          </w:p>
        </w:tc>
        <w:tc>
          <w:tcPr>
            <w:tcW w:w="1767" w:type="dxa"/>
            <w:tcBorders>
              <w:top w:val="nil"/>
              <w:left w:val="nil"/>
              <w:bottom w:val="single" w:sz="4" w:space="0" w:color="000000"/>
              <w:right w:val="single" w:sz="4" w:space="0" w:color="000000"/>
            </w:tcBorders>
            <w:vAlign w:val="bottom"/>
          </w:tcPr>
          <w:p w14:paraId="60D8CE13" w14:textId="77777777" w:rsidR="0035611D" w:rsidRDefault="00A6742D">
            <w:pPr>
              <w:spacing w:before="0" w:after="0" w:line="240" w:lineRule="auto"/>
              <w:jc w:val="left"/>
              <w:rPr>
                <w:rFonts w:ascii="Arial" w:eastAsia="Arial" w:hAnsi="Arial" w:cs="Arial"/>
                <w:color w:val="000000"/>
              </w:rPr>
            </w:pPr>
            <w:r>
              <w:rPr>
                <w:rFonts w:ascii="Arial" w:eastAsia="Arial" w:hAnsi="Arial" w:cs="Arial"/>
                <w:color w:val="000000"/>
              </w:rPr>
              <w:t xml:space="preserve">-£             37.19 </w:t>
            </w:r>
          </w:p>
        </w:tc>
      </w:tr>
      <w:tr w:rsidR="0035611D" w14:paraId="628CD8C7"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107ED3DD"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3</w:t>
            </w:r>
          </w:p>
        </w:tc>
        <w:tc>
          <w:tcPr>
            <w:tcW w:w="1891" w:type="dxa"/>
            <w:tcBorders>
              <w:top w:val="nil"/>
              <w:left w:val="nil"/>
              <w:bottom w:val="single" w:sz="4" w:space="0" w:color="000000"/>
              <w:right w:val="single" w:sz="4" w:space="0" w:color="000000"/>
            </w:tcBorders>
            <w:vAlign w:val="bottom"/>
          </w:tcPr>
          <w:p w14:paraId="6C92771C"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20.00 </w:t>
            </w:r>
          </w:p>
        </w:tc>
        <w:tc>
          <w:tcPr>
            <w:tcW w:w="1768" w:type="dxa"/>
            <w:tcBorders>
              <w:top w:val="nil"/>
              <w:left w:val="nil"/>
              <w:bottom w:val="single" w:sz="4" w:space="0" w:color="000000"/>
              <w:right w:val="single" w:sz="4" w:space="0" w:color="000000"/>
            </w:tcBorders>
            <w:vAlign w:val="bottom"/>
          </w:tcPr>
          <w:p w14:paraId="49F0655B"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0.751</w:t>
            </w:r>
          </w:p>
        </w:tc>
        <w:tc>
          <w:tcPr>
            <w:tcW w:w="2691" w:type="dxa"/>
            <w:tcBorders>
              <w:top w:val="nil"/>
              <w:left w:val="nil"/>
              <w:bottom w:val="single" w:sz="4" w:space="0" w:color="000000"/>
              <w:right w:val="single" w:sz="4" w:space="0" w:color="000000"/>
            </w:tcBorders>
            <w:vAlign w:val="bottom"/>
          </w:tcPr>
          <w:p w14:paraId="266D3B63"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15.03 </w:t>
            </w:r>
          </w:p>
        </w:tc>
        <w:tc>
          <w:tcPr>
            <w:tcW w:w="1767" w:type="dxa"/>
            <w:tcBorders>
              <w:top w:val="nil"/>
              <w:left w:val="nil"/>
              <w:bottom w:val="single" w:sz="4" w:space="0" w:color="000000"/>
              <w:right w:val="single" w:sz="4" w:space="0" w:color="000000"/>
            </w:tcBorders>
            <w:vAlign w:val="bottom"/>
          </w:tcPr>
          <w:p w14:paraId="478C0AF3" w14:textId="77777777" w:rsidR="0035611D" w:rsidRDefault="00A6742D">
            <w:pPr>
              <w:spacing w:before="0" w:after="0" w:line="240" w:lineRule="auto"/>
              <w:jc w:val="left"/>
              <w:rPr>
                <w:rFonts w:ascii="Arial" w:eastAsia="Arial" w:hAnsi="Arial" w:cs="Arial"/>
                <w:color w:val="000000"/>
              </w:rPr>
            </w:pPr>
            <w:r>
              <w:rPr>
                <w:rFonts w:ascii="Arial" w:eastAsia="Arial" w:hAnsi="Arial" w:cs="Arial"/>
                <w:color w:val="000000"/>
              </w:rPr>
              <w:t xml:space="preserve">-£             22.16 </w:t>
            </w:r>
          </w:p>
        </w:tc>
      </w:tr>
      <w:tr w:rsidR="0035611D" w14:paraId="27B645AF"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50653597"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4</w:t>
            </w:r>
          </w:p>
        </w:tc>
        <w:tc>
          <w:tcPr>
            <w:tcW w:w="1891" w:type="dxa"/>
            <w:tcBorders>
              <w:top w:val="nil"/>
              <w:left w:val="nil"/>
              <w:bottom w:val="single" w:sz="4" w:space="0" w:color="000000"/>
              <w:right w:val="single" w:sz="4" w:space="0" w:color="000000"/>
            </w:tcBorders>
            <w:vAlign w:val="bottom"/>
          </w:tcPr>
          <w:p w14:paraId="55C5BFE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25.00 </w:t>
            </w:r>
          </w:p>
        </w:tc>
        <w:tc>
          <w:tcPr>
            <w:tcW w:w="1768" w:type="dxa"/>
            <w:tcBorders>
              <w:top w:val="nil"/>
              <w:left w:val="nil"/>
              <w:bottom w:val="single" w:sz="4" w:space="0" w:color="000000"/>
              <w:right w:val="single" w:sz="4" w:space="0" w:color="000000"/>
            </w:tcBorders>
            <w:vAlign w:val="bottom"/>
          </w:tcPr>
          <w:p w14:paraId="1E5F6619"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0.683</w:t>
            </w:r>
          </w:p>
        </w:tc>
        <w:tc>
          <w:tcPr>
            <w:tcW w:w="2691" w:type="dxa"/>
            <w:tcBorders>
              <w:top w:val="nil"/>
              <w:left w:val="nil"/>
              <w:bottom w:val="single" w:sz="4" w:space="0" w:color="000000"/>
              <w:right w:val="single" w:sz="4" w:space="0" w:color="000000"/>
            </w:tcBorders>
            <w:vAlign w:val="bottom"/>
          </w:tcPr>
          <w:p w14:paraId="4CDC7F82"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17.08 </w:t>
            </w:r>
          </w:p>
        </w:tc>
        <w:tc>
          <w:tcPr>
            <w:tcW w:w="1767" w:type="dxa"/>
            <w:tcBorders>
              <w:top w:val="nil"/>
              <w:left w:val="nil"/>
              <w:bottom w:val="single" w:sz="4" w:space="0" w:color="000000"/>
              <w:right w:val="single" w:sz="4" w:space="0" w:color="000000"/>
            </w:tcBorders>
            <w:vAlign w:val="bottom"/>
          </w:tcPr>
          <w:p w14:paraId="4214816F" w14:textId="77777777" w:rsidR="0035611D" w:rsidRDefault="00A6742D">
            <w:pPr>
              <w:spacing w:before="0" w:after="0" w:line="240" w:lineRule="auto"/>
              <w:jc w:val="left"/>
              <w:rPr>
                <w:rFonts w:ascii="Arial" w:eastAsia="Arial" w:hAnsi="Arial" w:cs="Arial"/>
                <w:color w:val="000000"/>
              </w:rPr>
            </w:pPr>
            <w:r>
              <w:rPr>
                <w:rFonts w:ascii="Arial" w:eastAsia="Arial" w:hAnsi="Arial" w:cs="Arial"/>
                <w:color w:val="000000"/>
              </w:rPr>
              <w:t xml:space="preserve">-£               5.09 </w:t>
            </w:r>
          </w:p>
        </w:tc>
      </w:tr>
      <w:tr w:rsidR="0035611D" w14:paraId="7ED2B52F"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169C138F"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5</w:t>
            </w:r>
          </w:p>
        </w:tc>
        <w:tc>
          <w:tcPr>
            <w:tcW w:w="1891" w:type="dxa"/>
            <w:tcBorders>
              <w:top w:val="nil"/>
              <w:left w:val="nil"/>
              <w:bottom w:val="single" w:sz="4" w:space="0" w:color="000000"/>
              <w:right w:val="single" w:sz="4" w:space="0" w:color="000000"/>
            </w:tcBorders>
            <w:vAlign w:val="bottom"/>
          </w:tcPr>
          <w:p w14:paraId="7CA70546"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5.00 </w:t>
            </w:r>
          </w:p>
        </w:tc>
        <w:tc>
          <w:tcPr>
            <w:tcW w:w="1768" w:type="dxa"/>
            <w:tcBorders>
              <w:top w:val="nil"/>
              <w:left w:val="nil"/>
              <w:bottom w:val="single" w:sz="4" w:space="0" w:color="000000"/>
              <w:right w:val="single" w:sz="4" w:space="0" w:color="000000"/>
            </w:tcBorders>
            <w:vAlign w:val="bottom"/>
          </w:tcPr>
          <w:p w14:paraId="2E8254B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0.621</w:t>
            </w:r>
          </w:p>
        </w:tc>
        <w:tc>
          <w:tcPr>
            <w:tcW w:w="2691" w:type="dxa"/>
            <w:tcBorders>
              <w:top w:val="nil"/>
              <w:left w:val="nil"/>
              <w:bottom w:val="single" w:sz="4" w:space="0" w:color="000000"/>
              <w:right w:val="single" w:sz="4" w:space="0" w:color="000000"/>
            </w:tcBorders>
            <w:vAlign w:val="bottom"/>
          </w:tcPr>
          <w:p w14:paraId="58F8440C"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3.10 </w:t>
            </w:r>
          </w:p>
        </w:tc>
        <w:tc>
          <w:tcPr>
            <w:tcW w:w="1767" w:type="dxa"/>
            <w:tcBorders>
              <w:top w:val="nil"/>
              <w:left w:val="nil"/>
              <w:bottom w:val="single" w:sz="4" w:space="0" w:color="000000"/>
              <w:right w:val="single" w:sz="4" w:space="0" w:color="000000"/>
            </w:tcBorders>
            <w:vAlign w:val="bottom"/>
          </w:tcPr>
          <w:p w14:paraId="47576536" w14:textId="77777777" w:rsidR="0035611D" w:rsidRDefault="00A6742D">
            <w:pPr>
              <w:spacing w:before="0" w:after="0" w:line="240" w:lineRule="auto"/>
              <w:jc w:val="left"/>
              <w:rPr>
                <w:rFonts w:ascii="Arial" w:eastAsia="Arial" w:hAnsi="Arial" w:cs="Arial"/>
                <w:color w:val="000000"/>
              </w:rPr>
            </w:pPr>
            <w:r>
              <w:rPr>
                <w:rFonts w:ascii="Arial" w:eastAsia="Arial" w:hAnsi="Arial" w:cs="Arial"/>
                <w:color w:val="000000"/>
              </w:rPr>
              <w:t xml:space="preserve">-£               1.98 </w:t>
            </w:r>
          </w:p>
        </w:tc>
      </w:tr>
      <w:tr w:rsidR="0035611D" w14:paraId="7A2B22A6" w14:textId="77777777">
        <w:trPr>
          <w:trHeight w:val="312"/>
          <w:jc w:val="center"/>
        </w:trPr>
        <w:tc>
          <w:tcPr>
            <w:tcW w:w="7257" w:type="dxa"/>
            <w:gridSpan w:val="4"/>
            <w:tcBorders>
              <w:top w:val="single" w:sz="4" w:space="0" w:color="000000"/>
              <w:left w:val="single" w:sz="4" w:space="0" w:color="000000"/>
              <w:bottom w:val="single" w:sz="4" w:space="0" w:color="000000"/>
              <w:right w:val="single" w:sz="4" w:space="0" w:color="000000"/>
            </w:tcBorders>
            <w:shd w:val="clear" w:color="auto" w:fill="92D050"/>
            <w:vAlign w:val="center"/>
          </w:tcPr>
          <w:p w14:paraId="747DD3D7"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"Payback Period (PBP) of Project C"</w:t>
            </w:r>
          </w:p>
        </w:tc>
        <w:tc>
          <w:tcPr>
            <w:tcW w:w="1767" w:type="dxa"/>
            <w:tcBorders>
              <w:top w:val="nil"/>
              <w:left w:val="nil"/>
              <w:bottom w:val="single" w:sz="4" w:space="0" w:color="000000"/>
              <w:right w:val="single" w:sz="4" w:space="0" w:color="000000"/>
            </w:tcBorders>
            <w:shd w:val="clear" w:color="auto" w:fill="92D050"/>
            <w:vAlign w:val="center"/>
          </w:tcPr>
          <w:p w14:paraId="1A34E468"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Not Recovered</w:t>
            </w:r>
          </w:p>
        </w:tc>
      </w:tr>
      <w:tr w:rsidR="0035611D" w14:paraId="0AEE8ED1" w14:textId="77777777">
        <w:trPr>
          <w:trHeight w:val="312"/>
          <w:jc w:val="center"/>
        </w:trPr>
        <w:tc>
          <w:tcPr>
            <w:tcW w:w="907" w:type="dxa"/>
            <w:tcBorders>
              <w:top w:val="nil"/>
              <w:left w:val="nil"/>
              <w:bottom w:val="nil"/>
              <w:right w:val="nil"/>
            </w:tcBorders>
            <w:vAlign w:val="bottom"/>
          </w:tcPr>
          <w:p w14:paraId="63DD3556" w14:textId="77777777" w:rsidR="0035611D" w:rsidRDefault="0035611D">
            <w:pPr>
              <w:spacing w:before="0" w:after="0" w:line="240" w:lineRule="auto"/>
              <w:jc w:val="center"/>
              <w:rPr>
                <w:rFonts w:ascii="Arial" w:eastAsia="Arial" w:hAnsi="Arial" w:cs="Arial"/>
                <w:b/>
                <w:bCs/>
                <w:color w:val="000000"/>
              </w:rPr>
            </w:pPr>
          </w:p>
        </w:tc>
        <w:tc>
          <w:tcPr>
            <w:tcW w:w="1891" w:type="dxa"/>
            <w:tcBorders>
              <w:top w:val="nil"/>
              <w:left w:val="nil"/>
              <w:bottom w:val="nil"/>
              <w:right w:val="nil"/>
            </w:tcBorders>
            <w:vAlign w:val="bottom"/>
          </w:tcPr>
          <w:p w14:paraId="385407D3" w14:textId="77777777" w:rsidR="0035611D" w:rsidRDefault="0035611D">
            <w:pPr>
              <w:spacing w:before="0" w:after="0" w:line="240" w:lineRule="auto"/>
              <w:jc w:val="left"/>
              <w:rPr>
                <w:sz w:val="20"/>
                <w:szCs w:val="20"/>
              </w:rPr>
            </w:pPr>
          </w:p>
        </w:tc>
        <w:tc>
          <w:tcPr>
            <w:tcW w:w="1768" w:type="dxa"/>
            <w:tcBorders>
              <w:top w:val="nil"/>
              <w:left w:val="nil"/>
              <w:bottom w:val="nil"/>
              <w:right w:val="nil"/>
            </w:tcBorders>
            <w:vAlign w:val="bottom"/>
          </w:tcPr>
          <w:p w14:paraId="0ABCEC7E" w14:textId="77777777" w:rsidR="0035611D" w:rsidRDefault="0035611D">
            <w:pPr>
              <w:spacing w:before="0" w:after="0" w:line="240" w:lineRule="auto"/>
              <w:jc w:val="left"/>
              <w:rPr>
                <w:sz w:val="20"/>
                <w:szCs w:val="20"/>
              </w:rPr>
            </w:pPr>
          </w:p>
        </w:tc>
        <w:tc>
          <w:tcPr>
            <w:tcW w:w="2691" w:type="dxa"/>
            <w:tcBorders>
              <w:top w:val="nil"/>
              <w:left w:val="nil"/>
              <w:bottom w:val="nil"/>
              <w:right w:val="nil"/>
            </w:tcBorders>
            <w:vAlign w:val="bottom"/>
          </w:tcPr>
          <w:p w14:paraId="0CC95227" w14:textId="77777777" w:rsidR="0035611D" w:rsidRDefault="0035611D">
            <w:pPr>
              <w:spacing w:before="0" w:after="0" w:line="240" w:lineRule="auto"/>
              <w:jc w:val="left"/>
              <w:rPr>
                <w:sz w:val="20"/>
                <w:szCs w:val="20"/>
              </w:rPr>
            </w:pPr>
          </w:p>
        </w:tc>
        <w:tc>
          <w:tcPr>
            <w:tcW w:w="1767" w:type="dxa"/>
            <w:tcBorders>
              <w:top w:val="nil"/>
              <w:left w:val="nil"/>
              <w:bottom w:val="nil"/>
              <w:right w:val="nil"/>
            </w:tcBorders>
            <w:vAlign w:val="bottom"/>
          </w:tcPr>
          <w:p w14:paraId="2261545F" w14:textId="77777777" w:rsidR="0035611D" w:rsidRDefault="0035611D">
            <w:pPr>
              <w:spacing w:before="0" w:after="0" w:line="240" w:lineRule="auto"/>
              <w:jc w:val="left"/>
              <w:rPr>
                <w:sz w:val="20"/>
                <w:szCs w:val="20"/>
              </w:rPr>
            </w:pPr>
          </w:p>
        </w:tc>
      </w:tr>
      <w:tr w:rsidR="0035611D" w14:paraId="7C1BF386" w14:textId="77777777">
        <w:trPr>
          <w:trHeight w:val="624"/>
          <w:jc w:val="center"/>
        </w:trPr>
        <w:tc>
          <w:tcPr>
            <w:tcW w:w="907"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7CE99448"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Year</w:t>
            </w:r>
          </w:p>
        </w:tc>
        <w:tc>
          <w:tcPr>
            <w:tcW w:w="1891" w:type="dxa"/>
            <w:tcBorders>
              <w:top w:val="single" w:sz="4" w:space="0" w:color="000000"/>
              <w:left w:val="nil"/>
              <w:bottom w:val="single" w:sz="4" w:space="0" w:color="000000"/>
              <w:right w:val="single" w:sz="4" w:space="0" w:color="000000"/>
            </w:tcBorders>
            <w:shd w:val="clear" w:color="auto" w:fill="92D050"/>
            <w:vAlign w:val="center"/>
          </w:tcPr>
          <w:p w14:paraId="27EA7C61"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Cashflow</w:t>
            </w:r>
          </w:p>
        </w:tc>
        <w:tc>
          <w:tcPr>
            <w:tcW w:w="1768" w:type="dxa"/>
            <w:tcBorders>
              <w:top w:val="single" w:sz="4" w:space="0" w:color="000000"/>
              <w:left w:val="nil"/>
              <w:bottom w:val="single" w:sz="4" w:space="0" w:color="000000"/>
              <w:right w:val="single" w:sz="4" w:space="0" w:color="000000"/>
            </w:tcBorders>
            <w:shd w:val="clear" w:color="auto" w:fill="92D050"/>
            <w:vAlign w:val="center"/>
          </w:tcPr>
          <w:p w14:paraId="69B25034"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"Discounting Factor @10%"</w:t>
            </w:r>
          </w:p>
        </w:tc>
        <w:tc>
          <w:tcPr>
            <w:tcW w:w="2691" w:type="dxa"/>
            <w:tcBorders>
              <w:top w:val="single" w:sz="4" w:space="0" w:color="000000"/>
              <w:left w:val="nil"/>
              <w:bottom w:val="single" w:sz="4" w:space="0" w:color="000000"/>
              <w:right w:val="single" w:sz="4" w:space="0" w:color="000000"/>
            </w:tcBorders>
            <w:shd w:val="clear" w:color="auto" w:fill="92D050"/>
            <w:vAlign w:val="center"/>
          </w:tcPr>
          <w:p w14:paraId="78BBD937"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Present value</w:t>
            </w:r>
          </w:p>
        </w:tc>
        <w:tc>
          <w:tcPr>
            <w:tcW w:w="1767" w:type="dxa"/>
            <w:tcBorders>
              <w:top w:val="nil"/>
              <w:left w:val="nil"/>
              <w:bottom w:val="nil"/>
              <w:right w:val="nil"/>
            </w:tcBorders>
            <w:vAlign w:val="bottom"/>
          </w:tcPr>
          <w:p w14:paraId="59891C9F" w14:textId="77777777" w:rsidR="0035611D" w:rsidRDefault="0035611D">
            <w:pPr>
              <w:spacing w:before="0" w:after="0" w:line="240" w:lineRule="auto"/>
              <w:jc w:val="center"/>
              <w:rPr>
                <w:rFonts w:ascii="Arial" w:eastAsia="Arial" w:hAnsi="Arial" w:cs="Arial"/>
                <w:b/>
                <w:bCs/>
                <w:color w:val="000000"/>
              </w:rPr>
            </w:pPr>
          </w:p>
        </w:tc>
      </w:tr>
      <w:tr w:rsidR="0035611D" w14:paraId="0A661DBB"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575A4DDF"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w:t>
            </w:r>
          </w:p>
        </w:tc>
        <w:tc>
          <w:tcPr>
            <w:tcW w:w="1891" w:type="dxa"/>
            <w:tcBorders>
              <w:top w:val="nil"/>
              <w:left w:val="nil"/>
              <w:bottom w:val="single" w:sz="4" w:space="0" w:color="000000"/>
              <w:right w:val="single" w:sz="4" w:space="0" w:color="000000"/>
            </w:tcBorders>
            <w:vAlign w:val="bottom"/>
          </w:tcPr>
          <w:p w14:paraId="3E6A36F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1768" w:type="dxa"/>
            <w:tcBorders>
              <w:top w:val="nil"/>
              <w:left w:val="nil"/>
              <w:bottom w:val="single" w:sz="4" w:space="0" w:color="000000"/>
              <w:right w:val="single" w:sz="4" w:space="0" w:color="000000"/>
            </w:tcBorders>
            <w:vAlign w:val="bottom"/>
          </w:tcPr>
          <w:p w14:paraId="0BCB31C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1.000</w:t>
            </w:r>
          </w:p>
        </w:tc>
        <w:tc>
          <w:tcPr>
            <w:tcW w:w="2691" w:type="dxa"/>
            <w:tcBorders>
              <w:top w:val="nil"/>
              <w:left w:val="nil"/>
              <w:bottom w:val="single" w:sz="4" w:space="0" w:color="000000"/>
              <w:right w:val="single" w:sz="4" w:space="0" w:color="000000"/>
            </w:tcBorders>
            <w:vAlign w:val="bottom"/>
          </w:tcPr>
          <w:p w14:paraId="0D41011A"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1767" w:type="dxa"/>
            <w:tcBorders>
              <w:top w:val="nil"/>
              <w:left w:val="nil"/>
              <w:bottom w:val="nil"/>
              <w:right w:val="nil"/>
            </w:tcBorders>
            <w:vAlign w:val="bottom"/>
          </w:tcPr>
          <w:p w14:paraId="11D3EE35" w14:textId="77777777" w:rsidR="0035611D" w:rsidRDefault="0035611D">
            <w:pPr>
              <w:spacing w:before="0" w:after="0" w:line="240" w:lineRule="auto"/>
              <w:jc w:val="center"/>
              <w:rPr>
                <w:rFonts w:ascii="Arial" w:eastAsia="Arial" w:hAnsi="Arial" w:cs="Arial"/>
                <w:color w:val="000000"/>
              </w:rPr>
            </w:pPr>
          </w:p>
        </w:tc>
      </w:tr>
      <w:tr w:rsidR="0035611D" w14:paraId="47E89AAF"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0A8F4470"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w:t>
            </w:r>
          </w:p>
        </w:tc>
        <w:tc>
          <w:tcPr>
            <w:tcW w:w="1891" w:type="dxa"/>
            <w:tcBorders>
              <w:top w:val="nil"/>
              <w:left w:val="nil"/>
              <w:bottom w:val="single" w:sz="4" w:space="0" w:color="000000"/>
              <w:right w:val="single" w:sz="4" w:space="0" w:color="000000"/>
            </w:tcBorders>
            <w:vAlign w:val="bottom"/>
          </w:tcPr>
          <w:p w14:paraId="35412453"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5.00 </w:t>
            </w:r>
          </w:p>
        </w:tc>
        <w:tc>
          <w:tcPr>
            <w:tcW w:w="1768" w:type="dxa"/>
            <w:tcBorders>
              <w:top w:val="nil"/>
              <w:left w:val="nil"/>
              <w:bottom w:val="single" w:sz="4" w:space="0" w:color="000000"/>
              <w:right w:val="single" w:sz="4" w:space="0" w:color="000000"/>
            </w:tcBorders>
            <w:vAlign w:val="bottom"/>
          </w:tcPr>
          <w:p w14:paraId="1F1B615E"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0.909</w:t>
            </w:r>
          </w:p>
        </w:tc>
        <w:tc>
          <w:tcPr>
            <w:tcW w:w="2691" w:type="dxa"/>
            <w:tcBorders>
              <w:top w:val="nil"/>
              <w:left w:val="nil"/>
              <w:bottom w:val="single" w:sz="4" w:space="0" w:color="000000"/>
              <w:right w:val="single" w:sz="4" w:space="0" w:color="000000"/>
            </w:tcBorders>
            <w:vAlign w:val="bottom"/>
          </w:tcPr>
          <w:p w14:paraId="7873051F"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4.55 </w:t>
            </w:r>
          </w:p>
        </w:tc>
        <w:tc>
          <w:tcPr>
            <w:tcW w:w="1767" w:type="dxa"/>
            <w:tcBorders>
              <w:top w:val="nil"/>
              <w:left w:val="nil"/>
              <w:bottom w:val="nil"/>
              <w:right w:val="nil"/>
            </w:tcBorders>
            <w:vAlign w:val="bottom"/>
          </w:tcPr>
          <w:p w14:paraId="6F987C61" w14:textId="77777777" w:rsidR="0035611D" w:rsidRDefault="0035611D">
            <w:pPr>
              <w:spacing w:before="0" w:after="0" w:line="240" w:lineRule="auto"/>
              <w:jc w:val="center"/>
              <w:rPr>
                <w:rFonts w:ascii="Arial" w:eastAsia="Arial" w:hAnsi="Arial" w:cs="Arial"/>
                <w:color w:val="000000"/>
              </w:rPr>
            </w:pPr>
          </w:p>
        </w:tc>
      </w:tr>
      <w:tr w:rsidR="0035611D" w14:paraId="4ABD3E00"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418318BF"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2</w:t>
            </w:r>
          </w:p>
        </w:tc>
        <w:tc>
          <w:tcPr>
            <w:tcW w:w="1891" w:type="dxa"/>
            <w:tcBorders>
              <w:top w:val="nil"/>
              <w:left w:val="nil"/>
              <w:bottom w:val="single" w:sz="4" w:space="0" w:color="000000"/>
              <w:right w:val="single" w:sz="4" w:space="0" w:color="000000"/>
            </w:tcBorders>
            <w:vAlign w:val="bottom"/>
          </w:tcPr>
          <w:p w14:paraId="5D5923D0"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10.00 </w:t>
            </w:r>
          </w:p>
        </w:tc>
        <w:tc>
          <w:tcPr>
            <w:tcW w:w="1768" w:type="dxa"/>
            <w:tcBorders>
              <w:top w:val="nil"/>
              <w:left w:val="nil"/>
              <w:bottom w:val="single" w:sz="4" w:space="0" w:color="000000"/>
              <w:right w:val="single" w:sz="4" w:space="0" w:color="000000"/>
            </w:tcBorders>
            <w:vAlign w:val="bottom"/>
          </w:tcPr>
          <w:p w14:paraId="3FBFC6E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0.826</w:t>
            </w:r>
          </w:p>
        </w:tc>
        <w:tc>
          <w:tcPr>
            <w:tcW w:w="2691" w:type="dxa"/>
            <w:tcBorders>
              <w:top w:val="nil"/>
              <w:left w:val="nil"/>
              <w:bottom w:val="single" w:sz="4" w:space="0" w:color="000000"/>
              <w:right w:val="single" w:sz="4" w:space="0" w:color="000000"/>
            </w:tcBorders>
            <w:vAlign w:val="bottom"/>
          </w:tcPr>
          <w:p w14:paraId="3B3DFAFC"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8.26 </w:t>
            </w:r>
          </w:p>
        </w:tc>
        <w:tc>
          <w:tcPr>
            <w:tcW w:w="1767" w:type="dxa"/>
            <w:tcBorders>
              <w:top w:val="nil"/>
              <w:left w:val="nil"/>
              <w:bottom w:val="nil"/>
              <w:right w:val="nil"/>
            </w:tcBorders>
            <w:vAlign w:val="bottom"/>
          </w:tcPr>
          <w:p w14:paraId="53D26D70" w14:textId="77777777" w:rsidR="0035611D" w:rsidRDefault="0035611D">
            <w:pPr>
              <w:spacing w:before="0" w:after="0" w:line="240" w:lineRule="auto"/>
              <w:jc w:val="center"/>
              <w:rPr>
                <w:rFonts w:ascii="Arial" w:eastAsia="Arial" w:hAnsi="Arial" w:cs="Arial"/>
                <w:color w:val="000000"/>
              </w:rPr>
            </w:pPr>
          </w:p>
        </w:tc>
      </w:tr>
      <w:tr w:rsidR="0035611D" w14:paraId="05C4975E"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59005772"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3</w:t>
            </w:r>
          </w:p>
        </w:tc>
        <w:tc>
          <w:tcPr>
            <w:tcW w:w="1891" w:type="dxa"/>
            <w:tcBorders>
              <w:top w:val="nil"/>
              <w:left w:val="nil"/>
              <w:bottom w:val="single" w:sz="4" w:space="0" w:color="000000"/>
              <w:right w:val="single" w:sz="4" w:space="0" w:color="000000"/>
            </w:tcBorders>
            <w:vAlign w:val="bottom"/>
          </w:tcPr>
          <w:p w14:paraId="7D279B42"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20.00 </w:t>
            </w:r>
          </w:p>
        </w:tc>
        <w:tc>
          <w:tcPr>
            <w:tcW w:w="1768" w:type="dxa"/>
            <w:tcBorders>
              <w:top w:val="nil"/>
              <w:left w:val="nil"/>
              <w:bottom w:val="single" w:sz="4" w:space="0" w:color="000000"/>
              <w:right w:val="single" w:sz="4" w:space="0" w:color="000000"/>
            </w:tcBorders>
            <w:vAlign w:val="bottom"/>
          </w:tcPr>
          <w:p w14:paraId="737C33ED"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0.751</w:t>
            </w:r>
          </w:p>
        </w:tc>
        <w:tc>
          <w:tcPr>
            <w:tcW w:w="2691" w:type="dxa"/>
            <w:tcBorders>
              <w:top w:val="nil"/>
              <w:left w:val="nil"/>
              <w:bottom w:val="single" w:sz="4" w:space="0" w:color="000000"/>
              <w:right w:val="single" w:sz="4" w:space="0" w:color="000000"/>
            </w:tcBorders>
            <w:vAlign w:val="bottom"/>
          </w:tcPr>
          <w:p w14:paraId="7EE0FC29"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15.03 </w:t>
            </w:r>
          </w:p>
        </w:tc>
        <w:tc>
          <w:tcPr>
            <w:tcW w:w="1767" w:type="dxa"/>
            <w:tcBorders>
              <w:top w:val="nil"/>
              <w:left w:val="nil"/>
              <w:bottom w:val="nil"/>
              <w:right w:val="nil"/>
            </w:tcBorders>
            <w:vAlign w:val="bottom"/>
          </w:tcPr>
          <w:p w14:paraId="1836B4D9" w14:textId="77777777" w:rsidR="0035611D" w:rsidRDefault="0035611D">
            <w:pPr>
              <w:spacing w:before="0" w:after="0" w:line="240" w:lineRule="auto"/>
              <w:jc w:val="center"/>
              <w:rPr>
                <w:rFonts w:ascii="Arial" w:eastAsia="Arial" w:hAnsi="Arial" w:cs="Arial"/>
                <w:color w:val="000000"/>
              </w:rPr>
            </w:pPr>
          </w:p>
        </w:tc>
      </w:tr>
      <w:tr w:rsidR="0035611D" w14:paraId="68B7F1C4"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61EF9CE8"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4</w:t>
            </w:r>
          </w:p>
        </w:tc>
        <w:tc>
          <w:tcPr>
            <w:tcW w:w="1891" w:type="dxa"/>
            <w:tcBorders>
              <w:top w:val="nil"/>
              <w:left w:val="nil"/>
              <w:bottom w:val="single" w:sz="4" w:space="0" w:color="000000"/>
              <w:right w:val="single" w:sz="4" w:space="0" w:color="000000"/>
            </w:tcBorders>
            <w:vAlign w:val="bottom"/>
          </w:tcPr>
          <w:p w14:paraId="40634D1E"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25.00 </w:t>
            </w:r>
          </w:p>
        </w:tc>
        <w:tc>
          <w:tcPr>
            <w:tcW w:w="1768" w:type="dxa"/>
            <w:tcBorders>
              <w:top w:val="nil"/>
              <w:left w:val="nil"/>
              <w:bottom w:val="single" w:sz="4" w:space="0" w:color="000000"/>
              <w:right w:val="single" w:sz="4" w:space="0" w:color="000000"/>
            </w:tcBorders>
            <w:vAlign w:val="bottom"/>
          </w:tcPr>
          <w:p w14:paraId="3C9253C3"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0.683</w:t>
            </w:r>
          </w:p>
        </w:tc>
        <w:tc>
          <w:tcPr>
            <w:tcW w:w="2691" w:type="dxa"/>
            <w:tcBorders>
              <w:top w:val="nil"/>
              <w:left w:val="nil"/>
              <w:bottom w:val="single" w:sz="4" w:space="0" w:color="000000"/>
              <w:right w:val="single" w:sz="4" w:space="0" w:color="000000"/>
            </w:tcBorders>
            <w:vAlign w:val="bottom"/>
          </w:tcPr>
          <w:p w14:paraId="54A42DD7"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17.08 </w:t>
            </w:r>
          </w:p>
        </w:tc>
        <w:tc>
          <w:tcPr>
            <w:tcW w:w="1767" w:type="dxa"/>
            <w:tcBorders>
              <w:top w:val="nil"/>
              <w:left w:val="nil"/>
              <w:bottom w:val="nil"/>
              <w:right w:val="nil"/>
            </w:tcBorders>
            <w:vAlign w:val="bottom"/>
          </w:tcPr>
          <w:p w14:paraId="397F6E51" w14:textId="77777777" w:rsidR="0035611D" w:rsidRDefault="0035611D">
            <w:pPr>
              <w:spacing w:before="0" w:after="0" w:line="240" w:lineRule="auto"/>
              <w:jc w:val="center"/>
              <w:rPr>
                <w:rFonts w:ascii="Arial" w:eastAsia="Arial" w:hAnsi="Arial" w:cs="Arial"/>
                <w:color w:val="000000"/>
              </w:rPr>
            </w:pPr>
          </w:p>
        </w:tc>
      </w:tr>
      <w:tr w:rsidR="0035611D" w14:paraId="53725700" w14:textId="77777777">
        <w:trPr>
          <w:trHeight w:val="312"/>
          <w:jc w:val="center"/>
        </w:trPr>
        <w:tc>
          <w:tcPr>
            <w:tcW w:w="907" w:type="dxa"/>
            <w:tcBorders>
              <w:top w:val="nil"/>
              <w:left w:val="single" w:sz="4" w:space="0" w:color="000000"/>
              <w:bottom w:val="single" w:sz="4" w:space="0" w:color="000000"/>
              <w:right w:val="single" w:sz="4" w:space="0" w:color="000000"/>
            </w:tcBorders>
            <w:vAlign w:val="bottom"/>
          </w:tcPr>
          <w:p w14:paraId="73C2CBF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5</w:t>
            </w:r>
          </w:p>
        </w:tc>
        <w:tc>
          <w:tcPr>
            <w:tcW w:w="1891" w:type="dxa"/>
            <w:tcBorders>
              <w:top w:val="nil"/>
              <w:left w:val="nil"/>
              <w:bottom w:val="single" w:sz="4" w:space="0" w:color="000000"/>
              <w:right w:val="single" w:sz="4" w:space="0" w:color="000000"/>
            </w:tcBorders>
            <w:vAlign w:val="bottom"/>
          </w:tcPr>
          <w:p w14:paraId="13177B7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5.00 </w:t>
            </w:r>
          </w:p>
        </w:tc>
        <w:tc>
          <w:tcPr>
            <w:tcW w:w="1768" w:type="dxa"/>
            <w:tcBorders>
              <w:top w:val="nil"/>
              <w:left w:val="nil"/>
              <w:bottom w:val="single" w:sz="4" w:space="0" w:color="000000"/>
              <w:right w:val="single" w:sz="4" w:space="0" w:color="000000"/>
            </w:tcBorders>
            <w:vAlign w:val="bottom"/>
          </w:tcPr>
          <w:p w14:paraId="06E7D7F4"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0.621</w:t>
            </w:r>
          </w:p>
        </w:tc>
        <w:tc>
          <w:tcPr>
            <w:tcW w:w="2691" w:type="dxa"/>
            <w:tcBorders>
              <w:top w:val="nil"/>
              <w:left w:val="nil"/>
              <w:bottom w:val="single" w:sz="4" w:space="0" w:color="000000"/>
              <w:right w:val="single" w:sz="4" w:space="0" w:color="000000"/>
            </w:tcBorders>
            <w:vAlign w:val="bottom"/>
          </w:tcPr>
          <w:p w14:paraId="075451B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3.10 </w:t>
            </w:r>
          </w:p>
        </w:tc>
        <w:tc>
          <w:tcPr>
            <w:tcW w:w="1767" w:type="dxa"/>
            <w:tcBorders>
              <w:top w:val="nil"/>
              <w:left w:val="nil"/>
              <w:bottom w:val="nil"/>
              <w:right w:val="nil"/>
            </w:tcBorders>
            <w:vAlign w:val="bottom"/>
          </w:tcPr>
          <w:p w14:paraId="48CF4AB8" w14:textId="77777777" w:rsidR="0035611D" w:rsidRDefault="0035611D">
            <w:pPr>
              <w:spacing w:before="0" w:after="0" w:line="240" w:lineRule="auto"/>
              <w:jc w:val="center"/>
              <w:rPr>
                <w:rFonts w:ascii="Arial" w:eastAsia="Arial" w:hAnsi="Arial" w:cs="Arial"/>
                <w:color w:val="000000"/>
              </w:rPr>
            </w:pPr>
          </w:p>
        </w:tc>
      </w:tr>
      <w:tr w:rsidR="0035611D" w14:paraId="336C5687" w14:textId="77777777">
        <w:trPr>
          <w:trHeight w:val="312"/>
          <w:jc w:val="center"/>
        </w:trPr>
        <w:tc>
          <w:tcPr>
            <w:tcW w:w="4566" w:type="dxa"/>
            <w:gridSpan w:val="3"/>
            <w:tcBorders>
              <w:top w:val="single" w:sz="4" w:space="0" w:color="000000"/>
              <w:left w:val="single" w:sz="4" w:space="0" w:color="000000"/>
              <w:bottom w:val="single" w:sz="4" w:space="0" w:color="000000"/>
              <w:right w:val="single" w:sz="4" w:space="0" w:color="000000"/>
            </w:tcBorders>
            <w:shd w:val="clear" w:color="auto" w:fill="92D050"/>
            <w:vAlign w:val="center"/>
          </w:tcPr>
          <w:p w14:paraId="648072E4"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"Internal Rate of Return (IRR) of Project C"</w:t>
            </w:r>
          </w:p>
        </w:tc>
        <w:tc>
          <w:tcPr>
            <w:tcW w:w="2691" w:type="dxa"/>
            <w:tcBorders>
              <w:top w:val="nil"/>
              <w:left w:val="nil"/>
              <w:bottom w:val="single" w:sz="4" w:space="0" w:color="000000"/>
              <w:right w:val="single" w:sz="4" w:space="0" w:color="000000"/>
            </w:tcBorders>
            <w:shd w:val="clear" w:color="auto" w:fill="92D050"/>
            <w:vAlign w:val="center"/>
          </w:tcPr>
          <w:p w14:paraId="2EC47124"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8.59%</w:t>
            </w:r>
          </w:p>
        </w:tc>
        <w:tc>
          <w:tcPr>
            <w:tcW w:w="1767" w:type="dxa"/>
            <w:tcBorders>
              <w:top w:val="nil"/>
              <w:left w:val="nil"/>
              <w:bottom w:val="nil"/>
              <w:right w:val="nil"/>
            </w:tcBorders>
            <w:vAlign w:val="bottom"/>
          </w:tcPr>
          <w:p w14:paraId="41354387" w14:textId="77777777" w:rsidR="0035611D" w:rsidRDefault="0035611D">
            <w:pPr>
              <w:spacing w:before="0" w:after="0" w:line="240" w:lineRule="auto"/>
              <w:jc w:val="center"/>
              <w:rPr>
                <w:rFonts w:ascii="Arial" w:eastAsia="Arial" w:hAnsi="Arial" w:cs="Arial"/>
                <w:b/>
                <w:bCs/>
                <w:color w:val="000000"/>
              </w:rPr>
            </w:pPr>
          </w:p>
        </w:tc>
      </w:tr>
      <w:tr w:rsidR="0035611D" w14:paraId="6761455E" w14:textId="77777777">
        <w:trPr>
          <w:trHeight w:val="312"/>
          <w:jc w:val="center"/>
        </w:trPr>
        <w:tc>
          <w:tcPr>
            <w:tcW w:w="907" w:type="dxa"/>
            <w:tcBorders>
              <w:top w:val="nil"/>
              <w:left w:val="nil"/>
              <w:bottom w:val="nil"/>
              <w:right w:val="nil"/>
            </w:tcBorders>
            <w:vAlign w:val="bottom"/>
          </w:tcPr>
          <w:p w14:paraId="5E4053A1" w14:textId="77777777" w:rsidR="0035611D" w:rsidRDefault="0035611D">
            <w:pPr>
              <w:spacing w:before="0" w:after="0" w:line="240" w:lineRule="auto"/>
              <w:jc w:val="left"/>
              <w:rPr>
                <w:sz w:val="20"/>
                <w:szCs w:val="20"/>
              </w:rPr>
            </w:pPr>
          </w:p>
        </w:tc>
        <w:tc>
          <w:tcPr>
            <w:tcW w:w="1891" w:type="dxa"/>
            <w:tcBorders>
              <w:top w:val="nil"/>
              <w:left w:val="nil"/>
              <w:bottom w:val="nil"/>
              <w:right w:val="nil"/>
            </w:tcBorders>
            <w:vAlign w:val="bottom"/>
          </w:tcPr>
          <w:p w14:paraId="64D5387A" w14:textId="77777777" w:rsidR="0035611D" w:rsidRDefault="0035611D">
            <w:pPr>
              <w:spacing w:before="0" w:after="0" w:line="240" w:lineRule="auto"/>
              <w:jc w:val="left"/>
              <w:rPr>
                <w:sz w:val="20"/>
                <w:szCs w:val="20"/>
              </w:rPr>
            </w:pPr>
          </w:p>
        </w:tc>
        <w:tc>
          <w:tcPr>
            <w:tcW w:w="1768" w:type="dxa"/>
            <w:tcBorders>
              <w:top w:val="nil"/>
              <w:left w:val="nil"/>
              <w:bottom w:val="nil"/>
              <w:right w:val="nil"/>
            </w:tcBorders>
            <w:vAlign w:val="bottom"/>
          </w:tcPr>
          <w:p w14:paraId="62E49D39" w14:textId="77777777" w:rsidR="0035611D" w:rsidRDefault="0035611D">
            <w:pPr>
              <w:spacing w:before="0" w:after="0" w:line="240" w:lineRule="auto"/>
              <w:jc w:val="left"/>
              <w:rPr>
                <w:sz w:val="20"/>
                <w:szCs w:val="20"/>
              </w:rPr>
            </w:pPr>
          </w:p>
        </w:tc>
        <w:tc>
          <w:tcPr>
            <w:tcW w:w="2691" w:type="dxa"/>
            <w:tcBorders>
              <w:top w:val="nil"/>
              <w:left w:val="nil"/>
              <w:bottom w:val="nil"/>
              <w:right w:val="nil"/>
            </w:tcBorders>
            <w:vAlign w:val="bottom"/>
          </w:tcPr>
          <w:p w14:paraId="77708C0A" w14:textId="77777777" w:rsidR="0035611D" w:rsidRDefault="0035611D">
            <w:pPr>
              <w:spacing w:before="0" w:after="0" w:line="240" w:lineRule="auto"/>
              <w:jc w:val="left"/>
              <w:rPr>
                <w:sz w:val="20"/>
                <w:szCs w:val="20"/>
              </w:rPr>
            </w:pPr>
          </w:p>
        </w:tc>
        <w:tc>
          <w:tcPr>
            <w:tcW w:w="1767" w:type="dxa"/>
            <w:tcBorders>
              <w:top w:val="nil"/>
              <w:left w:val="nil"/>
              <w:bottom w:val="nil"/>
              <w:right w:val="nil"/>
            </w:tcBorders>
            <w:vAlign w:val="bottom"/>
          </w:tcPr>
          <w:p w14:paraId="33B950E6" w14:textId="77777777" w:rsidR="0035611D" w:rsidRDefault="0035611D">
            <w:pPr>
              <w:spacing w:before="0" w:after="0" w:line="240" w:lineRule="auto"/>
              <w:jc w:val="left"/>
              <w:rPr>
                <w:sz w:val="20"/>
                <w:szCs w:val="20"/>
              </w:rPr>
            </w:pPr>
          </w:p>
        </w:tc>
      </w:tr>
      <w:tr w:rsidR="0035611D" w14:paraId="289FE158" w14:textId="77777777">
        <w:trPr>
          <w:trHeight w:val="312"/>
          <w:jc w:val="center"/>
        </w:trPr>
        <w:tc>
          <w:tcPr>
            <w:tcW w:w="907" w:type="dxa"/>
            <w:tcBorders>
              <w:top w:val="nil"/>
              <w:left w:val="nil"/>
              <w:bottom w:val="nil"/>
              <w:right w:val="nil"/>
            </w:tcBorders>
            <w:vAlign w:val="bottom"/>
          </w:tcPr>
          <w:p w14:paraId="19AF21BC" w14:textId="77777777" w:rsidR="0035611D" w:rsidRDefault="0035611D">
            <w:pPr>
              <w:spacing w:before="0" w:after="0" w:line="240" w:lineRule="auto"/>
              <w:jc w:val="left"/>
              <w:rPr>
                <w:sz w:val="20"/>
                <w:szCs w:val="20"/>
              </w:rPr>
            </w:pPr>
          </w:p>
        </w:tc>
        <w:tc>
          <w:tcPr>
            <w:tcW w:w="1891" w:type="dxa"/>
            <w:tcBorders>
              <w:top w:val="nil"/>
              <w:left w:val="nil"/>
              <w:bottom w:val="nil"/>
              <w:right w:val="nil"/>
            </w:tcBorders>
            <w:vAlign w:val="bottom"/>
          </w:tcPr>
          <w:p w14:paraId="6EADE310" w14:textId="77777777" w:rsidR="0035611D" w:rsidRDefault="0035611D">
            <w:pPr>
              <w:spacing w:before="0" w:after="0" w:line="240" w:lineRule="auto"/>
              <w:jc w:val="left"/>
              <w:rPr>
                <w:sz w:val="20"/>
                <w:szCs w:val="20"/>
              </w:rPr>
            </w:pPr>
          </w:p>
        </w:tc>
        <w:tc>
          <w:tcPr>
            <w:tcW w:w="1768" w:type="dxa"/>
            <w:tcBorders>
              <w:top w:val="nil"/>
              <w:left w:val="nil"/>
              <w:bottom w:val="nil"/>
              <w:right w:val="nil"/>
            </w:tcBorders>
            <w:vAlign w:val="bottom"/>
          </w:tcPr>
          <w:p w14:paraId="1FECDEBE" w14:textId="77777777" w:rsidR="0035611D" w:rsidRDefault="0035611D">
            <w:pPr>
              <w:spacing w:before="0" w:after="0" w:line="240" w:lineRule="auto"/>
              <w:jc w:val="left"/>
              <w:rPr>
                <w:sz w:val="20"/>
                <w:szCs w:val="20"/>
              </w:rPr>
            </w:pPr>
          </w:p>
        </w:tc>
        <w:tc>
          <w:tcPr>
            <w:tcW w:w="2691" w:type="dxa"/>
            <w:tcBorders>
              <w:top w:val="nil"/>
              <w:left w:val="nil"/>
              <w:bottom w:val="nil"/>
              <w:right w:val="nil"/>
            </w:tcBorders>
            <w:vAlign w:val="bottom"/>
          </w:tcPr>
          <w:p w14:paraId="5D29D126" w14:textId="77777777" w:rsidR="0035611D" w:rsidRDefault="0035611D">
            <w:pPr>
              <w:spacing w:before="0" w:after="0" w:line="240" w:lineRule="auto"/>
              <w:jc w:val="left"/>
              <w:rPr>
                <w:sz w:val="20"/>
                <w:szCs w:val="20"/>
              </w:rPr>
            </w:pPr>
          </w:p>
        </w:tc>
        <w:tc>
          <w:tcPr>
            <w:tcW w:w="1767" w:type="dxa"/>
            <w:tcBorders>
              <w:top w:val="nil"/>
              <w:left w:val="nil"/>
              <w:bottom w:val="nil"/>
              <w:right w:val="nil"/>
            </w:tcBorders>
            <w:vAlign w:val="bottom"/>
          </w:tcPr>
          <w:p w14:paraId="28498C80" w14:textId="77777777" w:rsidR="0035611D" w:rsidRDefault="0035611D">
            <w:pPr>
              <w:spacing w:before="0" w:after="0" w:line="240" w:lineRule="auto"/>
              <w:jc w:val="left"/>
              <w:rPr>
                <w:sz w:val="20"/>
                <w:szCs w:val="20"/>
              </w:rPr>
            </w:pPr>
          </w:p>
        </w:tc>
      </w:tr>
      <w:tr w:rsidR="0035611D" w14:paraId="46EBFE90" w14:textId="77777777">
        <w:trPr>
          <w:trHeight w:val="312"/>
          <w:jc w:val="center"/>
        </w:trPr>
        <w:tc>
          <w:tcPr>
            <w:tcW w:w="907"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1894B474"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"Year"</w:t>
            </w:r>
          </w:p>
        </w:tc>
        <w:tc>
          <w:tcPr>
            <w:tcW w:w="1891" w:type="dxa"/>
            <w:tcBorders>
              <w:top w:val="single" w:sz="4" w:space="0" w:color="000000"/>
              <w:left w:val="nil"/>
              <w:bottom w:val="single" w:sz="4" w:space="0" w:color="000000"/>
              <w:right w:val="single" w:sz="4" w:space="0" w:color="000000"/>
            </w:tcBorders>
            <w:shd w:val="clear" w:color="auto" w:fill="92D050"/>
            <w:vAlign w:val="center"/>
          </w:tcPr>
          <w:p w14:paraId="1BDB848F"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"Cash Flow"</w:t>
            </w:r>
          </w:p>
        </w:tc>
        <w:tc>
          <w:tcPr>
            <w:tcW w:w="1768" w:type="dxa"/>
            <w:tcBorders>
              <w:top w:val="single" w:sz="4" w:space="0" w:color="000000"/>
              <w:left w:val="nil"/>
              <w:bottom w:val="single" w:sz="4" w:space="0" w:color="000000"/>
              <w:right w:val="single" w:sz="4" w:space="0" w:color="000000"/>
            </w:tcBorders>
            <w:shd w:val="clear" w:color="auto" w:fill="92D050"/>
            <w:vAlign w:val="center"/>
          </w:tcPr>
          <w:p w14:paraId="4F792130"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 xml:space="preserve">"Depreciation" </w:t>
            </w:r>
          </w:p>
        </w:tc>
        <w:tc>
          <w:tcPr>
            <w:tcW w:w="2691" w:type="dxa"/>
            <w:tcBorders>
              <w:top w:val="single" w:sz="4" w:space="0" w:color="000000"/>
              <w:left w:val="nil"/>
              <w:bottom w:val="single" w:sz="4" w:space="0" w:color="000000"/>
              <w:right w:val="single" w:sz="4" w:space="0" w:color="000000"/>
            </w:tcBorders>
            <w:shd w:val="clear" w:color="auto" w:fill="92D050"/>
            <w:vAlign w:val="center"/>
          </w:tcPr>
          <w:p w14:paraId="74FB13F6"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"Present Value"</w:t>
            </w:r>
          </w:p>
        </w:tc>
        <w:tc>
          <w:tcPr>
            <w:tcW w:w="1767" w:type="dxa"/>
            <w:tcBorders>
              <w:top w:val="nil"/>
              <w:left w:val="nil"/>
              <w:bottom w:val="nil"/>
              <w:right w:val="nil"/>
            </w:tcBorders>
            <w:vAlign w:val="bottom"/>
          </w:tcPr>
          <w:p w14:paraId="5F39C94A" w14:textId="77777777" w:rsidR="0035611D" w:rsidRDefault="0035611D">
            <w:pPr>
              <w:spacing w:before="0" w:after="0" w:line="240" w:lineRule="auto"/>
              <w:jc w:val="center"/>
              <w:rPr>
                <w:rFonts w:ascii="Arial" w:eastAsia="Arial" w:hAnsi="Arial" w:cs="Arial"/>
                <w:b/>
                <w:bCs/>
                <w:color w:val="000000"/>
              </w:rPr>
            </w:pPr>
          </w:p>
        </w:tc>
      </w:tr>
      <w:tr w:rsidR="0035611D" w14:paraId="2131E98A" w14:textId="77777777">
        <w:trPr>
          <w:trHeight w:val="312"/>
          <w:jc w:val="center"/>
        </w:trPr>
        <w:tc>
          <w:tcPr>
            <w:tcW w:w="907" w:type="dxa"/>
            <w:tcBorders>
              <w:top w:val="nil"/>
              <w:left w:val="single" w:sz="4" w:space="0" w:color="000000"/>
              <w:bottom w:val="single" w:sz="4" w:space="0" w:color="000000"/>
              <w:right w:val="single" w:sz="4" w:space="0" w:color="000000"/>
            </w:tcBorders>
            <w:vAlign w:val="center"/>
          </w:tcPr>
          <w:p w14:paraId="6691BC9E"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0</w:t>
            </w:r>
          </w:p>
        </w:tc>
        <w:tc>
          <w:tcPr>
            <w:tcW w:w="1891" w:type="dxa"/>
            <w:tcBorders>
              <w:top w:val="nil"/>
              <w:left w:val="nil"/>
              <w:bottom w:val="single" w:sz="4" w:space="0" w:color="000000"/>
              <w:right w:val="single" w:sz="4" w:space="0" w:color="000000"/>
            </w:tcBorders>
            <w:vAlign w:val="center"/>
          </w:tcPr>
          <w:p w14:paraId="7FFDDF39"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1768" w:type="dxa"/>
            <w:tcBorders>
              <w:top w:val="nil"/>
              <w:left w:val="nil"/>
              <w:bottom w:val="single" w:sz="4" w:space="0" w:color="000000"/>
              <w:right w:val="single" w:sz="4" w:space="0" w:color="000000"/>
            </w:tcBorders>
            <w:vAlign w:val="center"/>
          </w:tcPr>
          <w:p w14:paraId="49698824" w14:textId="77777777" w:rsidR="0035611D" w:rsidRDefault="00A6742D">
            <w:pPr>
              <w:spacing w:before="0" w:after="0" w:line="240" w:lineRule="auto"/>
              <w:jc w:val="right"/>
              <w:rPr>
                <w:rFonts w:ascii="Arial" w:eastAsia="Arial" w:hAnsi="Arial" w:cs="Arial"/>
                <w:color w:val="000000"/>
              </w:rPr>
            </w:pPr>
            <w:r>
              <w:rPr>
                <w:rFonts w:ascii="Arial" w:eastAsia="Arial" w:hAnsi="Arial" w:cs="Arial"/>
                <w:color w:val="000000"/>
              </w:rPr>
              <w:t>0.00</w:t>
            </w:r>
          </w:p>
        </w:tc>
        <w:tc>
          <w:tcPr>
            <w:tcW w:w="2691" w:type="dxa"/>
            <w:tcBorders>
              <w:top w:val="nil"/>
              <w:left w:val="nil"/>
              <w:bottom w:val="single" w:sz="4" w:space="0" w:color="000000"/>
              <w:right w:val="single" w:sz="4" w:space="0" w:color="000000"/>
            </w:tcBorders>
            <w:vAlign w:val="center"/>
          </w:tcPr>
          <w:p w14:paraId="70989F46"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50.00 </w:t>
            </w:r>
          </w:p>
        </w:tc>
        <w:tc>
          <w:tcPr>
            <w:tcW w:w="1767" w:type="dxa"/>
            <w:tcBorders>
              <w:top w:val="nil"/>
              <w:left w:val="nil"/>
              <w:bottom w:val="nil"/>
              <w:right w:val="nil"/>
            </w:tcBorders>
            <w:vAlign w:val="bottom"/>
          </w:tcPr>
          <w:p w14:paraId="2A23243C" w14:textId="77777777" w:rsidR="0035611D" w:rsidRDefault="0035611D">
            <w:pPr>
              <w:spacing w:before="0" w:after="0" w:line="240" w:lineRule="auto"/>
              <w:jc w:val="center"/>
              <w:rPr>
                <w:rFonts w:ascii="Arial" w:eastAsia="Arial" w:hAnsi="Arial" w:cs="Arial"/>
                <w:color w:val="000000"/>
              </w:rPr>
            </w:pPr>
          </w:p>
        </w:tc>
      </w:tr>
      <w:tr w:rsidR="0035611D" w14:paraId="529456B5" w14:textId="77777777">
        <w:trPr>
          <w:trHeight w:val="312"/>
          <w:jc w:val="center"/>
        </w:trPr>
        <w:tc>
          <w:tcPr>
            <w:tcW w:w="907" w:type="dxa"/>
            <w:tcBorders>
              <w:top w:val="nil"/>
              <w:left w:val="single" w:sz="4" w:space="0" w:color="000000"/>
              <w:bottom w:val="single" w:sz="4" w:space="0" w:color="000000"/>
              <w:right w:val="single" w:sz="4" w:space="0" w:color="000000"/>
            </w:tcBorders>
            <w:vAlign w:val="center"/>
          </w:tcPr>
          <w:p w14:paraId="12D92183"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1</w:t>
            </w:r>
          </w:p>
        </w:tc>
        <w:tc>
          <w:tcPr>
            <w:tcW w:w="1891" w:type="dxa"/>
            <w:tcBorders>
              <w:top w:val="nil"/>
              <w:left w:val="nil"/>
              <w:bottom w:val="single" w:sz="4" w:space="0" w:color="000000"/>
              <w:right w:val="single" w:sz="4" w:space="0" w:color="000000"/>
            </w:tcBorders>
            <w:vAlign w:val="center"/>
          </w:tcPr>
          <w:p w14:paraId="2EE751EB"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5.00 </w:t>
            </w:r>
          </w:p>
        </w:tc>
        <w:tc>
          <w:tcPr>
            <w:tcW w:w="1768" w:type="dxa"/>
            <w:tcBorders>
              <w:top w:val="nil"/>
              <w:left w:val="nil"/>
              <w:bottom w:val="single" w:sz="4" w:space="0" w:color="000000"/>
              <w:right w:val="single" w:sz="4" w:space="0" w:color="000000"/>
            </w:tcBorders>
            <w:vAlign w:val="center"/>
          </w:tcPr>
          <w:p w14:paraId="7B3E681A" w14:textId="77777777" w:rsidR="0035611D" w:rsidRDefault="00A6742D">
            <w:pPr>
              <w:spacing w:before="0" w:after="0" w:line="240" w:lineRule="auto"/>
              <w:jc w:val="right"/>
              <w:rPr>
                <w:rFonts w:ascii="Arial" w:eastAsia="Arial" w:hAnsi="Arial" w:cs="Arial"/>
                <w:color w:val="000000"/>
              </w:rPr>
            </w:pPr>
            <w:r>
              <w:rPr>
                <w:rFonts w:ascii="Arial" w:eastAsia="Arial" w:hAnsi="Arial" w:cs="Arial"/>
                <w:color w:val="000000"/>
              </w:rPr>
              <w:t>10.00</w:t>
            </w:r>
          </w:p>
        </w:tc>
        <w:tc>
          <w:tcPr>
            <w:tcW w:w="2691" w:type="dxa"/>
            <w:tcBorders>
              <w:top w:val="nil"/>
              <w:left w:val="nil"/>
              <w:bottom w:val="single" w:sz="4" w:space="0" w:color="000000"/>
              <w:right w:val="single" w:sz="4" w:space="0" w:color="000000"/>
            </w:tcBorders>
            <w:vAlign w:val="center"/>
          </w:tcPr>
          <w:p w14:paraId="242CB571"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 </w:t>
            </w:r>
          </w:p>
        </w:tc>
        <w:tc>
          <w:tcPr>
            <w:tcW w:w="1767" w:type="dxa"/>
            <w:tcBorders>
              <w:top w:val="nil"/>
              <w:left w:val="nil"/>
              <w:bottom w:val="nil"/>
              <w:right w:val="nil"/>
            </w:tcBorders>
            <w:vAlign w:val="bottom"/>
          </w:tcPr>
          <w:p w14:paraId="62397D9A" w14:textId="77777777" w:rsidR="0035611D" w:rsidRDefault="0035611D">
            <w:pPr>
              <w:spacing w:before="0" w:after="0" w:line="240" w:lineRule="auto"/>
              <w:jc w:val="center"/>
              <w:rPr>
                <w:rFonts w:ascii="Arial" w:eastAsia="Arial" w:hAnsi="Arial" w:cs="Arial"/>
                <w:color w:val="000000"/>
              </w:rPr>
            </w:pPr>
          </w:p>
        </w:tc>
      </w:tr>
      <w:tr w:rsidR="0035611D" w14:paraId="78717B9C" w14:textId="77777777">
        <w:trPr>
          <w:trHeight w:val="312"/>
          <w:jc w:val="center"/>
        </w:trPr>
        <w:tc>
          <w:tcPr>
            <w:tcW w:w="907" w:type="dxa"/>
            <w:tcBorders>
              <w:top w:val="nil"/>
              <w:left w:val="single" w:sz="4" w:space="0" w:color="000000"/>
              <w:bottom w:val="single" w:sz="4" w:space="0" w:color="000000"/>
              <w:right w:val="single" w:sz="4" w:space="0" w:color="000000"/>
            </w:tcBorders>
            <w:vAlign w:val="center"/>
          </w:tcPr>
          <w:p w14:paraId="1FCF4ED3"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2</w:t>
            </w:r>
          </w:p>
        </w:tc>
        <w:tc>
          <w:tcPr>
            <w:tcW w:w="1891" w:type="dxa"/>
            <w:tcBorders>
              <w:top w:val="nil"/>
              <w:left w:val="nil"/>
              <w:bottom w:val="single" w:sz="4" w:space="0" w:color="000000"/>
              <w:right w:val="single" w:sz="4" w:space="0" w:color="000000"/>
            </w:tcBorders>
            <w:vAlign w:val="center"/>
          </w:tcPr>
          <w:p w14:paraId="6F0FABCC"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10.00 </w:t>
            </w:r>
          </w:p>
        </w:tc>
        <w:tc>
          <w:tcPr>
            <w:tcW w:w="1768" w:type="dxa"/>
            <w:tcBorders>
              <w:top w:val="nil"/>
              <w:left w:val="nil"/>
              <w:bottom w:val="single" w:sz="4" w:space="0" w:color="000000"/>
              <w:right w:val="single" w:sz="4" w:space="0" w:color="000000"/>
            </w:tcBorders>
            <w:vAlign w:val="center"/>
          </w:tcPr>
          <w:p w14:paraId="473EA553" w14:textId="77777777" w:rsidR="0035611D" w:rsidRDefault="00A6742D">
            <w:pPr>
              <w:spacing w:before="0" w:after="0" w:line="240" w:lineRule="auto"/>
              <w:jc w:val="right"/>
              <w:rPr>
                <w:rFonts w:ascii="Arial" w:eastAsia="Arial" w:hAnsi="Arial" w:cs="Arial"/>
                <w:color w:val="000000"/>
              </w:rPr>
            </w:pPr>
            <w:r>
              <w:rPr>
                <w:rFonts w:ascii="Arial" w:eastAsia="Arial" w:hAnsi="Arial" w:cs="Arial"/>
                <w:color w:val="000000"/>
              </w:rPr>
              <w:t>10.00</w:t>
            </w:r>
          </w:p>
        </w:tc>
        <w:tc>
          <w:tcPr>
            <w:tcW w:w="2691" w:type="dxa"/>
            <w:tcBorders>
              <w:top w:val="nil"/>
              <w:left w:val="nil"/>
              <w:bottom w:val="single" w:sz="4" w:space="0" w:color="000000"/>
              <w:right w:val="single" w:sz="4" w:space="0" w:color="000000"/>
            </w:tcBorders>
            <w:vAlign w:val="center"/>
          </w:tcPr>
          <w:p w14:paraId="49593080"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   </w:t>
            </w:r>
          </w:p>
        </w:tc>
        <w:tc>
          <w:tcPr>
            <w:tcW w:w="1767" w:type="dxa"/>
            <w:tcBorders>
              <w:top w:val="nil"/>
              <w:left w:val="nil"/>
              <w:bottom w:val="nil"/>
              <w:right w:val="nil"/>
            </w:tcBorders>
            <w:vAlign w:val="bottom"/>
          </w:tcPr>
          <w:p w14:paraId="7DA6860C" w14:textId="77777777" w:rsidR="0035611D" w:rsidRDefault="0035611D">
            <w:pPr>
              <w:spacing w:before="0" w:after="0" w:line="240" w:lineRule="auto"/>
              <w:jc w:val="center"/>
              <w:rPr>
                <w:rFonts w:ascii="Arial" w:eastAsia="Arial" w:hAnsi="Arial" w:cs="Arial"/>
                <w:color w:val="000000"/>
              </w:rPr>
            </w:pPr>
          </w:p>
        </w:tc>
      </w:tr>
      <w:tr w:rsidR="0035611D" w14:paraId="19769CC0" w14:textId="77777777">
        <w:trPr>
          <w:trHeight w:val="312"/>
          <w:jc w:val="center"/>
        </w:trPr>
        <w:tc>
          <w:tcPr>
            <w:tcW w:w="907" w:type="dxa"/>
            <w:tcBorders>
              <w:top w:val="nil"/>
              <w:left w:val="single" w:sz="4" w:space="0" w:color="000000"/>
              <w:bottom w:val="single" w:sz="4" w:space="0" w:color="000000"/>
              <w:right w:val="single" w:sz="4" w:space="0" w:color="000000"/>
            </w:tcBorders>
            <w:vAlign w:val="center"/>
          </w:tcPr>
          <w:p w14:paraId="349FF640"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3</w:t>
            </w:r>
          </w:p>
        </w:tc>
        <w:tc>
          <w:tcPr>
            <w:tcW w:w="1891" w:type="dxa"/>
            <w:tcBorders>
              <w:top w:val="nil"/>
              <w:left w:val="nil"/>
              <w:bottom w:val="single" w:sz="4" w:space="0" w:color="000000"/>
              <w:right w:val="single" w:sz="4" w:space="0" w:color="000000"/>
            </w:tcBorders>
            <w:vAlign w:val="center"/>
          </w:tcPr>
          <w:p w14:paraId="77B6C259"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20.00 </w:t>
            </w:r>
          </w:p>
        </w:tc>
        <w:tc>
          <w:tcPr>
            <w:tcW w:w="1768" w:type="dxa"/>
            <w:tcBorders>
              <w:top w:val="nil"/>
              <w:left w:val="nil"/>
              <w:bottom w:val="single" w:sz="4" w:space="0" w:color="000000"/>
              <w:right w:val="single" w:sz="4" w:space="0" w:color="000000"/>
            </w:tcBorders>
            <w:vAlign w:val="center"/>
          </w:tcPr>
          <w:p w14:paraId="394ACD03" w14:textId="77777777" w:rsidR="0035611D" w:rsidRDefault="00A6742D">
            <w:pPr>
              <w:spacing w:before="0" w:after="0" w:line="240" w:lineRule="auto"/>
              <w:jc w:val="right"/>
              <w:rPr>
                <w:rFonts w:ascii="Arial" w:eastAsia="Arial" w:hAnsi="Arial" w:cs="Arial"/>
                <w:color w:val="000000"/>
              </w:rPr>
            </w:pPr>
            <w:r>
              <w:rPr>
                <w:rFonts w:ascii="Arial" w:eastAsia="Arial" w:hAnsi="Arial" w:cs="Arial"/>
                <w:color w:val="000000"/>
              </w:rPr>
              <w:t>10.00</w:t>
            </w:r>
          </w:p>
        </w:tc>
        <w:tc>
          <w:tcPr>
            <w:tcW w:w="2691" w:type="dxa"/>
            <w:tcBorders>
              <w:top w:val="nil"/>
              <w:left w:val="nil"/>
              <w:bottom w:val="single" w:sz="4" w:space="0" w:color="000000"/>
              <w:right w:val="single" w:sz="4" w:space="0" w:color="000000"/>
            </w:tcBorders>
            <w:vAlign w:val="center"/>
          </w:tcPr>
          <w:p w14:paraId="05A7CF86"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10.00 </w:t>
            </w:r>
          </w:p>
        </w:tc>
        <w:tc>
          <w:tcPr>
            <w:tcW w:w="1767" w:type="dxa"/>
            <w:tcBorders>
              <w:top w:val="nil"/>
              <w:left w:val="nil"/>
              <w:bottom w:val="nil"/>
              <w:right w:val="nil"/>
            </w:tcBorders>
            <w:vAlign w:val="bottom"/>
          </w:tcPr>
          <w:p w14:paraId="11D0FC95" w14:textId="77777777" w:rsidR="0035611D" w:rsidRDefault="0035611D">
            <w:pPr>
              <w:spacing w:before="0" w:after="0" w:line="240" w:lineRule="auto"/>
              <w:jc w:val="center"/>
              <w:rPr>
                <w:rFonts w:ascii="Arial" w:eastAsia="Arial" w:hAnsi="Arial" w:cs="Arial"/>
                <w:color w:val="000000"/>
              </w:rPr>
            </w:pPr>
          </w:p>
        </w:tc>
      </w:tr>
      <w:tr w:rsidR="0035611D" w14:paraId="5F0C456D" w14:textId="77777777">
        <w:trPr>
          <w:trHeight w:val="312"/>
          <w:jc w:val="center"/>
        </w:trPr>
        <w:tc>
          <w:tcPr>
            <w:tcW w:w="907" w:type="dxa"/>
            <w:tcBorders>
              <w:top w:val="nil"/>
              <w:left w:val="single" w:sz="4" w:space="0" w:color="000000"/>
              <w:bottom w:val="single" w:sz="4" w:space="0" w:color="000000"/>
              <w:right w:val="single" w:sz="4" w:space="0" w:color="000000"/>
            </w:tcBorders>
            <w:vAlign w:val="center"/>
          </w:tcPr>
          <w:p w14:paraId="76682333"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4</w:t>
            </w:r>
          </w:p>
        </w:tc>
        <w:tc>
          <w:tcPr>
            <w:tcW w:w="1891" w:type="dxa"/>
            <w:tcBorders>
              <w:top w:val="nil"/>
              <w:left w:val="nil"/>
              <w:bottom w:val="single" w:sz="4" w:space="0" w:color="000000"/>
              <w:right w:val="single" w:sz="4" w:space="0" w:color="000000"/>
            </w:tcBorders>
            <w:vAlign w:val="center"/>
          </w:tcPr>
          <w:p w14:paraId="141B573D"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25.00 </w:t>
            </w:r>
          </w:p>
        </w:tc>
        <w:tc>
          <w:tcPr>
            <w:tcW w:w="1768" w:type="dxa"/>
            <w:tcBorders>
              <w:top w:val="nil"/>
              <w:left w:val="nil"/>
              <w:bottom w:val="single" w:sz="4" w:space="0" w:color="000000"/>
              <w:right w:val="single" w:sz="4" w:space="0" w:color="000000"/>
            </w:tcBorders>
            <w:vAlign w:val="center"/>
          </w:tcPr>
          <w:p w14:paraId="77EE6E70" w14:textId="77777777" w:rsidR="0035611D" w:rsidRDefault="00A6742D">
            <w:pPr>
              <w:spacing w:before="0" w:after="0" w:line="240" w:lineRule="auto"/>
              <w:jc w:val="right"/>
              <w:rPr>
                <w:rFonts w:ascii="Arial" w:eastAsia="Arial" w:hAnsi="Arial" w:cs="Arial"/>
                <w:color w:val="000000"/>
              </w:rPr>
            </w:pPr>
            <w:r>
              <w:rPr>
                <w:rFonts w:ascii="Arial" w:eastAsia="Arial" w:hAnsi="Arial" w:cs="Arial"/>
                <w:color w:val="000000"/>
              </w:rPr>
              <w:t>10.00</w:t>
            </w:r>
          </w:p>
        </w:tc>
        <w:tc>
          <w:tcPr>
            <w:tcW w:w="2691" w:type="dxa"/>
            <w:tcBorders>
              <w:top w:val="nil"/>
              <w:left w:val="nil"/>
              <w:bottom w:val="single" w:sz="4" w:space="0" w:color="000000"/>
              <w:right w:val="single" w:sz="4" w:space="0" w:color="000000"/>
            </w:tcBorders>
            <w:vAlign w:val="center"/>
          </w:tcPr>
          <w:p w14:paraId="110FB022"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15.00 </w:t>
            </w:r>
          </w:p>
        </w:tc>
        <w:tc>
          <w:tcPr>
            <w:tcW w:w="1767" w:type="dxa"/>
            <w:tcBorders>
              <w:top w:val="nil"/>
              <w:left w:val="nil"/>
              <w:bottom w:val="nil"/>
              <w:right w:val="nil"/>
            </w:tcBorders>
            <w:vAlign w:val="bottom"/>
          </w:tcPr>
          <w:p w14:paraId="21E4BBFB" w14:textId="77777777" w:rsidR="0035611D" w:rsidRDefault="0035611D">
            <w:pPr>
              <w:spacing w:before="0" w:after="0" w:line="240" w:lineRule="auto"/>
              <w:jc w:val="center"/>
              <w:rPr>
                <w:rFonts w:ascii="Arial" w:eastAsia="Arial" w:hAnsi="Arial" w:cs="Arial"/>
                <w:color w:val="000000"/>
              </w:rPr>
            </w:pPr>
          </w:p>
        </w:tc>
      </w:tr>
      <w:tr w:rsidR="0035611D" w14:paraId="1A0FC589" w14:textId="77777777">
        <w:trPr>
          <w:trHeight w:val="312"/>
          <w:jc w:val="center"/>
        </w:trPr>
        <w:tc>
          <w:tcPr>
            <w:tcW w:w="907" w:type="dxa"/>
            <w:tcBorders>
              <w:top w:val="nil"/>
              <w:left w:val="single" w:sz="4" w:space="0" w:color="000000"/>
              <w:bottom w:val="single" w:sz="4" w:space="0" w:color="000000"/>
              <w:right w:val="single" w:sz="4" w:space="0" w:color="000000"/>
            </w:tcBorders>
            <w:vAlign w:val="center"/>
          </w:tcPr>
          <w:p w14:paraId="74D05E1B"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5</w:t>
            </w:r>
          </w:p>
        </w:tc>
        <w:tc>
          <w:tcPr>
            <w:tcW w:w="1891" w:type="dxa"/>
            <w:tcBorders>
              <w:top w:val="nil"/>
              <w:left w:val="nil"/>
              <w:bottom w:val="single" w:sz="4" w:space="0" w:color="000000"/>
              <w:right w:val="single" w:sz="4" w:space="0" w:color="000000"/>
            </w:tcBorders>
            <w:vAlign w:val="center"/>
          </w:tcPr>
          <w:p w14:paraId="78B72725"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                 5.00 </w:t>
            </w:r>
          </w:p>
        </w:tc>
        <w:tc>
          <w:tcPr>
            <w:tcW w:w="1768" w:type="dxa"/>
            <w:tcBorders>
              <w:top w:val="nil"/>
              <w:left w:val="nil"/>
              <w:bottom w:val="single" w:sz="4" w:space="0" w:color="000000"/>
              <w:right w:val="single" w:sz="4" w:space="0" w:color="000000"/>
            </w:tcBorders>
            <w:vAlign w:val="center"/>
          </w:tcPr>
          <w:p w14:paraId="2565A184" w14:textId="77777777" w:rsidR="0035611D" w:rsidRDefault="00A6742D">
            <w:pPr>
              <w:spacing w:before="0" w:after="0" w:line="240" w:lineRule="auto"/>
              <w:jc w:val="right"/>
              <w:rPr>
                <w:rFonts w:ascii="Arial" w:eastAsia="Arial" w:hAnsi="Arial" w:cs="Arial"/>
                <w:color w:val="000000"/>
              </w:rPr>
            </w:pPr>
            <w:r>
              <w:rPr>
                <w:rFonts w:ascii="Arial" w:eastAsia="Arial" w:hAnsi="Arial" w:cs="Arial"/>
                <w:color w:val="000000"/>
              </w:rPr>
              <w:t>10.00</w:t>
            </w:r>
          </w:p>
        </w:tc>
        <w:tc>
          <w:tcPr>
            <w:tcW w:w="2691" w:type="dxa"/>
            <w:tcBorders>
              <w:top w:val="nil"/>
              <w:left w:val="nil"/>
              <w:bottom w:val="single" w:sz="4" w:space="0" w:color="000000"/>
              <w:right w:val="single" w:sz="4" w:space="0" w:color="000000"/>
            </w:tcBorders>
            <w:vAlign w:val="center"/>
          </w:tcPr>
          <w:p w14:paraId="46F20E28" w14:textId="77777777" w:rsidR="0035611D" w:rsidRDefault="00A6742D">
            <w:pPr>
              <w:spacing w:before="0" w:after="0" w:line="240" w:lineRule="auto"/>
              <w:jc w:val="center"/>
              <w:rPr>
                <w:rFonts w:ascii="Arial" w:eastAsia="Arial" w:hAnsi="Arial" w:cs="Arial"/>
                <w:color w:val="000000"/>
              </w:rPr>
            </w:pPr>
            <w:r>
              <w:rPr>
                <w:rFonts w:ascii="Arial" w:eastAsia="Arial" w:hAnsi="Arial" w:cs="Arial"/>
                <w:color w:val="000000"/>
              </w:rPr>
              <w:t xml:space="preserve">-£                              5.00 </w:t>
            </w:r>
          </w:p>
        </w:tc>
        <w:tc>
          <w:tcPr>
            <w:tcW w:w="1767" w:type="dxa"/>
            <w:tcBorders>
              <w:top w:val="nil"/>
              <w:left w:val="nil"/>
              <w:bottom w:val="nil"/>
              <w:right w:val="nil"/>
            </w:tcBorders>
            <w:vAlign w:val="bottom"/>
          </w:tcPr>
          <w:p w14:paraId="4F160021" w14:textId="77777777" w:rsidR="0035611D" w:rsidRDefault="0035611D">
            <w:pPr>
              <w:spacing w:before="0" w:after="0" w:line="240" w:lineRule="auto"/>
              <w:jc w:val="center"/>
              <w:rPr>
                <w:rFonts w:ascii="Arial" w:eastAsia="Arial" w:hAnsi="Arial" w:cs="Arial"/>
                <w:color w:val="000000"/>
              </w:rPr>
            </w:pPr>
          </w:p>
        </w:tc>
      </w:tr>
      <w:tr w:rsidR="0035611D" w14:paraId="59F557C7" w14:textId="77777777">
        <w:trPr>
          <w:trHeight w:val="312"/>
          <w:jc w:val="center"/>
        </w:trPr>
        <w:tc>
          <w:tcPr>
            <w:tcW w:w="4566" w:type="dxa"/>
            <w:gridSpan w:val="3"/>
            <w:tcBorders>
              <w:top w:val="single" w:sz="4" w:space="0" w:color="000000"/>
              <w:left w:val="single" w:sz="4" w:space="0" w:color="000000"/>
              <w:bottom w:val="single" w:sz="4" w:space="0" w:color="000000"/>
              <w:right w:val="single" w:sz="4" w:space="0" w:color="000000"/>
            </w:tcBorders>
            <w:shd w:val="clear" w:color="auto" w:fill="92D050"/>
            <w:vAlign w:val="center"/>
          </w:tcPr>
          <w:p w14:paraId="6A19E08C"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 xml:space="preserve">"Accounting Rate of Return (ARR) of Project C" </w:t>
            </w:r>
          </w:p>
        </w:tc>
        <w:tc>
          <w:tcPr>
            <w:tcW w:w="2691" w:type="dxa"/>
            <w:tcBorders>
              <w:top w:val="nil"/>
              <w:left w:val="nil"/>
              <w:bottom w:val="single" w:sz="4" w:space="0" w:color="000000"/>
              <w:right w:val="single" w:sz="4" w:space="0" w:color="000000"/>
            </w:tcBorders>
            <w:shd w:val="clear" w:color="auto" w:fill="92D050"/>
            <w:vAlign w:val="center"/>
          </w:tcPr>
          <w:p w14:paraId="7DC85B82" w14:textId="77777777" w:rsidR="0035611D" w:rsidRDefault="00A6742D">
            <w:pPr>
              <w:spacing w:before="0" w:after="0" w:line="240" w:lineRule="auto"/>
              <w:jc w:val="center"/>
              <w:rPr>
                <w:rFonts w:ascii="Arial" w:eastAsia="Arial" w:hAnsi="Arial" w:cs="Arial"/>
                <w:b/>
                <w:bCs/>
                <w:color w:val="000000"/>
              </w:rPr>
            </w:pPr>
            <w:r>
              <w:rPr>
                <w:rFonts w:ascii="Arial" w:eastAsia="Arial" w:hAnsi="Arial" w:cs="Arial"/>
                <w:b/>
                <w:bCs/>
                <w:color w:val="000000"/>
              </w:rPr>
              <w:t>6.00%</w:t>
            </w:r>
          </w:p>
        </w:tc>
        <w:tc>
          <w:tcPr>
            <w:tcW w:w="1767" w:type="dxa"/>
            <w:tcBorders>
              <w:top w:val="nil"/>
              <w:left w:val="nil"/>
              <w:bottom w:val="nil"/>
              <w:right w:val="nil"/>
            </w:tcBorders>
            <w:vAlign w:val="bottom"/>
          </w:tcPr>
          <w:p w14:paraId="0A6B85B6" w14:textId="77777777" w:rsidR="0035611D" w:rsidRDefault="0035611D">
            <w:pPr>
              <w:spacing w:before="0" w:after="0" w:line="240" w:lineRule="auto"/>
              <w:jc w:val="center"/>
              <w:rPr>
                <w:rFonts w:ascii="Arial" w:eastAsia="Arial" w:hAnsi="Arial" w:cs="Arial"/>
                <w:b/>
                <w:bCs/>
                <w:color w:val="000000"/>
              </w:rPr>
            </w:pPr>
          </w:p>
        </w:tc>
      </w:tr>
    </w:tbl>
    <w:p w14:paraId="34356421" w14:textId="77777777" w:rsidR="0035611D" w:rsidRDefault="00A6742D">
      <w:pPr>
        <w:spacing w:before="200" w:after="200"/>
        <w:jc w:val="center"/>
        <w:rPr>
          <w:rFonts w:ascii="Arial" w:eastAsia="Arial" w:hAnsi="Arial" w:cs="Arial"/>
        </w:rPr>
      </w:pPr>
      <w:r>
        <w:rPr>
          <w:rFonts w:ascii="Arial" w:eastAsia="Arial" w:hAnsi="Arial" w:cs="Arial"/>
        </w:rPr>
        <w:t>(Source: MS-Excel)</w:t>
      </w:r>
    </w:p>
    <w:p w14:paraId="7F4F22F9" w14:textId="77777777" w:rsidR="0035611D" w:rsidRDefault="00A6742D">
      <w:pPr>
        <w:rPr>
          <w:rFonts w:ascii="Arial" w:eastAsia="Arial" w:hAnsi="Arial" w:cs="Arial"/>
        </w:rPr>
      </w:pPr>
      <w:r>
        <w:br w:type="page"/>
      </w:r>
    </w:p>
    <w:p w14:paraId="19FD9442" w14:textId="77777777" w:rsidR="0035611D" w:rsidRDefault="00A6742D">
      <w:pPr>
        <w:pStyle w:val="Heading1"/>
      </w:pPr>
      <w:bookmarkStart w:id="67" w:name="_ytqitsywbmnz" w:colFirst="0" w:colLast="0"/>
      <w:bookmarkEnd w:id="67"/>
      <w:r>
        <w:t xml:space="preserve">9. AI Acknowledgement </w:t>
      </w:r>
    </w:p>
    <w:p w14:paraId="302D6DBC" w14:textId="77777777" w:rsidR="0035611D" w:rsidRDefault="00A6742D">
      <w:pPr>
        <w:spacing w:before="200" w:after="200"/>
        <w:rPr>
          <w:rFonts w:ascii="Arial" w:eastAsia="Arial" w:hAnsi="Arial" w:cs="Arial"/>
        </w:rPr>
      </w:pPr>
      <w:r>
        <w:rPr>
          <w:rFonts w:ascii="Arial" w:eastAsia="Arial" w:hAnsi="Arial" w:cs="Arial"/>
        </w:rPr>
        <w:t>I can affirm that I used AI tools merely to help with structuring and organising the report to meet the academic requirements.</w:t>
      </w:r>
    </w:p>
    <w:sectPr w:rsidR="0035611D">
      <w:headerReference w:type="default" r:id="rId54"/>
      <w:footerReference w:type="default" r:id="rId55"/>
      <w:headerReference w:type="first" r:id="rId56"/>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19CED" w14:textId="77777777" w:rsidR="00A6742D" w:rsidRDefault="00A6742D">
      <w:pPr>
        <w:spacing w:before="0" w:after="0" w:line="240" w:lineRule="auto"/>
      </w:pPr>
      <w:r>
        <w:separator/>
      </w:r>
    </w:p>
  </w:endnote>
  <w:endnote w:type="continuationSeparator" w:id="0">
    <w:p w14:paraId="447C3B62" w14:textId="77777777" w:rsidR="00A6742D" w:rsidRDefault="00A6742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B691F" w14:textId="77777777" w:rsidR="0035611D" w:rsidRDefault="00A6742D">
    <w:pPr>
      <w:jc w:val="right"/>
      <w:rPr>
        <w:rFonts w:ascii="Arial" w:eastAsia="Arial" w:hAnsi="Arial" w:cs="Arial"/>
        <w:sz w:val="20"/>
        <w:szCs w:val="20"/>
      </w:rPr>
    </w:pPr>
    <w:r>
      <w:rPr>
        <w:rFonts w:ascii="Arial" w:eastAsia="Arial" w:hAnsi="Arial" w:cs="Arial"/>
        <w:sz w:val="20"/>
        <w:szCs w:val="20"/>
      </w:rPr>
      <w:fldChar w:fldCharType="begin"/>
    </w:r>
    <w:r>
      <w:rPr>
        <w:rFonts w:ascii="Arial" w:eastAsia="Arial" w:hAnsi="Arial" w:cs="Arial"/>
        <w:sz w:val="20"/>
        <w:szCs w:val="20"/>
      </w:rPr>
      <w:instrText>PAGE</w:instrText>
    </w:r>
    <w:r>
      <w:rPr>
        <w:rFonts w:ascii="Arial" w:eastAsia="Arial" w:hAnsi="Arial" w:cs="Arial"/>
        <w:sz w:val="20"/>
        <w:szCs w:val="20"/>
      </w:rPr>
      <w:fldChar w:fldCharType="separate"/>
    </w:r>
    <w:r>
      <w:rPr>
        <w:rFonts w:ascii="Arial" w:eastAsia="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5BE1E" w14:textId="77777777" w:rsidR="00A6742D" w:rsidRDefault="00A6742D">
      <w:pPr>
        <w:spacing w:before="0" w:after="0" w:line="240" w:lineRule="auto"/>
      </w:pPr>
      <w:r>
        <w:separator/>
      </w:r>
    </w:p>
  </w:footnote>
  <w:footnote w:type="continuationSeparator" w:id="0">
    <w:p w14:paraId="303EB629" w14:textId="77777777" w:rsidR="00A6742D" w:rsidRDefault="00A6742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8A5EB" w14:textId="77777777" w:rsidR="0035611D" w:rsidRDefault="00A6742D">
    <w:r>
      <w:t xml:space="preserve">                                                                                                                                         </w:t>
    </w:r>
    <w:r>
      <w:rPr>
        <w:noProof/>
      </w:rPr>
      <w:drawing>
        <wp:anchor distT="0" distB="0" distL="114300" distR="114300" simplePos="0" relativeHeight="251658240" behindDoc="0" locked="0" layoutInCell="1" hidden="0" allowOverlap="1" wp14:anchorId="7549CC1C" wp14:editId="2B28435C">
          <wp:simplePos x="0" y="0"/>
          <wp:positionH relativeFrom="column">
            <wp:posOffset>4892040</wp:posOffset>
          </wp:positionH>
          <wp:positionV relativeFrom="paragraph">
            <wp:posOffset>-259078</wp:posOffset>
          </wp:positionV>
          <wp:extent cx="1547813" cy="617386"/>
          <wp:effectExtent l="0" t="0" r="0" b="0"/>
          <wp:wrapSquare wrapText="bothSides" distT="0" distB="0" distL="114300" distR="114300"/>
          <wp:docPr id="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1547813" cy="617386"/>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A4929" w14:textId="77777777" w:rsidR="0035611D" w:rsidRDefault="00A6742D">
    <w:pPr>
      <w:pBdr>
        <w:top w:val="nil"/>
        <w:left w:val="nil"/>
        <w:bottom w:val="nil"/>
        <w:right w:val="nil"/>
        <w:between w:val="nil"/>
      </w:pBdr>
      <w:tabs>
        <w:tab w:val="center" w:pos="4513"/>
        <w:tab w:val="right" w:pos="9026"/>
      </w:tabs>
      <w:spacing w:before="0" w:after="0" w:line="240" w:lineRule="auto"/>
      <w:rPr>
        <w:color w:val="000000"/>
      </w:rPr>
    </w:pPr>
    <w:r>
      <w:rPr>
        <w:noProof/>
      </w:rPr>
      <w:drawing>
        <wp:anchor distT="0" distB="0" distL="114300" distR="114300" simplePos="0" relativeHeight="251659264" behindDoc="0" locked="0" layoutInCell="1" hidden="0" allowOverlap="1" wp14:anchorId="42ACFD8F" wp14:editId="01882853">
          <wp:simplePos x="0" y="0"/>
          <wp:positionH relativeFrom="column">
            <wp:posOffset>4907280</wp:posOffset>
          </wp:positionH>
          <wp:positionV relativeFrom="paragraph">
            <wp:posOffset>-281939</wp:posOffset>
          </wp:positionV>
          <wp:extent cx="1547495" cy="617220"/>
          <wp:effectExtent l="0" t="0" r="0" b="0"/>
          <wp:wrapSquare wrapText="bothSides" distT="0" distB="0" distL="114300" distR="1143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1547495" cy="61722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11D"/>
    <w:rsid w:val="0035611D"/>
    <w:rsid w:val="00597F58"/>
    <w:rsid w:val="00A67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F1E2521"/>
  <w15:docId w15:val="{25FFAE55-0B7E-9547-A569-EA0DC01FF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outlineLvl w:val="0"/>
    </w:pPr>
    <w:rPr>
      <w:rFonts w:ascii="Arial" w:eastAsia="Arial" w:hAnsi="Arial" w:cs="Arial"/>
      <w:b/>
      <w:bCs/>
      <w:sz w:val="28"/>
      <w:szCs w:val="28"/>
    </w:rPr>
  </w:style>
  <w:style w:type="paragraph" w:styleId="Heading2">
    <w:name w:val="heading 2"/>
    <w:basedOn w:val="Normal"/>
    <w:next w:val="Normal"/>
    <w:uiPriority w:val="9"/>
    <w:unhideWhenUsed/>
    <w:qFormat/>
    <w:pPr>
      <w:keepNext/>
      <w:keepLines/>
      <w:spacing w:before="200" w:after="200"/>
      <w:outlineLvl w:val="1"/>
    </w:pPr>
    <w:rPr>
      <w:rFonts w:ascii="Arial" w:eastAsia="Arial" w:hAnsi="Arial" w:cs="Arial"/>
      <w:b/>
      <w:bCs/>
      <w:sz w:val="26"/>
      <w:szCs w:val="26"/>
    </w:rPr>
  </w:style>
  <w:style w:type="paragraph" w:styleId="Heading3">
    <w:name w:val="heading 3"/>
    <w:basedOn w:val="Normal"/>
    <w:next w:val="Normal"/>
    <w:uiPriority w:val="9"/>
    <w:unhideWhenUsed/>
    <w:qFormat/>
    <w:pPr>
      <w:keepNext/>
      <w:keepLines/>
      <w:spacing w:before="200" w:after="200"/>
      <w:outlineLvl w:val="2"/>
    </w:pPr>
    <w:rPr>
      <w:rFonts w:ascii="Arial" w:eastAsia="Arial" w:hAnsi="Arial" w:cs="Arial"/>
      <w:b/>
      <w:bCs/>
    </w:rPr>
  </w:style>
  <w:style w:type="paragraph" w:styleId="Heading4">
    <w:name w:val="heading 4"/>
    <w:basedOn w:val="Normal"/>
    <w:next w:val="Normal"/>
    <w:uiPriority w:val="9"/>
    <w:semiHidden/>
    <w:unhideWhenUsed/>
    <w:qFormat/>
    <w:pPr>
      <w:keepNext/>
      <w:keepLines/>
      <w:spacing w:before="200" w:after="200"/>
      <w:outlineLvl w:val="3"/>
    </w:pPr>
    <w:rPr>
      <w:rFonts w:ascii="Arial" w:eastAsia="Arial" w:hAnsi="Arial" w:cs="Arial"/>
      <w:b/>
      <w:bCs/>
    </w:rPr>
  </w:style>
  <w:style w:type="paragraph" w:styleId="Heading5">
    <w:name w:val="heading 5"/>
    <w:basedOn w:val="Normal"/>
    <w:next w:val="Normal"/>
    <w:uiPriority w:val="9"/>
    <w:semiHidden/>
    <w:unhideWhenUsed/>
    <w:qFormat/>
    <w:pPr>
      <w:keepNext/>
      <w:keepLines/>
      <w:jc w:val="center"/>
      <w:outlineLvl w:val="4"/>
    </w:pPr>
    <w:rPr>
      <w:b/>
      <w:bCs/>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tandfonline.com/doi/abs/10.1080/08941920.2022.2049410" TargetMode="External" /><Relationship Id="rId18" Type="http://schemas.openxmlformats.org/officeDocument/2006/relationships/hyperlink" Target="https://www.atlantis-press.com/article/126008536.pdf" TargetMode="External" /><Relationship Id="rId26" Type="http://schemas.openxmlformats.org/officeDocument/2006/relationships/hyperlink" Target="https://elibrary.ru/item.asp?id=81154433" TargetMode="External" /><Relationship Id="rId39" Type="http://schemas.openxmlformats.org/officeDocument/2006/relationships/hyperlink" Target="https://finance.yahoo.com/quote/TSLA/history/?utm_source=chatgpt.com&amp;guccounter=1&amp;guce_referrer=aHR0cHM6Ly9jaGF0Z3B0LmNvbS8&amp;guce_referrer_sig=AQAAAGa6aklRP6RWlBYu4RlU4EAeLu6MTnAZjVfRkoo3P8Et3cEWz83e56fi5c7VBCpDPMqXWiM8XzU1-y_GPBOsJsQ_fb8YZxCwsFouyi3QK6-yVbVi0Cme7HgcE5C1ViXEuziosUVkun7nvZFGKKOcW14_OwhOUybPOpJsITojVaYT&amp;period1=1616594957&amp;period2=1774361309" TargetMode="External" /><Relationship Id="rId21" Type="http://schemas.openxmlformats.org/officeDocument/2006/relationships/hyperlink" Target="https://proceeding.umsu.ac.id/index.php/Miceb/article/download/282/303" TargetMode="External" /><Relationship Id="rId34" Type="http://schemas.openxmlformats.org/officeDocument/2006/relationships/hyperlink" Target="https://jurnal.feb-umi.id/index.php/ATESTASI/article/download/32/13" TargetMode="External" /><Relationship Id="rId42" Type="http://schemas.openxmlformats.org/officeDocument/2006/relationships/image" Target="media/image4.png" /><Relationship Id="rId47" Type="http://schemas.openxmlformats.org/officeDocument/2006/relationships/image" Target="media/image9.png" /><Relationship Id="rId50" Type="http://schemas.openxmlformats.org/officeDocument/2006/relationships/image" Target="media/image12.png" /><Relationship Id="rId55" Type="http://schemas.openxmlformats.org/officeDocument/2006/relationships/footer" Target="footer1.xml" /><Relationship Id="rId7" Type="http://schemas.openxmlformats.org/officeDocument/2006/relationships/hyperlink" Target="https://www.econstor.eu/bitstream/10419/305960/1/id596.pdf" TargetMode="External" /><Relationship Id="rId12" Type="http://schemas.openxmlformats.org/officeDocument/2006/relationships/hyperlink" Target="https://search.proquest.com/openview/d14f2c634ea17c5724049e371b9bf5b1/1?pq-origsite=gscholar&amp;cbl=2026366&amp;diss=y" TargetMode="External" /><Relationship Id="rId17" Type="http://schemas.openxmlformats.org/officeDocument/2006/relationships/hyperlink" Target="https://journals.plos.org/plosone/article/file?id=10.1371/journal.pone.0263689&amp;type=printable" TargetMode="External" /><Relationship Id="rId25" Type="http://schemas.openxmlformats.org/officeDocument/2006/relationships/hyperlink" Target="https://lutpub.lut.fi/bitstream/handle/10024/168870/bachelorsthesis_paakko_otto.pdf?sequence=1" TargetMode="External" /><Relationship Id="rId33" Type="http://schemas.openxmlformats.org/officeDocument/2006/relationships/hyperlink" Target="https://www.a-fl-insight.com/vol-15/80.pdf" TargetMode="External" /><Relationship Id="rId38" Type="http://schemas.openxmlformats.org/officeDocument/2006/relationships/hyperlink" Target="https://www.annualreports.com/HostedData/AnnualReports/PDF/NASDAQ_TSLA_2024.pdf" TargetMode="External" /><Relationship Id="rId46" Type="http://schemas.openxmlformats.org/officeDocument/2006/relationships/image" Target="media/image8.png" /><Relationship Id="rId2" Type="http://schemas.openxmlformats.org/officeDocument/2006/relationships/settings" Target="settings.xml" /><Relationship Id="rId16" Type="http://schemas.openxmlformats.org/officeDocument/2006/relationships/hyperlink" Target="https://pdfs.semanticscholar.org/13d2/10f4a9e7d5c3806b1f364c066b5617a3823c.pdf" TargetMode="External" /><Relationship Id="rId20" Type="http://schemas.openxmlformats.org/officeDocument/2006/relationships/hyperlink" Target="https://www.researchgate.net/profile/Marcin-Majka-2/publication/381402363_Understanding_Efficiency_Ratios/links/666b64b9de777205a32c2aa5/Understanding-Efficiency-Ratios.pdf" TargetMode="External" /><Relationship Id="rId29" Type="http://schemas.openxmlformats.org/officeDocument/2006/relationships/hyperlink" Target="https://jurnal.mediaakademik.com/index.php/jma/article/download/773/718" TargetMode="External" /><Relationship Id="rId41" Type="http://schemas.openxmlformats.org/officeDocument/2006/relationships/image" Target="media/image3.png" /><Relationship Id="rId54" Type="http://schemas.openxmlformats.org/officeDocument/2006/relationships/header" Target="header1.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hyperlink" Target="https://www.atlantis-press.com/article/126014981.pdf" TargetMode="External" /><Relationship Id="rId24" Type="http://schemas.openxmlformats.org/officeDocument/2006/relationships/hyperlink" Target="https://www.neliti.com/publications/620973/gearing-ratio-and-operating-cash-flow-performance-of-quoted-manufacturing-firms" TargetMode="External" /><Relationship Id="rId32" Type="http://schemas.openxmlformats.org/officeDocument/2006/relationships/hyperlink" Target="https://pdfs.semanticscholar.org/35f5/923a958b071288b38d4e960e8268477ec19a.pdf" TargetMode="External" /><Relationship Id="rId37" Type="http://schemas.openxmlformats.org/officeDocument/2006/relationships/hyperlink" Target="https://www.annualreports.com/HostedData/AnnualReportArchive/t/NASDAQ_TSLA_2023.pdf" TargetMode="External" /><Relationship Id="rId40" Type="http://schemas.openxmlformats.org/officeDocument/2006/relationships/image" Target="media/image2.png" /><Relationship Id="rId45" Type="http://schemas.openxmlformats.org/officeDocument/2006/relationships/image" Target="media/image7.png" /><Relationship Id="rId53" Type="http://schemas.openxmlformats.org/officeDocument/2006/relationships/image" Target="media/image15.png" /><Relationship Id="rId58" Type="http://schemas.openxmlformats.org/officeDocument/2006/relationships/theme" Target="theme/theme1.xml" /><Relationship Id="rId5" Type="http://schemas.openxmlformats.org/officeDocument/2006/relationships/endnotes" Target="endnotes.xml" /><Relationship Id="rId15" Type="http://schemas.openxmlformats.org/officeDocument/2006/relationships/hyperlink" Target="https://www.atlantis-press.com/article/126013059.pdf" TargetMode="External" /><Relationship Id="rId23" Type="http://schemas.openxmlformats.org/officeDocument/2006/relationships/hyperlink" Target="https://pdfs.semanticscholar.org/1cfd/04e51b1da883ff13930e4e44ad206ccd3840.pdf" TargetMode="External" /><Relationship Id="rId28" Type="http://schemas.openxmlformats.org/officeDocument/2006/relationships/hyperlink" Target="https://digitalcommons.liberty.edu/cgi/viewcontent.cgi?article=2469&amp;context=honors" TargetMode="External" /><Relationship Id="rId36" Type="http://schemas.openxmlformats.org/officeDocument/2006/relationships/hyperlink" Target="https://www.annualreports.com/HostedData/AnnualReportArchive/t/NASDAQ_TSLA_2022.pdf" TargetMode="External" /><Relationship Id="rId49" Type="http://schemas.openxmlformats.org/officeDocument/2006/relationships/image" Target="media/image11.png" /><Relationship Id="rId57" Type="http://schemas.openxmlformats.org/officeDocument/2006/relationships/fontTable" Target="fontTable.xml" /><Relationship Id="rId10" Type="http://schemas.openxmlformats.org/officeDocument/2006/relationships/hyperlink" Target="http://journals.iarn.or.id/index.php/ARJ/article/download/208/141" TargetMode="External" /><Relationship Id="rId19" Type="http://schemas.openxmlformats.org/officeDocument/2006/relationships/hyperlink" Target="https://www.atlantis-press.com/article/126017147.pdf" TargetMode="External" /><Relationship Id="rId31" Type="http://schemas.openxmlformats.org/officeDocument/2006/relationships/hyperlink" Target="https://www.atlantis-press.com/article/125975449.pdf" TargetMode="External" /><Relationship Id="rId44" Type="http://schemas.openxmlformats.org/officeDocument/2006/relationships/image" Target="media/image6.png" /><Relationship Id="rId52" Type="http://schemas.openxmlformats.org/officeDocument/2006/relationships/image" Target="media/image14.png" /><Relationship Id="rId4" Type="http://schemas.openxmlformats.org/officeDocument/2006/relationships/footnotes" Target="footnotes.xml" /><Relationship Id="rId9" Type="http://schemas.openxmlformats.org/officeDocument/2006/relationships/hyperlink" Target="https://papers.ssrn.com/sol3/Delivery.cfm?abstractid=5004465" TargetMode="External" /><Relationship Id="rId14" Type="http://schemas.openxmlformats.org/officeDocument/2006/relationships/hyperlink" Target="https://sure.sunderland.ac.uk/id/eprint/18412/1/pdf.pdf" TargetMode="External" /><Relationship Id="rId22" Type="http://schemas.openxmlformats.org/officeDocument/2006/relationships/hyperlink" Target="https://africanscholarpub.com/ajbdmr/article/download/573/577" TargetMode="External" /><Relationship Id="rId27" Type="http://schemas.openxmlformats.org/officeDocument/2006/relationships/hyperlink" Target="https://www.academia.edu/download/124198295/Accelerating_the_Future_Tesla_Market_Strategy_and_Growth_Opportunities.pdf" TargetMode="External" /><Relationship Id="rId30" Type="http://schemas.openxmlformats.org/officeDocument/2006/relationships/hyperlink" Target="http://drpehss.com/index.php/ojs/article/download/22/21" TargetMode="External" /><Relationship Id="rId35" Type="http://schemas.openxmlformats.org/officeDocument/2006/relationships/hyperlink" Target="https://www.annualreports.com/HostedData/AnnualReportArchive/t/NASDAQ_TSLA_2020.pdf" TargetMode="External" /><Relationship Id="rId43" Type="http://schemas.openxmlformats.org/officeDocument/2006/relationships/image" Target="media/image5.png" /><Relationship Id="rId48" Type="http://schemas.openxmlformats.org/officeDocument/2006/relationships/image" Target="media/image10.png" /><Relationship Id="rId56" Type="http://schemas.openxmlformats.org/officeDocument/2006/relationships/header" Target="header2.xml" /><Relationship Id="rId8" Type="http://schemas.openxmlformats.org/officeDocument/2006/relationships/hyperlink" Target="https://www.academia.edu/download/106769993/cash-conversion-cycle-and-firms-performance.pdf" TargetMode="External" /><Relationship Id="rId51" Type="http://schemas.openxmlformats.org/officeDocument/2006/relationships/image" Target="media/image13.png" /><Relationship Id="rId3" Type="http://schemas.openxmlformats.org/officeDocument/2006/relationships/webSettings" Target="webSettings.xml" /></Relationships>
</file>

<file path=word/_rels/header1.xml.rels><?xml version="1.0" encoding="UTF-8" standalone="yes"?>
<Relationships xmlns="http://schemas.openxmlformats.org/package/2006/relationships"><Relationship Id="rId1" Type="http://schemas.openxmlformats.org/officeDocument/2006/relationships/image" Target="media/image16.png" /></Relationships>
</file>

<file path=word/_rels/header2.xml.rels><?xml version="1.0" encoding="UTF-8" standalone="yes"?>
<Relationships xmlns="http://schemas.openxmlformats.org/package/2006/relationships"><Relationship Id="rId1" Type="http://schemas.openxmlformats.org/officeDocument/2006/relationships/image" Target="media/image1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8345</Words>
  <Characters>47568</Characters>
  <Application>Microsoft Office Word</Application>
  <DocSecurity>0</DocSecurity>
  <Lines>396</Lines>
  <Paragraphs>111</Paragraphs>
  <ScaleCrop>false</ScaleCrop>
  <Company/>
  <LinksUpToDate>false</LinksUpToDate>
  <CharactersWithSpaces>55802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Ishan Dineshbhai Rana (2507137)</cp:lastModifiedBy>
  <cp:revision>2</cp:revision>
  <dcterms:created xsi:type="dcterms:W3CDTF">2026-04-24T08:28:00Z</dcterms:created>
  <dcterms:modified xsi:type="dcterms:W3CDTF">2026-04-24T08:28:00Z</dcterms:modified>
</cp:coreProperties>
</file>