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FFFFFF" w:themeColor="background1"/>
  <w:body>
    <w:sdt>
      <w:sdtPr>
        <w:id w:val="584957897"/>
        <w:docPartObj>
          <w:docPartGallery w:val="Cover Pages"/>
          <w:docPartUnique/>
        </w:docPartObj>
      </w:sdtPr>
      <w:sdtContent>
        <w:p w14:paraId="6AEAD68C" w14:textId="7840FBC0" w:rsidR="00B66DB1" w:rsidRDefault="00B66DB1">
          <w:r>
            <w:rPr>
              <w:noProof/>
            </w:rPr>
            <mc:AlternateContent>
              <mc:Choice Requires="wpg">
                <w:drawing>
                  <wp:anchor distT="0" distB="0" distL="114300" distR="114300" simplePos="0" relativeHeight="251662336" behindDoc="0" locked="0" layoutInCell="1" allowOverlap="1" wp14:anchorId="4E35B04B" wp14:editId="7047D1DD">
                    <wp:simplePos x="0" y="0"/>
                    <wp:positionH relativeFrom="margin">
                      <wp:align>center</wp:align>
                    </wp:positionH>
                    <wp:positionV relativeFrom="margin">
                      <wp:posOffset>-781050</wp:posOffset>
                    </wp:positionV>
                    <wp:extent cx="7315200" cy="1215391"/>
                    <wp:effectExtent l="0" t="0" r="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0A81CCFF" id="Group 157" o:spid="_x0000_s1026" style="position:absolute;margin-left:0;margin-top:-61.5pt;width:8in;height:95.7pt;z-index:251662336;mso-width-percent:941;mso-height-percent:121;mso-position-horizontal:center;mso-position-horizontal-relative:margin;mso-position-vertical-relative:margin;mso-width-percent:941;mso-height-percent:121"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By7pJrdAAAACQEAAA8AAABkcnMvZG93&#10;bnJldi54bWxMj8FuwjAQRO+V+g/WVuoNnKQ0QiEOAqR+QGmFOJp4SSLidYgdSPr1XU7tbVazmnmT&#10;r0fbihv2vnGkIJ5HIJBKZxqqFHx/fcyWIHzQZHTrCBVM6GFdPD/lOjPuTp9424dKcAj5TCuoQ+gy&#10;KX1Zo9V+7jok9s6utzrw2VfS9PrO4baVSRSl0uqGuKHWHe5qLC/7wXLvMdkO8c80kTweLttuSq/D&#10;4qrU68u4WYEIOIa/Z3jgMzoUzHRyAxkvWgU8JCiYxckbq4cfvyesTgrS5QJkkcv/C4pfAAAA//8D&#10;AFBLAwQUAAYACAAAACEAqiYOvrwAAAAhAQAAGQAAAGRycy9fcmVscy9lMm9Eb2MueG1sLnJlbHOE&#10;j0FqwzAQRfeF3EHMPpadRSjFsjeh4G1IDjBIY1nEGglJLfXtI8gmgUCX8z//PaYf//wqfillF1hB&#10;17QgiHUwjq2C6+V7/wkiF2SDa2BSsFGGcdh99GdasdRRXlzMolI4K1hKiV9SZr2Qx9yESFybOSSP&#10;pZ7Jyoj6hpbkoW2PMj0zYHhhiskoSJPpQFy2WM3/s8M8O02noH88cXmjkM5XdwVislQUeDIOH2HX&#10;RLYgh16+PDbcAQAA//8DAFBLAQItABQABgAIAAAAIQCxgme2CgEAABMCAAATAAAAAAAAAAAAAAAA&#10;AAAAAABbQ29udGVudF9UeXBlc10ueG1sUEsBAi0AFAAGAAgAAAAhADj9If/WAAAAlAEAAAsAAAAA&#10;AAAAAAAAAAAAOwEAAF9yZWxzLy5yZWxzUEsBAi0AFAAGAAgAAAAhAAqH5oyDBQAAfhsAAA4AAAAA&#10;AAAAAAAAAAAAOgIAAGRycy9lMm9Eb2MueG1sUEsBAi0ACgAAAAAAAAAhAJsbFBFoZAAAaGQAABQA&#10;AAAAAAAAAAAAAAAA6QcAAGRycy9tZWRpYS9pbWFnZTEucG5nUEsBAi0AFAAGAAgAAAAhABy7pJrd&#10;AAAACQEAAA8AAAAAAAAAAAAAAAAAg2wAAGRycy9kb3ducmV2LnhtbFBLAQItABQABgAIAAAAIQCq&#10;Jg6+vAAAACEBAAAZAAAAAAAAAAAAAAAAAI1tAABkcnMvX3JlbHMvZTJvRG9jLnhtbC5yZWxzUEsF&#10;BgAAAAAGAAYAfAEAAIB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156082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margin" anchory="margin"/>
                  </v:group>
                </w:pict>
              </mc:Fallback>
            </mc:AlternateContent>
          </w:r>
        </w:p>
        <w:p w14:paraId="0F1BE7ED" w14:textId="2E6F038A" w:rsidR="00DD429C" w:rsidRDefault="00B66DB1" w:rsidP="00DD429C">
          <w:r>
            <w:rPr>
              <w:noProof/>
            </w:rPr>
            <mc:AlternateContent>
              <mc:Choice Requires="wps">
                <w:drawing>
                  <wp:anchor distT="0" distB="0" distL="114300" distR="114300" simplePos="0" relativeHeight="251665408" behindDoc="0" locked="0" layoutInCell="1" allowOverlap="1" wp14:anchorId="15716E83" wp14:editId="62FEA2A1">
                    <wp:simplePos x="0" y="0"/>
                    <wp:positionH relativeFrom="column">
                      <wp:posOffset>3619500</wp:posOffset>
                    </wp:positionH>
                    <wp:positionV relativeFrom="paragraph">
                      <wp:posOffset>8143875</wp:posOffset>
                    </wp:positionV>
                    <wp:extent cx="2876550" cy="1200150"/>
                    <wp:effectExtent l="0" t="0" r="19050" b="19050"/>
                    <wp:wrapNone/>
                    <wp:docPr id="1454759446" name="Text Box 1"/>
                    <wp:cNvGraphicFramePr/>
                    <a:graphic xmlns:a="http://schemas.openxmlformats.org/drawingml/2006/main">
                      <a:graphicData uri="http://schemas.microsoft.com/office/word/2010/wordprocessingShape">
                        <wps:wsp>
                          <wps:cNvSpPr txBox="1"/>
                          <wps:spPr>
                            <a:xfrm>
                              <a:off x="0" y="0"/>
                              <a:ext cx="2876550" cy="1200150"/>
                            </a:xfrm>
                            <a:prstGeom prst="rect">
                              <a:avLst/>
                            </a:prstGeom>
                            <a:solidFill>
                              <a:schemeClr val="lt1"/>
                            </a:solidFill>
                            <a:ln w="6350">
                              <a:solidFill>
                                <a:prstClr val="black"/>
                              </a:solidFill>
                            </a:ln>
                          </wps:spPr>
                          <wps:txbx>
                            <w:txbxContent>
                              <w:p w14:paraId="6A8347E5" w14:textId="37C3A466" w:rsidR="00B66DB1" w:rsidRPr="00417B09" w:rsidRDefault="00B66DB1">
                                <w:pPr>
                                  <w:rPr>
                                    <w:rFonts w:ascii="Arial" w:hAnsi="Arial" w:cs="Arial"/>
                                    <w:b/>
                                    <w:bCs/>
                                    <w:sz w:val="24"/>
                                    <w:szCs w:val="24"/>
                                  </w:rPr>
                                </w:pPr>
                                <w:r w:rsidRPr="00417B09">
                                  <w:rPr>
                                    <w:rFonts w:ascii="Arial" w:hAnsi="Arial" w:cs="Arial"/>
                                    <w:b/>
                                    <w:bCs/>
                                    <w:sz w:val="24"/>
                                    <w:szCs w:val="24"/>
                                  </w:rPr>
                                  <w:t xml:space="preserve">Megan Goodier </w:t>
                                </w:r>
                              </w:p>
                              <w:p w14:paraId="0E6CDB2D" w14:textId="5DD2F329" w:rsidR="00B66DB1" w:rsidRPr="00417B09" w:rsidRDefault="00B66DB1">
                                <w:pPr>
                                  <w:rPr>
                                    <w:rFonts w:ascii="Arial" w:hAnsi="Arial" w:cs="Arial"/>
                                    <w:b/>
                                    <w:bCs/>
                                    <w:sz w:val="24"/>
                                    <w:szCs w:val="24"/>
                                  </w:rPr>
                                </w:pPr>
                                <w:r w:rsidRPr="00417B09">
                                  <w:rPr>
                                    <w:rFonts w:ascii="Arial" w:hAnsi="Arial" w:cs="Arial"/>
                                    <w:b/>
                                    <w:bCs/>
                                    <w:sz w:val="24"/>
                                    <w:szCs w:val="24"/>
                                  </w:rPr>
                                  <w:t>2304938</w:t>
                                </w:r>
                              </w:p>
                              <w:p w14:paraId="73D96DB6" w14:textId="5DB1F0B9" w:rsidR="00B66DB1" w:rsidRPr="00417B09" w:rsidRDefault="00B66DB1">
                                <w:pPr>
                                  <w:rPr>
                                    <w:rFonts w:ascii="Arial" w:hAnsi="Arial" w:cs="Arial"/>
                                    <w:b/>
                                    <w:bCs/>
                                    <w:sz w:val="24"/>
                                    <w:szCs w:val="24"/>
                                  </w:rPr>
                                </w:pPr>
                                <w:r w:rsidRPr="00417B09">
                                  <w:rPr>
                                    <w:rFonts w:ascii="Arial" w:hAnsi="Arial" w:cs="Arial"/>
                                    <w:b/>
                                    <w:bCs/>
                                    <w:sz w:val="24"/>
                                    <w:szCs w:val="24"/>
                                  </w:rPr>
                                  <w:t xml:space="preserve">Nerys Musgrove </w:t>
                                </w:r>
                              </w:p>
                              <w:p w14:paraId="2247AA16" w14:textId="493BECBF" w:rsidR="00B66DB1" w:rsidRPr="00417B09" w:rsidRDefault="00B66DB1">
                                <w:pPr>
                                  <w:rPr>
                                    <w:rFonts w:ascii="Arial" w:hAnsi="Arial" w:cs="Arial"/>
                                    <w:b/>
                                    <w:bCs/>
                                    <w:sz w:val="24"/>
                                    <w:szCs w:val="24"/>
                                  </w:rPr>
                                </w:pPr>
                                <w:r w:rsidRPr="00417B09">
                                  <w:rPr>
                                    <w:rFonts w:ascii="Arial" w:hAnsi="Arial" w:cs="Arial"/>
                                    <w:b/>
                                    <w:bCs/>
                                    <w:sz w:val="24"/>
                                    <w:szCs w:val="24"/>
                                  </w:rPr>
                                  <w:t>BMLC6007</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5716E83" id="_x0000_t202" coordsize="21600,21600" o:spt="202" path="m,l,21600r21600,l21600,xe">
                    <v:stroke joinstyle="miter"/>
                    <v:path gradientshapeok="t" o:connecttype="rect"/>
                  </v:shapetype>
                  <v:shape id="Text Box 1" o:spid="_x0000_s1026" type="#_x0000_t202" style="position:absolute;margin-left:285pt;margin-top:641.25pt;width:226.5pt;height:94.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Q0irNQIAAH0EAAAOAAAAZHJzL2Uyb0RvYy54bWysVE1v2zAMvQ/YfxB0XxxnSdoacYosRYYB&#10;QVsgHXpWZCk2JouapMTOfv0o2flYu9Owi0yK1CP5SHp239aKHIR1FeicpoMhJUJzKCq9y+n3l9Wn&#10;W0qcZ7pgCrTI6VE4ej//+GHWmEyMoARVCEsQRLusMTktvTdZkjheipq5ARih0SjB1syjandJYVmD&#10;6LVKRsPhNGnAFsYCF87h7UNnpPOIL6Xg/klKJzxROcXcfDxtPLfhTOYzlu0sM2XF+zTYP2RRs0pj&#10;0DPUA/OM7G31DqquuAUH0g841AlIWXERa8Bq0uGbajYlMyLWguQ4c6bJ/T9Y/njYmGdLfPsFWmxg&#10;IKQxLnN4Gepppa3DFzMlaEcKj2faROsJx8vR7c10MkETR1uKXUlRQZzk8txY578KqEkQcmqxL5Eu&#10;dlg737meXEI0B6oqVpVSUQmzIJbKkgPDLiofk0TwP7yUJk1Op58x9DuEAH1+v1WM/+jTu0JAPKUx&#10;50vxQfLttu0Z2UJxRKIsdDPkDF9ViLtmzj8zi0ODBOAi+Cc8pAJMBnqJkhLsr7/dB3/sJVopaXAI&#10;c+p+7pkVlKhvGrt8l47HYWqjMp7cjFCx15bttUXv6yUgQymunOFRDP5enURpoX7FfVmEqGhimmPs&#10;nPqTuPTdauC+cbFYRCecU8P8Wm8MD9CB3MDnS/vKrOn76XEUHuE0rix709bON7zUsNh7kFXseSC4&#10;Y7XnHWc8Tk2/j2GJrvXodflrzH8DAAD//wMAUEsDBBQABgAIAAAAIQC74sRo4AAAAA4BAAAPAAAA&#10;ZHJzL2Rvd25yZXYueG1sTI/BTsMwEETvSPyDtUjcqN1AaAhxKkCFS08UxNmNXdsiXkexm4a/Z3uC&#10;2+7OaPZNs55DzyYzJh9RwnIhgBnsovZoJXx+vN5UwFJWqFUf0Uj4MQnW7eVFo2odT/hupl22jEIw&#10;1UqCy3moOU+dM0GlRRwMknaIY1CZ1tFyPaoThYeeF0Lc86A80genBvPiTPe9OwYJm2f7YLtKjW5T&#10;ae+n+euwtW9SXl/NT4/AspnznxnO+IQOLTHt4xF1Yr2EciWoSyahqIoS2Nkiilu67Wm6Wy1L4G3D&#10;/9dofwEAAP//AwBQSwECLQAUAAYACAAAACEAtoM4kv4AAADhAQAAEwAAAAAAAAAAAAAAAAAAAAAA&#10;W0NvbnRlbnRfVHlwZXNdLnhtbFBLAQItABQABgAIAAAAIQA4/SH/1gAAAJQBAAALAAAAAAAAAAAA&#10;AAAAAC8BAABfcmVscy8ucmVsc1BLAQItABQABgAIAAAAIQAHQ0irNQIAAH0EAAAOAAAAAAAAAAAA&#10;AAAAAC4CAABkcnMvZTJvRG9jLnhtbFBLAQItABQABgAIAAAAIQC74sRo4AAAAA4BAAAPAAAAAAAA&#10;AAAAAAAAAI8EAABkcnMvZG93bnJldi54bWxQSwUGAAAAAAQABADzAAAAnAUAAAAA&#10;" fillcolor="white [3201]" strokeweight=".5pt">
                    <v:textbox>
                      <w:txbxContent>
                        <w:p w14:paraId="6A8347E5" w14:textId="37C3A466" w:rsidR="00B66DB1" w:rsidRPr="00417B09" w:rsidRDefault="00B66DB1">
                          <w:pPr>
                            <w:rPr>
                              <w:rFonts w:ascii="Arial" w:hAnsi="Arial" w:cs="Arial"/>
                              <w:b/>
                              <w:bCs/>
                              <w:sz w:val="24"/>
                              <w:szCs w:val="24"/>
                            </w:rPr>
                          </w:pPr>
                          <w:r w:rsidRPr="00417B09">
                            <w:rPr>
                              <w:rFonts w:ascii="Arial" w:hAnsi="Arial" w:cs="Arial"/>
                              <w:b/>
                              <w:bCs/>
                              <w:sz w:val="24"/>
                              <w:szCs w:val="24"/>
                            </w:rPr>
                            <w:t xml:space="preserve">Megan Goodier </w:t>
                          </w:r>
                        </w:p>
                        <w:p w14:paraId="0E6CDB2D" w14:textId="5DD2F329" w:rsidR="00B66DB1" w:rsidRPr="00417B09" w:rsidRDefault="00B66DB1">
                          <w:pPr>
                            <w:rPr>
                              <w:rFonts w:ascii="Arial" w:hAnsi="Arial" w:cs="Arial"/>
                              <w:b/>
                              <w:bCs/>
                              <w:sz w:val="24"/>
                              <w:szCs w:val="24"/>
                            </w:rPr>
                          </w:pPr>
                          <w:r w:rsidRPr="00417B09">
                            <w:rPr>
                              <w:rFonts w:ascii="Arial" w:hAnsi="Arial" w:cs="Arial"/>
                              <w:b/>
                              <w:bCs/>
                              <w:sz w:val="24"/>
                              <w:szCs w:val="24"/>
                            </w:rPr>
                            <w:t>2304938</w:t>
                          </w:r>
                        </w:p>
                        <w:p w14:paraId="73D96DB6" w14:textId="5DB1F0B9" w:rsidR="00B66DB1" w:rsidRPr="00417B09" w:rsidRDefault="00B66DB1">
                          <w:pPr>
                            <w:rPr>
                              <w:rFonts w:ascii="Arial" w:hAnsi="Arial" w:cs="Arial"/>
                              <w:b/>
                              <w:bCs/>
                              <w:sz w:val="24"/>
                              <w:szCs w:val="24"/>
                            </w:rPr>
                          </w:pPr>
                          <w:r w:rsidRPr="00417B09">
                            <w:rPr>
                              <w:rFonts w:ascii="Arial" w:hAnsi="Arial" w:cs="Arial"/>
                              <w:b/>
                              <w:bCs/>
                              <w:sz w:val="24"/>
                              <w:szCs w:val="24"/>
                            </w:rPr>
                            <w:t xml:space="preserve">Nerys Musgrove </w:t>
                          </w:r>
                        </w:p>
                        <w:p w14:paraId="2247AA16" w14:textId="493BECBF" w:rsidR="00B66DB1" w:rsidRPr="00417B09" w:rsidRDefault="00B66DB1">
                          <w:pPr>
                            <w:rPr>
                              <w:rFonts w:ascii="Arial" w:hAnsi="Arial" w:cs="Arial"/>
                              <w:b/>
                              <w:bCs/>
                              <w:sz w:val="24"/>
                              <w:szCs w:val="24"/>
                            </w:rPr>
                          </w:pPr>
                          <w:r w:rsidRPr="00417B09">
                            <w:rPr>
                              <w:rFonts w:ascii="Arial" w:hAnsi="Arial" w:cs="Arial"/>
                              <w:b/>
                              <w:bCs/>
                              <w:sz w:val="24"/>
                              <w:szCs w:val="24"/>
                            </w:rPr>
                            <w:t>BMLC6007</w:t>
                          </w:r>
                        </w:p>
                      </w:txbxContent>
                    </v:textbox>
                  </v:shape>
                </w:pict>
              </mc:Fallback>
            </mc:AlternateContent>
          </w:r>
          <w:r w:rsidR="00505A56">
            <w:t>3e</w:t>
          </w:r>
        </w:p>
        <w:p w14:paraId="217DD25F" w14:textId="77777777" w:rsidR="00505A56" w:rsidRDefault="00505A56" w:rsidP="00DD429C"/>
        <w:p w14:paraId="5617B93B" w14:textId="77777777" w:rsidR="00505A56" w:rsidRDefault="00505A56" w:rsidP="00DD429C"/>
        <w:p w14:paraId="4D8ADC11" w14:textId="77777777" w:rsidR="00505A56" w:rsidRDefault="00505A56" w:rsidP="00DD429C"/>
        <w:p w14:paraId="43F9EC97" w14:textId="77777777" w:rsidR="00505A56" w:rsidRDefault="00505A56" w:rsidP="00DD429C"/>
        <w:p w14:paraId="3107A310" w14:textId="77777777" w:rsidR="00505A56" w:rsidRDefault="00505A56" w:rsidP="00DD429C"/>
        <w:p w14:paraId="6FED1288" w14:textId="73E78E7C" w:rsidR="00505A56" w:rsidRDefault="00417B09" w:rsidP="00DD429C">
          <w:r>
            <w:rPr>
              <w:noProof/>
            </w:rPr>
            <mc:AlternateContent>
              <mc:Choice Requires="wps">
                <w:drawing>
                  <wp:anchor distT="45720" distB="45720" distL="114300" distR="114300" simplePos="0" relativeHeight="251664384" behindDoc="0" locked="0" layoutInCell="1" allowOverlap="1" wp14:anchorId="30875AB4" wp14:editId="4A597DC1">
                    <wp:simplePos x="0" y="0"/>
                    <wp:positionH relativeFrom="column">
                      <wp:posOffset>-45720</wp:posOffset>
                    </wp:positionH>
                    <wp:positionV relativeFrom="paragraph">
                      <wp:posOffset>469265</wp:posOffset>
                    </wp:positionV>
                    <wp:extent cx="6187440" cy="1190625"/>
                    <wp:effectExtent l="0" t="0" r="22860" b="2857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187440" cy="1190625"/>
                            </a:xfrm>
                            <a:prstGeom prst="rect">
                              <a:avLst/>
                            </a:prstGeom>
                            <a:solidFill>
                              <a:srgbClr val="FFFFFF"/>
                            </a:solidFill>
                            <a:ln w="9525">
                              <a:solidFill>
                                <a:srgbClr val="000000"/>
                              </a:solidFill>
                              <a:miter lim="800000"/>
                              <a:headEnd/>
                              <a:tailEnd/>
                            </a:ln>
                          </wps:spPr>
                          <wps:txbx>
                            <w:txbxContent>
                              <w:p w14:paraId="742E1781" w14:textId="77777777" w:rsidR="00B66DB1" w:rsidRPr="00B66DB1" w:rsidRDefault="00B66DB1">
                                <w:pPr>
                                  <w:rPr>
                                    <w:rFonts w:ascii="Calibri" w:hAnsi="Calibri" w:cs="Calibri"/>
                                    <w:b/>
                                    <w:bCs/>
                                    <w:sz w:val="32"/>
                                    <w:szCs w:val="32"/>
                                  </w:rPr>
                                </w:pPr>
                              </w:p>
                              <w:p w14:paraId="28D9C1E5" w14:textId="01DEF025" w:rsidR="00B66DB1" w:rsidRPr="00417B09" w:rsidRDefault="00B66DB1">
                                <w:pPr>
                                  <w:rPr>
                                    <w:rFonts w:ascii="Arial" w:hAnsi="Arial" w:cs="Arial"/>
                                    <w:sz w:val="32"/>
                                    <w:szCs w:val="32"/>
                                  </w:rPr>
                                </w:pPr>
                                <w:r w:rsidRPr="00417B09">
                                  <w:rPr>
                                    <w:rFonts w:ascii="Arial" w:hAnsi="Arial" w:cs="Arial"/>
                                    <w:b/>
                                    <w:bCs/>
                                    <w:sz w:val="32"/>
                                    <w:szCs w:val="32"/>
                                  </w:rPr>
                                  <w:t>Case Study of Axel Rudakubana and the Southport murders</w:t>
                                </w:r>
                                <w:r w:rsidRPr="00417B09">
                                  <w:rPr>
                                    <w:rFonts w:ascii="Arial" w:hAnsi="Arial" w:cs="Arial"/>
                                    <w:sz w:val="32"/>
                                    <w:szCs w:val="32"/>
                                  </w:rPr>
                                  <w:t xml:space="preser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0875AB4" id="Text Box 2" o:spid="_x0000_s1027" type="#_x0000_t202" style="position:absolute;margin-left:-3.6pt;margin-top:36.95pt;width:487.2pt;height:93.75pt;z-index:25166438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sySQEAIAACcEAAAOAAAAZHJzL2Uyb0RvYy54bWysk9uO2yAQhu8r9R0Q943tKMkmVpzVNttU&#10;lbYHadsHwIBjVMxQILHTp+9AvNn0oF5U5QIBA//MfDOsb4dOk6N0XoGpaDHJKZGGg1BmX9Evn3ev&#10;lpT4wIxgGoys6El6ert5+WLd21JOoQUtpCMoYnzZ24q2IdgyyzxvZcf8BKw0aGzAdSzg1u0z4ViP&#10;6p3Opnm+yHpwwjrg0ns8vT8b6SbpN43k4WPTeBmIrijGFtLs0lzHOdusWbl3zLaKj2Gwf4iiY8qg&#10;04vUPQuMHJz6TapT3IGHJkw4dBk0jeIy5YDZFPkv2Ty2zMqUC8Lx9oLJ/z9Z/uH4aD85EobXMGAB&#10;UxLePgD/6omBbcvMXt45B30rmUDHRUSW9daX49OI2pc+itT9exBYZHYIkISGxnWRCuZJUB0LcLpA&#10;l0MgHA8XxfJmNkMTR1tRrPLFdJ58sPLpuXU+vJXQkbioqMOqJnl2fPAhhsPKpyvRmwetxE5pnTZu&#10;X2+1I0eGHbBLY1T/6Zo2pK/oao6+/y6Rp/EniU4FbGWtuoouL5dYGbm9MSI1WmBKn9cYsjYjyMju&#10;TDEM9UCUGClHrjWIE5J1cO5c/Gm4aMF9p6THrq2o/3ZgTlKi3xmszqpIKEPazOY3U+Tqri31tYUZ&#10;jlIVDZScl9uQvkYkYOAOq9ioxPc5kjFk7MaEffw5sd2v9+nW8//e/AAAAP//AwBQSwMEFAAGAAgA&#10;AAAhADj66hrgAAAACQEAAA8AAABkcnMvZG93bnJldi54bWxMj81OwzAQhO9IvIO1SFxQ6zStkiZk&#10;UyEkENygILi68TaJ8E+w3TR9+7onOM7OaObbajNpxUZyvrcGYTFPgJFprOxNi/D58TRbA/NBGCmU&#10;NYRwIg+b+vqqEqW0R/NO4za0LJYYXwqELoSh5Nw3HWnh53YgE729dVqEKF3LpRPHWK4VT5Mk41r0&#10;Ji50YqDHjpqf7UEjrFcv47d/Xb59NdleFeEuH59/HeLtzfRwDyzQFP7CcMGP6FBHpp09GOmZQpjl&#10;aUwi5MsCWPSL7HLYIaTZYgW8rvj/D+ozAAAA//8DAFBLAQItABQABgAIAAAAIQC2gziS/gAAAOEB&#10;AAATAAAAAAAAAAAAAAAAAAAAAABbQ29udGVudF9UeXBlc10ueG1sUEsBAi0AFAAGAAgAAAAhADj9&#10;If/WAAAAlAEAAAsAAAAAAAAAAAAAAAAALwEAAF9yZWxzLy5yZWxzUEsBAi0AFAAGAAgAAAAhAGGz&#10;JJAQAgAAJwQAAA4AAAAAAAAAAAAAAAAALgIAAGRycy9lMm9Eb2MueG1sUEsBAi0AFAAGAAgAAAAh&#10;ADj66hrgAAAACQEAAA8AAAAAAAAAAAAAAAAAagQAAGRycy9kb3ducmV2LnhtbFBLBQYAAAAABAAE&#10;APMAAAB3BQAAAAA=&#10;">
                    <v:textbox>
                      <w:txbxContent>
                        <w:p w14:paraId="742E1781" w14:textId="77777777" w:rsidR="00B66DB1" w:rsidRPr="00B66DB1" w:rsidRDefault="00B66DB1">
                          <w:pPr>
                            <w:rPr>
                              <w:rFonts w:ascii="Calibri" w:hAnsi="Calibri" w:cs="Calibri"/>
                              <w:b/>
                              <w:bCs/>
                              <w:sz w:val="32"/>
                              <w:szCs w:val="32"/>
                            </w:rPr>
                          </w:pPr>
                        </w:p>
                        <w:p w14:paraId="28D9C1E5" w14:textId="01DEF025" w:rsidR="00B66DB1" w:rsidRPr="00417B09" w:rsidRDefault="00B66DB1">
                          <w:pPr>
                            <w:rPr>
                              <w:rFonts w:ascii="Arial" w:hAnsi="Arial" w:cs="Arial"/>
                              <w:sz w:val="32"/>
                              <w:szCs w:val="32"/>
                            </w:rPr>
                          </w:pPr>
                          <w:r w:rsidRPr="00417B09">
                            <w:rPr>
                              <w:rFonts w:ascii="Arial" w:hAnsi="Arial" w:cs="Arial"/>
                              <w:b/>
                              <w:bCs/>
                              <w:sz w:val="32"/>
                              <w:szCs w:val="32"/>
                            </w:rPr>
                            <w:t>Case Study of Axel Rudakubana and the Southport murders</w:t>
                          </w:r>
                          <w:r w:rsidRPr="00417B09">
                            <w:rPr>
                              <w:rFonts w:ascii="Arial" w:hAnsi="Arial" w:cs="Arial"/>
                              <w:sz w:val="32"/>
                              <w:szCs w:val="32"/>
                            </w:rPr>
                            <w:t xml:space="preserve"> </w:t>
                          </w:r>
                        </w:p>
                      </w:txbxContent>
                    </v:textbox>
                    <w10:wrap type="square"/>
                  </v:shape>
                </w:pict>
              </mc:Fallback>
            </mc:AlternateContent>
          </w:r>
        </w:p>
        <w:p w14:paraId="3CADB8BC" w14:textId="08BE6B16" w:rsidR="00505A56" w:rsidRDefault="00505A56" w:rsidP="00DD429C"/>
        <w:p w14:paraId="3C1DC1C5" w14:textId="77777777" w:rsidR="00505A56" w:rsidRDefault="00505A56" w:rsidP="00DD429C"/>
        <w:p w14:paraId="6A44182E" w14:textId="77777777" w:rsidR="00505A56" w:rsidRDefault="00505A56" w:rsidP="00DD429C"/>
        <w:p w14:paraId="7F8AF00B" w14:textId="77777777" w:rsidR="00505A56" w:rsidRDefault="00505A56" w:rsidP="00DD429C"/>
        <w:p w14:paraId="619C47EE" w14:textId="77777777" w:rsidR="00505A56" w:rsidRDefault="00505A56" w:rsidP="00DD429C"/>
        <w:p w14:paraId="2F4C0DAB" w14:textId="77777777" w:rsidR="00505A56" w:rsidRDefault="00505A56" w:rsidP="00DD429C"/>
        <w:p w14:paraId="271DD3D0" w14:textId="77777777" w:rsidR="00505A56" w:rsidRDefault="00505A56" w:rsidP="00DD429C"/>
        <w:p w14:paraId="2694906F" w14:textId="77777777" w:rsidR="00505A56" w:rsidRDefault="00505A56" w:rsidP="00DD429C"/>
        <w:p w14:paraId="3C0CB11D" w14:textId="77777777" w:rsidR="00505A56" w:rsidRDefault="00505A56" w:rsidP="00DD429C"/>
        <w:p w14:paraId="11DA7282" w14:textId="77777777" w:rsidR="00505A56" w:rsidRDefault="00505A56" w:rsidP="00DD429C"/>
        <w:p w14:paraId="1431F063" w14:textId="77777777" w:rsidR="00505A56" w:rsidRDefault="00505A56" w:rsidP="00DD429C"/>
        <w:p w14:paraId="5427923B" w14:textId="77777777" w:rsidR="00505A56" w:rsidRDefault="00505A56" w:rsidP="00DD429C"/>
        <w:p w14:paraId="629B9848" w14:textId="77777777" w:rsidR="00505A56" w:rsidRDefault="00505A56" w:rsidP="00DD429C"/>
        <w:p w14:paraId="2940AD18" w14:textId="77777777" w:rsidR="00505A56" w:rsidRDefault="00505A56" w:rsidP="00DD429C"/>
        <w:p w14:paraId="14AB7F9A" w14:textId="77777777" w:rsidR="00505A56" w:rsidRDefault="00505A56" w:rsidP="00DD429C"/>
        <w:p w14:paraId="614089B0" w14:textId="77777777" w:rsidR="00505A56" w:rsidRDefault="00505A56" w:rsidP="00DD429C"/>
        <w:p w14:paraId="02ED4741" w14:textId="77777777" w:rsidR="00505A56" w:rsidRDefault="00505A56" w:rsidP="00DD429C"/>
        <w:p w14:paraId="5330C34C" w14:textId="77777777" w:rsidR="00417B09" w:rsidRDefault="00417B09" w:rsidP="00DD429C">
          <w:pPr>
            <w:rPr>
              <w:sz w:val="24"/>
              <w:szCs w:val="24"/>
            </w:rPr>
          </w:pPr>
        </w:p>
        <w:p w14:paraId="48B9C2BB" w14:textId="77777777" w:rsidR="00417B09" w:rsidRDefault="00417B09" w:rsidP="00DD429C">
          <w:pPr>
            <w:rPr>
              <w:sz w:val="24"/>
              <w:szCs w:val="24"/>
            </w:rPr>
          </w:pPr>
        </w:p>
        <w:p w14:paraId="2BECEB4C" w14:textId="77777777" w:rsidR="00A816E4" w:rsidRDefault="00A816E4" w:rsidP="00DD429C">
          <w:pPr>
            <w:rPr>
              <w:sz w:val="24"/>
              <w:szCs w:val="24"/>
            </w:rPr>
          </w:pPr>
        </w:p>
        <w:p w14:paraId="516910A7" w14:textId="19705DAC" w:rsidR="008D1CCE" w:rsidRPr="00DD429C" w:rsidRDefault="00000000" w:rsidP="00DD429C">
          <w:pPr>
            <w:rPr>
              <w:sz w:val="24"/>
              <w:szCs w:val="24"/>
            </w:rPr>
          </w:pPr>
        </w:p>
      </w:sdtContent>
    </w:sdt>
    <w:sdt>
      <w:sdtPr>
        <w:rPr>
          <w:rFonts w:asciiTheme="minorHAnsi" w:eastAsiaTheme="minorHAnsi" w:hAnsiTheme="minorHAnsi" w:cstheme="minorBidi"/>
          <w:color w:val="auto"/>
          <w:kern w:val="2"/>
          <w:sz w:val="22"/>
          <w:szCs w:val="22"/>
          <w:lang w:val="en-GB"/>
          <w14:ligatures w14:val="standardContextual"/>
        </w:rPr>
        <w:id w:val="-1347712673"/>
        <w:docPartObj>
          <w:docPartGallery w:val="Table of Contents"/>
          <w:docPartUnique/>
        </w:docPartObj>
      </w:sdtPr>
      <w:sdtEndPr>
        <w:rPr>
          <w:b/>
          <w:bCs/>
          <w:noProof/>
        </w:rPr>
      </w:sdtEndPr>
      <w:sdtContent>
        <w:p w14:paraId="33299DDC" w14:textId="61D5882C" w:rsidR="00364568" w:rsidRDefault="00364568">
          <w:pPr>
            <w:pStyle w:val="TOCHeading"/>
          </w:pPr>
          <w:r>
            <w:t>Contents</w:t>
          </w:r>
        </w:p>
        <w:p w14:paraId="0CE553F8" w14:textId="77777777" w:rsidR="00364568" w:rsidRPr="00364568" w:rsidRDefault="00364568" w:rsidP="00364568">
          <w:pPr>
            <w:rPr>
              <w:lang w:val="en-US"/>
            </w:rPr>
          </w:pPr>
        </w:p>
        <w:p w14:paraId="33B6CB59" w14:textId="7BA9E4E8" w:rsidR="00364568" w:rsidRPr="00364568" w:rsidRDefault="00364568">
          <w:pPr>
            <w:pStyle w:val="TOC1"/>
            <w:tabs>
              <w:tab w:val="right" w:leader="dot" w:pos="9016"/>
            </w:tabs>
            <w:rPr>
              <w:rFonts w:eastAsiaTheme="minorEastAsia"/>
              <w:noProof/>
              <w:sz w:val="24"/>
              <w:szCs w:val="24"/>
              <w:lang w:eastAsia="zh-CN"/>
            </w:rPr>
          </w:pPr>
          <w:r w:rsidRPr="00364568">
            <w:fldChar w:fldCharType="begin"/>
          </w:r>
          <w:r w:rsidRPr="00364568">
            <w:instrText xml:space="preserve"> TOC \o "1-3" \h \z \u </w:instrText>
          </w:r>
          <w:r w:rsidRPr="00364568">
            <w:fldChar w:fldCharType="separate"/>
          </w:r>
          <w:hyperlink w:anchor="_Toc229126188" w:history="1">
            <w:r w:rsidRPr="00364568">
              <w:rPr>
                <w:rStyle w:val="Hyperlink"/>
                <w:rFonts w:ascii="Arial" w:hAnsi="Arial" w:cs="Arial"/>
                <w:noProof/>
              </w:rPr>
              <w:t>Exclusive Summary</w:t>
            </w:r>
            <w:r w:rsidRPr="00364568">
              <w:rPr>
                <w:noProof/>
                <w:webHidden/>
              </w:rPr>
              <w:tab/>
            </w:r>
            <w:r w:rsidRPr="00364568">
              <w:rPr>
                <w:noProof/>
                <w:webHidden/>
              </w:rPr>
              <w:fldChar w:fldCharType="begin"/>
            </w:r>
            <w:r w:rsidRPr="00364568">
              <w:rPr>
                <w:noProof/>
                <w:webHidden/>
              </w:rPr>
              <w:instrText xml:space="preserve"> PAGEREF _Toc229126188 \h </w:instrText>
            </w:r>
            <w:r w:rsidRPr="00364568">
              <w:rPr>
                <w:noProof/>
                <w:webHidden/>
              </w:rPr>
            </w:r>
            <w:r w:rsidRPr="00364568">
              <w:rPr>
                <w:noProof/>
                <w:webHidden/>
              </w:rPr>
              <w:fldChar w:fldCharType="separate"/>
            </w:r>
            <w:r w:rsidRPr="00364568">
              <w:rPr>
                <w:noProof/>
                <w:webHidden/>
              </w:rPr>
              <w:t>2</w:t>
            </w:r>
            <w:r w:rsidRPr="00364568">
              <w:rPr>
                <w:noProof/>
                <w:webHidden/>
              </w:rPr>
              <w:fldChar w:fldCharType="end"/>
            </w:r>
          </w:hyperlink>
        </w:p>
        <w:p w14:paraId="06A3E9C8" w14:textId="34AE3A58" w:rsidR="00364568" w:rsidRPr="00364568" w:rsidRDefault="00364568">
          <w:pPr>
            <w:pStyle w:val="TOC1"/>
            <w:tabs>
              <w:tab w:val="right" w:leader="dot" w:pos="9016"/>
            </w:tabs>
            <w:rPr>
              <w:rFonts w:eastAsiaTheme="minorEastAsia"/>
              <w:noProof/>
              <w:sz w:val="24"/>
              <w:szCs w:val="24"/>
              <w:lang w:eastAsia="zh-CN"/>
            </w:rPr>
          </w:pPr>
          <w:hyperlink w:anchor="_Toc229126189" w:history="1">
            <w:r w:rsidRPr="00364568">
              <w:rPr>
                <w:rStyle w:val="Hyperlink"/>
                <w:rFonts w:ascii="Arial" w:hAnsi="Arial" w:cs="Arial"/>
                <w:noProof/>
              </w:rPr>
              <w:t>Introduction</w:t>
            </w:r>
            <w:r w:rsidRPr="00364568">
              <w:rPr>
                <w:noProof/>
                <w:webHidden/>
              </w:rPr>
              <w:tab/>
            </w:r>
            <w:r w:rsidRPr="00364568">
              <w:rPr>
                <w:noProof/>
                <w:webHidden/>
              </w:rPr>
              <w:fldChar w:fldCharType="begin"/>
            </w:r>
            <w:r w:rsidRPr="00364568">
              <w:rPr>
                <w:noProof/>
                <w:webHidden/>
              </w:rPr>
              <w:instrText xml:space="preserve"> PAGEREF _Toc229126189 \h </w:instrText>
            </w:r>
            <w:r w:rsidRPr="00364568">
              <w:rPr>
                <w:noProof/>
                <w:webHidden/>
              </w:rPr>
            </w:r>
            <w:r w:rsidRPr="00364568">
              <w:rPr>
                <w:noProof/>
                <w:webHidden/>
              </w:rPr>
              <w:fldChar w:fldCharType="separate"/>
            </w:r>
            <w:r w:rsidRPr="00364568">
              <w:rPr>
                <w:noProof/>
                <w:webHidden/>
              </w:rPr>
              <w:t>2</w:t>
            </w:r>
            <w:r w:rsidRPr="00364568">
              <w:rPr>
                <w:noProof/>
                <w:webHidden/>
              </w:rPr>
              <w:fldChar w:fldCharType="end"/>
            </w:r>
          </w:hyperlink>
        </w:p>
        <w:p w14:paraId="5E250A4B" w14:textId="293C0444" w:rsidR="00364568" w:rsidRPr="00364568" w:rsidRDefault="00364568">
          <w:pPr>
            <w:pStyle w:val="TOC1"/>
            <w:tabs>
              <w:tab w:val="right" w:leader="dot" w:pos="9016"/>
            </w:tabs>
            <w:rPr>
              <w:rFonts w:eastAsiaTheme="minorEastAsia"/>
              <w:noProof/>
              <w:sz w:val="24"/>
              <w:szCs w:val="24"/>
              <w:lang w:eastAsia="zh-CN"/>
            </w:rPr>
          </w:pPr>
          <w:hyperlink w:anchor="_Toc229126191" w:history="1">
            <w:r w:rsidRPr="00364568">
              <w:rPr>
                <w:rStyle w:val="Hyperlink"/>
                <w:rFonts w:asciiTheme="minorBidi" w:hAnsiTheme="minorBidi"/>
                <w:noProof/>
              </w:rPr>
              <w:t>Background of the Southport Murders: Axel Rudakubana Case</w:t>
            </w:r>
            <w:r w:rsidRPr="00364568">
              <w:rPr>
                <w:noProof/>
                <w:webHidden/>
              </w:rPr>
              <w:tab/>
            </w:r>
            <w:r w:rsidRPr="00364568">
              <w:rPr>
                <w:noProof/>
                <w:webHidden/>
              </w:rPr>
              <w:fldChar w:fldCharType="begin"/>
            </w:r>
            <w:r w:rsidRPr="00364568">
              <w:rPr>
                <w:noProof/>
                <w:webHidden/>
              </w:rPr>
              <w:instrText xml:space="preserve"> PAGEREF _Toc229126191 \h </w:instrText>
            </w:r>
            <w:r w:rsidRPr="00364568">
              <w:rPr>
                <w:noProof/>
                <w:webHidden/>
              </w:rPr>
            </w:r>
            <w:r w:rsidRPr="00364568">
              <w:rPr>
                <w:noProof/>
                <w:webHidden/>
              </w:rPr>
              <w:fldChar w:fldCharType="separate"/>
            </w:r>
            <w:r w:rsidRPr="00364568">
              <w:rPr>
                <w:noProof/>
                <w:webHidden/>
              </w:rPr>
              <w:t>2</w:t>
            </w:r>
            <w:r w:rsidRPr="00364568">
              <w:rPr>
                <w:noProof/>
                <w:webHidden/>
              </w:rPr>
              <w:fldChar w:fldCharType="end"/>
            </w:r>
          </w:hyperlink>
        </w:p>
        <w:p w14:paraId="4E08B8DC" w14:textId="08041833" w:rsidR="00364568" w:rsidRPr="00364568" w:rsidRDefault="00364568" w:rsidP="00364568">
          <w:pPr>
            <w:pStyle w:val="TOC3"/>
            <w:tabs>
              <w:tab w:val="right" w:leader="dot" w:pos="9016"/>
            </w:tabs>
            <w:ind w:left="0"/>
            <w:rPr>
              <w:rFonts w:eastAsiaTheme="minorEastAsia"/>
              <w:noProof/>
              <w:sz w:val="24"/>
              <w:szCs w:val="24"/>
              <w:lang w:eastAsia="zh-CN"/>
            </w:rPr>
          </w:pPr>
          <w:hyperlink w:anchor="_Toc229126192" w:history="1">
            <w:r w:rsidRPr="00364568">
              <w:rPr>
                <w:rStyle w:val="Hyperlink"/>
                <w:rFonts w:ascii="Arial" w:hAnsi="Arial" w:cs="Arial"/>
                <w:noProof/>
              </w:rPr>
              <w:t>Police Response</w:t>
            </w:r>
            <w:r w:rsidRPr="00364568">
              <w:rPr>
                <w:noProof/>
                <w:webHidden/>
              </w:rPr>
              <w:tab/>
            </w:r>
            <w:r w:rsidRPr="00364568">
              <w:rPr>
                <w:noProof/>
                <w:webHidden/>
              </w:rPr>
              <w:fldChar w:fldCharType="begin"/>
            </w:r>
            <w:r w:rsidRPr="00364568">
              <w:rPr>
                <w:noProof/>
                <w:webHidden/>
              </w:rPr>
              <w:instrText xml:space="preserve"> PAGEREF _Toc229126192 \h </w:instrText>
            </w:r>
            <w:r w:rsidRPr="00364568">
              <w:rPr>
                <w:noProof/>
                <w:webHidden/>
              </w:rPr>
            </w:r>
            <w:r w:rsidRPr="00364568">
              <w:rPr>
                <w:noProof/>
                <w:webHidden/>
              </w:rPr>
              <w:fldChar w:fldCharType="separate"/>
            </w:r>
            <w:r w:rsidRPr="00364568">
              <w:rPr>
                <w:noProof/>
                <w:webHidden/>
              </w:rPr>
              <w:t>3</w:t>
            </w:r>
            <w:r w:rsidRPr="00364568">
              <w:rPr>
                <w:noProof/>
                <w:webHidden/>
              </w:rPr>
              <w:fldChar w:fldCharType="end"/>
            </w:r>
          </w:hyperlink>
        </w:p>
        <w:p w14:paraId="3FA8B30D" w14:textId="2F530954" w:rsidR="00364568" w:rsidRPr="00364568" w:rsidRDefault="00364568" w:rsidP="00364568">
          <w:pPr>
            <w:pStyle w:val="TOC3"/>
            <w:tabs>
              <w:tab w:val="right" w:leader="dot" w:pos="9016"/>
            </w:tabs>
            <w:ind w:left="0"/>
            <w:rPr>
              <w:rFonts w:eastAsiaTheme="minorEastAsia"/>
              <w:noProof/>
              <w:sz w:val="24"/>
              <w:szCs w:val="24"/>
              <w:lang w:eastAsia="zh-CN"/>
            </w:rPr>
          </w:pPr>
          <w:hyperlink w:anchor="_Toc229126193" w:history="1">
            <w:r w:rsidRPr="00364568">
              <w:rPr>
                <w:rStyle w:val="Hyperlink"/>
                <w:rFonts w:ascii="Arial" w:hAnsi="Arial" w:cs="Arial"/>
                <w:noProof/>
              </w:rPr>
              <w:t>Prevent Referrals</w:t>
            </w:r>
            <w:r w:rsidRPr="00364568">
              <w:rPr>
                <w:noProof/>
                <w:webHidden/>
              </w:rPr>
              <w:tab/>
            </w:r>
            <w:r w:rsidRPr="00364568">
              <w:rPr>
                <w:noProof/>
                <w:webHidden/>
              </w:rPr>
              <w:fldChar w:fldCharType="begin"/>
            </w:r>
            <w:r w:rsidRPr="00364568">
              <w:rPr>
                <w:noProof/>
                <w:webHidden/>
              </w:rPr>
              <w:instrText xml:space="preserve"> PAGEREF _Toc229126193 \h </w:instrText>
            </w:r>
            <w:r w:rsidRPr="00364568">
              <w:rPr>
                <w:noProof/>
                <w:webHidden/>
              </w:rPr>
            </w:r>
            <w:r w:rsidRPr="00364568">
              <w:rPr>
                <w:noProof/>
                <w:webHidden/>
              </w:rPr>
              <w:fldChar w:fldCharType="separate"/>
            </w:r>
            <w:r w:rsidRPr="00364568">
              <w:rPr>
                <w:noProof/>
                <w:webHidden/>
              </w:rPr>
              <w:t>4</w:t>
            </w:r>
            <w:r w:rsidRPr="00364568">
              <w:rPr>
                <w:noProof/>
                <w:webHidden/>
              </w:rPr>
              <w:fldChar w:fldCharType="end"/>
            </w:r>
          </w:hyperlink>
        </w:p>
        <w:p w14:paraId="45E9DF7A" w14:textId="672B3197" w:rsidR="00364568" w:rsidRPr="00364568" w:rsidRDefault="00364568" w:rsidP="00364568">
          <w:pPr>
            <w:pStyle w:val="TOC3"/>
            <w:tabs>
              <w:tab w:val="right" w:leader="dot" w:pos="9016"/>
            </w:tabs>
            <w:ind w:left="0"/>
            <w:rPr>
              <w:rFonts w:eastAsiaTheme="minorEastAsia"/>
              <w:noProof/>
              <w:sz w:val="24"/>
              <w:szCs w:val="24"/>
              <w:lang w:eastAsia="zh-CN"/>
            </w:rPr>
          </w:pPr>
          <w:hyperlink w:anchor="_Toc229126194" w:history="1">
            <w:r w:rsidRPr="00364568">
              <w:rPr>
                <w:rStyle w:val="Hyperlink"/>
                <w:rFonts w:ascii="Arial" w:hAnsi="Arial" w:cs="Arial"/>
                <w:noProof/>
              </w:rPr>
              <w:t>CPS Response</w:t>
            </w:r>
            <w:r w:rsidRPr="00364568">
              <w:rPr>
                <w:noProof/>
                <w:webHidden/>
              </w:rPr>
              <w:tab/>
            </w:r>
            <w:r w:rsidRPr="00364568">
              <w:rPr>
                <w:noProof/>
                <w:webHidden/>
              </w:rPr>
              <w:fldChar w:fldCharType="begin"/>
            </w:r>
            <w:r w:rsidRPr="00364568">
              <w:rPr>
                <w:noProof/>
                <w:webHidden/>
              </w:rPr>
              <w:instrText xml:space="preserve"> PAGEREF _Toc229126194 \h </w:instrText>
            </w:r>
            <w:r w:rsidRPr="00364568">
              <w:rPr>
                <w:noProof/>
                <w:webHidden/>
              </w:rPr>
            </w:r>
            <w:r w:rsidRPr="00364568">
              <w:rPr>
                <w:noProof/>
                <w:webHidden/>
              </w:rPr>
              <w:fldChar w:fldCharType="separate"/>
            </w:r>
            <w:r w:rsidRPr="00364568">
              <w:rPr>
                <w:noProof/>
                <w:webHidden/>
              </w:rPr>
              <w:t>4</w:t>
            </w:r>
            <w:r w:rsidRPr="00364568">
              <w:rPr>
                <w:noProof/>
                <w:webHidden/>
              </w:rPr>
              <w:fldChar w:fldCharType="end"/>
            </w:r>
          </w:hyperlink>
        </w:p>
        <w:p w14:paraId="382F186C" w14:textId="3167E4DE" w:rsidR="00364568" w:rsidRDefault="00364568">
          <w:pPr>
            <w:pStyle w:val="TOC1"/>
            <w:tabs>
              <w:tab w:val="right" w:leader="dot" w:pos="9016"/>
            </w:tabs>
          </w:pPr>
          <w:hyperlink w:anchor="_Toc229126195" w:history="1">
            <w:r w:rsidRPr="00364568">
              <w:rPr>
                <w:rStyle w:val="Hyperlink"/>
                <w:rFonts w:asciiTheme="minorBidi" w:hAnsiTheme="minorBidi"/>
                <w:noProof/>
              </w:rPr>
              <w:t>What Happened in the Courts</w:t>
            </w:r>
            <w:r w:rsidRPr="00364568">
              <w:rPr>
                <w:noProof/>
                <w:webHidden/>
              </w:rPr>
              <w:tab/>
            </w:r>
            <w:r w:rsidRPr="00364568">
              <w:rPr>
                <w:noProof/>
                <w:webHidden/>
              </w:rPr>
              <w:fldChar w:fldCharType="begin"/>
            </w:r>
            <w:r w:rsidRPr="00364568">
              <w:rPr>
                <w:noProof/>
                <w:webHidden/>
              </w:rPr>
              <w:instrText xml:space="preserve"> PAGEREF _Toc229126195 \h </w:instrText>
            </w:r>
            <w:r w:rsidRPr="00364568">
              <w:rPr>
                <w:noProof/>
                <w:webHidden/>
              </w:rPr>
            </w:r>
            <w:r w:rsidRPr="00364568">
              <w:rPr>
                <w:noProof/>
                <w:webHidden/>
              </w:rPr>
              <w:fldChar w:fldCharType="separate"/>
            </w:r>
            <w:r w:rsidRPr="00364568">
              <w:rPr>
                <w:noProof/>
                <w:webHidden/>
              </w:rPr>
              <w:t>5</w:t>
            </w:r>
            <w:r w:rsidRPr="00364568">
              <w:rPr>
                <w:noProof/>
                <w:webHidden/>
              </w:rPr>
              <w:fldChar w:fldCharType="end"/>
            </w:r>
          </w:hyperlink>
        </w:p>
        <w:p w14:paraId="136D4157" w14:textId="0314F615" w:rsidR="00677936" w:rsidRPr="00677936" w:rsidRDefault="00677936" w:rsidP="00677936">
          <w:pPr>
            <w:rPr>
              <w:lang w:eastAsia="zh-CN"/>
            </w:rPr>
          </w:pPr>
          <w:r>
            <w:rPr>
              <w:lang w:eastAsia="zh-CN"/>
            </w:rPr>
            <w:t>References ……………………………………………………………………………………………………………….10</w:t>
          </w:r>
        </w:p>
        <w:p w14:paraId="5E99D5BD" w14:textId="01C8BD8E" w:rsidR="00364568" w:rsidRDefault="00364568">
          <w:r w:rsidRPr="00364568">
            <w:rPr>
              <w:noProof/>
            </w:rPr>
            <w:fldChar w:fldCharType="end"/>
          </w:r>
        </w:p>
      </w:sdtContent>
    </w:sdt>
    <w:p w14:paraId="2400DF51" w14:textId="38C57DFA" w:rsidR="00971415" w:rsidRPr="00364568" w:rsidRDefault="00971415" w:rsidP="00364568">
      <w:pPr>
        <w:pStyle w:val="TOCHeading"/>
        <w:spacing w:line="240" w:lineRule="auto"/>
        <w:rPr>
          <w:rFonts w:ascii="Calibri" w:hAnsi="Calibri" w:cs="Calibri"/>
          <w:sz w:val="24"/>
          <w:szCs w:val="24"/>
        </w:rPr>
      </w:pPr>
    </w:p>
    <w:p w14:paraId="2E042FA5" w14:textId="77777777" w:rsidR="008D1CCE" w:rsidRDefault="008D1CCE" w:rsidP="00E15623">
      <w:pPr>
        <w:spacing w:line="240" w:lineRule="auto"/>
        <w:rPr>
          <w:rFonts w:ascii="Calibri" w:hAnsi="Calibri" w:cs="Calibri"/>
          <w:b/>
          <w:bCs/>
        </w:rPr>
      </w:pPr>
    </w:p>
    <w:p w14:paraId="51B24E46" w14:textId="77777777" w:rsidR="00DD429C" w:rsidRPr="00DD429C" w:rsidRDefault="00DD429C" w:rsidP="00E15623">
      <w:pPr>
        <w:spacing w:line="240" w:lineRule="auto"/>
        <w:rPr>
          <w:rFonts w:ascii="Calibri" w:hAnsi="Calibri" w:cs="Calibri"/>
        </w:rPr>
      </w:pPr>
    </w:p>
    <w:p w14:paraId="6419A159" w14:textId="77777777" w:rsidR="00DD429C" w:rsidRPr="00DD429C" w:rsidRDefault="00DD429C" w:rsidP="00E15623">
      <w:pPr>
        <w:spacing w:line="240" w:lineRule="auto"/>
        <w:rPr>
          <w:rFonts w:ascii="Calibri" w:hAnsi="Calibri" w:cs="Calibri"/>
        </w:rPr>
      </w:pPr>
    </w:p>
    <w:p w14:paraId="7D87768D" w14:textId="77777777" w:rsidR="00DD429C" w:rsidRPr="00DD429C" w:rsidRDefault="00DD429C" w:rsidP="00E15623">
      <w:pPr>
        <w:spacing w:line="240" w:lineRule="auto"/>
        <w:rPr>
          <w:rFonts w:ascii="Calibri" w:hAnsi="Calibri" w:cs="Calibri"/>
        </w:rPr>
      </w:pPr>
    </w:p>
    <w:p w14:paraId="24F0D2C1" w14:textId="77777777" w:rsidR="00DD429C" w:rsidRPr="00DD429C" w:rsidRDefault="00DD429C" w:rsidP="00E15623">
      <w:pPr>
        <w:spacing w:line="240" w:lineRule="auto"/>
        <w:rPr>
          <w:rFonts w:ascii="Calibri" w:hAnsi="Calibri" w:cs="Calibri"/>
        </w:rPr>
      </w:pPr>
    </w:p>
    <w:p w14:paraId="551CF3CD" w14:textId="77777777" w:rsidR="00DD429C" w:rsidRDefault="00DD429C" w:rsidP="00E15623">
      <w:pPr>
        <w:spacing w:line="240" w:lineRule="auto"/>
        <w:rPr>
          <w:rFonts w:ascii="Calibri" w:hAnsi="Calibri" w:cs="Calibri"/>
        </w:rPr>
      </w:pPr>
    </w:p>
    <w:p w14:paraId="7DF7DE32" w14:textId="77777777" w:rsidR="00417B09" w:rsidRDefault="00417B09" w:rsidP="00E15623">
      <w:pPr>
        <w:spacing w:line="240" w:lineRule="auto"/>
        <w:rPr>
          <w:rFonts w:ascii="Calibri" w:hAnsi="Calibri" w:cs="Calibri"/>
        </w:rPr>
      </w:pPr>
    </w:p>
    <w:p w14:paraId="3FCA768C" w14:textId="77777777" w:rsidR="00364568" w:rsidRDefault="00364568" w:rsidP="00E15623">
      <w:pPr>
        <w:spacing w:line="240" w:lineRule="auto"/>
        <w:rPr>
          <w:rFonts w:ascii="Calibri" w:hAnsi="Calibri" w:cs="Calibri"/>
        </w:rPr>
      </w:pPr>
    </w:p>
    <w:p w14:paraId="12778BCD" w14:textId="77777777" w:rsidR="00364568" w:rsidRDefault="00364568" w:rsidP="00E15623">
      <w:pPr>
        <w:spacing w:line="240" w:lineRule="auto"/>
        <w:rPr>
          <w:rFonts w:ascii="Calibri" w:hAnsi="Calibri" w:cs="Calibri"/>
        </w:rPr>
      </w:pPr>
    </w:p>
    <w:p w14:paraId="633D1379" w14:textId="77777777" w:rsidR="00364568" w:rsidRDefault="00364568" w:rsidP="00E15623">
      <w:pPr>
        <w:spacing w:line="240" w:lineRule="auto"/>
        <w:rPr>
          <w:rFonts w:ascii="Calibri" w:hAnsi="Calibri" w:cs="Calibri"/>
        </w:rPr>
      </w:pPr>
    </w:p>
    <w:p w14:paraId="3F500AC5" w14:textId="77777777" w:rsidR="00364568" w:rsidRDefault="00364568" w:rsidP="00E15623">
      <w:pPr>
        <w:spacing w:line="240" w:lineRule="auto"/>
        <w:rPr>
          <w:rFonts w:ascii="Calibri" w:hAnsi="Calibri" w:cs="Calibri"/>
        </w:rPr>
      </w:pPr>
    </w:p>
    <w:p w14:paraId="07F71765" w14:textId="77777777" w:rsidR="00364568" w:rsidRDefault="00364568" w:rsidP="00E15623">
      <w:pPr>
        <w:spacing w:line="240" w:lineRule="auto"/>
        <w:rPr>
          <w:rFonts w:ascii="Calibri" w:hAnsi="Calibri" w:cs="Calibri"/>
        </w:rPr>
      </w:pPr>
    </w:p>
    <w:p w14:paraId="6CBF06FB" w14:textId="77777777" w:rsidR="00364568" w:rsidRDefault="00364568" w:rsidP="00E15623">
      <w:pPr>
        <w:spacing w:line="240" w:lineRule="auto"/>
        <w:rPr>
          <w:rFonts w:ascii="Calibri" w:hAnsi="Calibri" w:cs="Calibri"/>
        </w:rPr>
      </w:pPr>
    </w:p>
    <w:p w14:paraId="049E9DA8" w14:textId="77777777" w:rsidR="00417B09" w:rsidRDefault="00417B09" w:rsidP="00E15623">
      <w:pPr>
        <w:spacing w:line="240" w:lineRule="auto"/>
        <w:rPr>
          <w:rFonts w:ascii="Calibri" w:hAnsi="Calibri" w:cs="Calibri"/>
        </w:rPr>
      </w:pPr>
    </w:p>
    <w:p w14:paraId="5BDD7216" w14:textId="77777777" w:rsidR="00364568" w:rsidRDefault="00364568" w:rsidP="00E15623">
      <w:pPr>
        <w:spacing w:line="240" w:lineRule="auto"/>
        <w:rPr>
          <w:rFonts w:ascii="Calibri" w:hAnsi="Calibri" w:cs="Calibri"/>
        </w:rPr>
      </w:pPr>
    </w:p>
    <w:p w14:paraId="01CD0D57" w14:textId="77777777" w:rsidR="00364568" w:rsidRDefault="00364568" w:rsidP="00E15623">
      <w:pPr>
        <w:spacing w:line="240" w:lineRule="auto"/>
        <w:rPr>
          <w:rFonts w:ascii="Calibri" w:hAnsi="Calibri" w:cs="Calibri"/>
        </w:rPr>
      </w:pPr>
    </w:p>
    <w:p w14:paraId="287ED115" w14:textId="77777777" w:rsidR="00364568" w:rsidRDefault="00364568" w:rsidP="00E15623">
      <w:pPr>
        <w:spacing w:line="240" w:lineRule="auto"/>
        <w:rPr>
          <w:rFonts w:ascii="Calibri" w:hAnsi="Calibri" w:cs="Calibri"/>
        </w:rPr>
      </w:pPr>
    </w:p>
    <w:p w14:paraId="2A684C1D" w14:textId="77777777" w:rsidR="00364568" w:rsidRDefault="00364568" w:rsidP="00E15623">
      <w:pPr>
        <w:spacing w:line="240" w:lineRule="auto"/>
        <w:rPr>
          <w:rFonts w:ascii="Calibri" w:hAnsi="Calibri" w:cs="Calibri"/>
        </w:rPr>
      </w:pPr>
    </w:p>
    <w:p w14:paraId="47B5D5FE" w14:textId="77777777" w:rsidR="00364568" w:rsidRDefault="00364568" w:rsidP="00E15623">
      <w:pPr>
        <w:spacing w:line="240" w:lineRule="auto"/>
        <w:rPr>
          <w:rFonts w:ascii="Calibri" w:hAnsi="Calibri" w:cs="Calibri"/>
        </w:rPr>
      </w:pPr>
    </w:p>
    <w:p w14:paraId="701AB508" w14:textId="77777777" w:rsidR="00364568" w:rsidRDefault="00364568" w:rsidP="00E15623">
      <w:pPr>
        <w:spacing w:line="240" w:lineRule="auto"/>
        <w:rPr>
          <w:rFonts w:ascii="Calibri" w:hAnsi="Calibri" w:cs="Calibri"/>
        </w:rPr>
      </w:pPr>
    </w:p>
    <w:p w14:paraId="7B708796" w14:textId="77777777" w:rsidR="00364568" w:rsidRDefault="00364568" w:rsidP="00E15623">
      <w:pPr>
        <w:spacing w:line="240" w:lineRule="auto"/>
        <w:rPr>
          <w:rFonts w:ascii="Calibri" w:hAnsi="Calibri" w:cs="Calibri"/>
        </w:rPr>
      </w:pPr>
    </w:p>
    <w:p w14:paraId="13E3D18E" w14:textId="146272B0" w:rsidR="00364568" w:rsidRPr="00677936" w:rsidRDefault="001107DD" w:rsidP="00677936">
      <w:pPr>
        <w:pStyle w:val="Heading1"/>
        <w:spacing w:line="360" w:lineRule="auto"/>
        <w:rPr>
          <w:rFonts w:ascii="Arial" w:hAnsi="Arial" w:cs="Arial"/>
          <w:b/>
          <w:bCs/>
          <w:color w:val="auto"/>
          <w:sz w:val="24"/>
          <w:szCs w:val="24"/>
        </w:rPr>
      </w:pPr>
      <w:bookmarkStart w:id="0" w:name="_Toc229126188"/>
      <w:r w:rsidRPr="00677936">
        <w:rPr>
          <w:rFonts w:ascii="Arial" w:hAnsi="Arial" w:cs="Arial"/>
          <w:b/>
          <w:bCs/>
          <w:color w:val="auto"/>
          <w:sz w:val="24"/>
          <w:szCs w:val="24"/>
        </w:rPr>
        <w:t>Exclusive</w:t>
      </w:r>
      <w:r w:rsidR="00364568" w:rsidRPr="00677936">
        <w:rPr>
          <w:rFonts w:ascii="Arial" w:hAnsi="Arial" w:cs="Arial"/>
          <w:b/>
          <w:bCs/>
          <w:color w:val="auto"/>
          <w:sz w:val="24"/>
          <w:szCs w:val="24"/>
        </w:rPr>
        <w:t xml:space="preserve"> S</w:t>
      </w:r>
      <w:r w:rsidRPr="00677936">
        <w:rPr>
          <w:rFonts w:ascii="Arial" w:hAnsi="Arial" w:cs="Arial"/>
          <w:b/>
          <w:bCs/>
          <w:color w:val="auto"/>
          <w:sz w:val="24"/>
          <w:szCs w:val="24"/>
        </w:rPr>
        <w:t>ummary</w:t>
      </w:r>
      <w:bookmarkEnd w:id="0"/>
    </w:p>
    <w:p w14:paraId="4E624CF9" w14:textId="0A059CF1" w:rsidR="00364568" w:rsidRPr="00677936" w:rsidRDefault="00364568" w:rsidP="00677936">
      <w:pPr>
        <w:spacing w:line="360" w:lineRule="auto"/>
        <w:rPr>
          <w:rFonts w:ascii="Arial" w:hAnsi="Arial" w:cs="Arial"/>
          <w:sz w:val="24"/>
          <w:szCs w:val="24"/>
        </w:rPr>
      </w:pPr>
      <w:r w:rsidRPr="00677936">
        <w:rPr>
          <w:rFonts w:ascii="Arial" w:hAnsi="Arial" w:cs="Arial"/>
          <w:sz w:val="24"/>
          <w:szCs w:val="24"/>
        </w:rPr>
        <w:t>This report looked at the criminal justice system's reaction to Axel Rudakubana's killings in Southport. It concentrated on the actions taken prior to, during, and following the incident by the police, Crown Prosecution Service (CPS), courts, and the wider judicial system. </w:t>
      </w:r>
    </w:p>
    <w:p w14:paraId="46DC887D" w14:textId="63A50FF6" w:rsidR="00364568" w:rsidRPr="00677936" w:rsidRDefault="00364568" w:rsidP="00677936">
      <w:pPr>
        <w:spacing w:line="360" w:lineRule="auto"/>
        <w:rPr>
          <w:rFonts w:ascii="Arial" w:hAnsi="Arial" w:cs="Arial"/>
          <w:sz w:val="24"/>
          <w:szCs w:val="24"/>
        </w:rPr>
      </w:pPr>
      <w:r w:rsidRPr="00677936">
        <w:rPr>
          <w:rFonts w:ascii="Arial" w:hAnsi="Arial" w:cs="Arial"/>
          <w:sz w:val="24"/>
          <w:szCs w:val="24"/>
        </w:rPr>
        <w:t>According to the evidence, Rudakubana had three prior referrals to the Prevent program and was known to the police before the attack. But at the time, these concerns did not prompt any additional action. Strong evidence that helped the prosecution's case was acquired by police during the inquiry, including digital content and objects discovered at his residence.</w:t>
      </w:r>
    </w:p>
    <w:p w14:paraId="1003C714" w14:textId="7BF904E5" w:rsidR="00364568" w:rsidRPr="00677936" w:rsidRDefault="00364568" w:rsidP="00677936">
      <w:pPr>
        <w:spacing w:line="360" w:lineRule="auto"/>
        <w:rPr>
          <w:rFonts w:ascii="Arial" w:hAnsi="Arial" w:cs="Arial"/>
          <w:sz w:val="24"/>
          <w:szCs w:val="24"/>
        </w:rPr>
      </w:pPr>
      <w:r w:rsidRPr="00677936">
        <w:rPr>
          <w:rFonts w:ascii="Arial" w:hAnsi="Arial" w:cs="Arial"/>
          <w:sz w:val="24"/>
          <w:szCs w:val="24"/>
        </w:rPr>
        <w:t>Numerous charges, including murder, attempted murder, and other offences connected to biological material and papers pertaining to extremists, were approved by the CPS. Rudakubana was given a life sentence with a minimum of 52 years in jail by the court. </w:t>
      </w:r>
    </w:p>
    <w:p w14:paraId="190AEF43" w14:textId="1A0D6C63" w:rsidR="00364568" w:rsidRPr="00677936" w:rsidRDefault="00364568" w:rsidP="00677936">
      <w:pPr>
        <w:spacing w:line="360" w:lineRule="auto"/>
        <w:rPr>
          <w:rFonts w:ascii="Arial" w:hAnsi="Arial" w:cs="Arial"/>
          <w:sz w:val="24"/>
          <w:szCs w:val="24"/>
        </w:rPr>
      </w:pPr>
      <w:r w:rsidRPr="00677936">
        <w:rPr>
          <w:rFonts w:ascii="Arial" w:hAnsi="Arial" w:cs="Arial"/>
          <w:sz w:val="24"/>
          <w:szCs w:val="24"/>
        </w:rPr>
        <w:t>All things considered, the case brings to light difficulties with agency information sharing, safeguarding system decision-making, and striking a balance between public safety and the right to a fair trial.</w:t>
      </w:r>
    </w:p>
    <w:p w14:paraId="09521EBB" w14:textId="53899B4E" w:rsidR="00364568" w:rsidRPr="00677936" w:rsidRDefault="00364568" w:rsidP="00677936">
      <w:pPr>
        <w:spacing w:line="360" w:lineRule="auto"/>
        <w:rPr>
          <w:rFonts w:ascii="Arial" w:hAnsi="Arial" w:cs="Arial"/>
          <w:sz w:val="24"/>
          <w:szCs w:val="24"/>
        </w:rPr>
      </w:pPr>
      <w:r w:rsidRPr="00677936">
        <w:rPr>
          <w:rFonts w:ascii="Arial" w:hAnsi="Arial" w:cs="Arial"/>
          <w:sz w:val="24"/>
          <w:szCs w:val="24"/>
        </w:rPr>
        <w:t> </w:t>
      </w:r>
    </w:p>
    <w:p w14:paraId="57061BF0" w14:textId="77777777" w:rsidR="00364568" w:rsidRPr="00677936" w:rsidRDefault="00364568" w:rsidP="00677936">
      <w:pPr>
        <w:spacing w:line="360" w:lineRule="auto"/>
        <w:rPr>
          <w:rFonts w:ascii="Arial" w:hAnsi="Arial" w:cs="Arial"/>
          <w:sz w:val="24"/>
          <w:szCs w:val="24"/>
        </w:rPr>
      </w:pPr>
    </w:p>
    <w:p w14:paraId="36D76F37" w14:textId="77777777" w:rsidR="00364568" w:rsidRPr="00677936" w:rsidRDefault="00364568" w:rsidP="00677936">
      <w:pPr>
        <w:spacing w:line="360" w:lineRule="auto"/>
        <w:rPr>
          <w:rFonts w:ascii="Arial" w:hAnsi="Arial" w:cs="Arial"/>
          <w:sz w:val="24"/>
          <w:szCs w:val="24"/>
        </w:rPr>
      </w:pPr>
    </w:p>
    <w:p w14:paraId="3D120A04" w14:textId="77777777" w:rsidR="00364568" w:rsidRPr="00677936" w:rsidRDefault="00364568" w:rsidP="00677936">
      <w:pPr>
        <w:spacing w:line="360" w:lineRule="auto"/>
        <w:rPr>
          <w:rFonts w:ascii="Arial" w:hAnsi="Arial" w:cs="Arial"/>
          <w:sz w:val="24"/>
          <w:szCs w:val="24"/>
        </w:rPr>
      </w:pPr>
    </w:p>
    <w:p w14:paraId="195C9549" w14:textId="440F8F7F" w:rsidR="00DB249B" w:rsidRPr="00677936" w:rsidRDefault="00170595" w:rsidP="00677936">
      <w:pPr>
        <w:pStyle w:val="Heading1"/>
        <w:spacing w:line="360" w:lineRule="auto"/>
        <w:rPr>
          <w:rFonts w:ascii="Arial" w:hAnsi="Arial" w:cs="Arial"/>
          <w:b/>
          <w:bCs/>
          <w:color w:val="auto"/>
          <w:sz w:val="24"/>
          <w:szCs w:val="24"/>
        </w:rPr>
      </w:pPr>
      <w:bookmarkStart w:id="1" w:name="_Toc229126189"/>
      <w:r w:rsidRPr="00677936">
        <w:rPr>
          <w:rFonts w:ascii="Arial" w:hAnsi="Arial" w:cs="Arial"/>
          <w:b/>
          <w:bCs/>
          <w:color w:val="auto"/>
          <w:sz w:val="24"/>
          <w:szCs w:val="24"/>
        </w:rPr>
        <w:lastRenderedPageBreak/>
        <w:t>Introduction</w:t>
      </w:r>
      <w:bookmarkEnd w:id="1"/>
      <w:r w:rsidRPr="00677936">
        <w:rPr>
          <w:rFonts w:ascii="Arial" w:hAnsi="Arial" w:cs="Arial"/>
          <w:b/>
          <w:bCs/>
          <w:color w:val="auto"/>
          <w:sz w:val="24"/>
          <w:szCs w:val="24"/>
        </w:rPr>
        <w:t xml:space="preserve"> </w:t>
      </w:r>
    </w:p>
    <w:p w14:paraId="4CA6D7A3" w14:textId="77777777" w:rsidR="000E25A3" w:rsidRPr="00677936" w:rsidRDefault="000E25A3" w:rsidP="00677936">
      <w:pPr>
        <w:pStyle w:val="Heading1"/>
        <w:spacing w:line="360" w:lineRule="auto"/>
        <w:rPr>
          <w:rFonts w:ascii="Arial" w:eastAsiaTheme="minorHAnsi" w:hAnsi="Arial" w:cs="Arial"/>
          <w:color w:val="auto"/>
          <w:sz w:val="24"/>
          <w:szCs w:val="24"/>
        </w:rPr>
      </w:pPr>
      <w:bookmarkStart w:id="2" w:name="_Toc229126190"/>
      <w:r w:rsidRPr="00677936">
        <w:rPr>
          <w:rFonts w:ascii="Arial" w:eastAsiaTheme="minorHAnsi" w:hAnsi="Arial" w:cs="Arial"/>
          <w:color w:val="auto"/>
          <w:sz w:val="24"/>
          <w:szCs w:val="24"/>
        </w:rPr>
        <w:t>This report will critically examine the case of Axel Rudakubana and the Southport Murders. It will focus on the response of the criminal justice system, from police through to the court and the prison.</w:t>
      </w:r>
      <w:bookmarkEnd w:id="2"/>
      <w:r w:rsidRPr="00677936">
        <w:rPr>
          <w:rFonts w:ascii="Arial" w:eastAsiaTheme="minorHAnsi" w:hAnsi="Arial" w:cs="Arial"/>
          <w:color w:val="auto"/>
          <w:sz w:val="24"/>
          <w:szCs w:val="24"/>
        </w:rPr>
        <w:t>  </w:t>
      </w:r>
    </w:p>
    <w:p w14:paraId="7A8CAF7C" w14:textId="1B3B4A87" w:rsidR="000E25A3" w:rsidRPr="00677936" w:rsidRDefault="000E25A3" w:rsidP="00677936">
      <w:pPr>
        <w:pStyle w:val="Heading1"/>
        <w:spacing w:line="360" w:lineRule="auto"/>
        <w:rPr>
          <w:rFonts w:ascii="Arial" w:hAnsi="Arial" w:cs="Arial"/>
          <w:b/>
          <w:bCs/>
          <w:color w:val="auto"/>
          <w:sz w:val="24"/>
          <w:szCs w:val="24"/>
        </w:rPr>
      </w:pPr>
      <w:bookmarkStart w:id="3" w:name="_Toc229126191"/>
      <w:r w:rsidRPr="00677936">
        <w:rPr>
          <w:rFonts w:ascii="Arial" w:hAnsi="Arial" w:cs="Arial"/>
          <w:b/>
          <w:bCs/>
          <w:color w:val="auto"/>
          <w:sz w:val="24"/>
          <w:szCs w:val="24"/>
        </w:rPr>
        <w:t>Background of the Southport Murders: Axel Rudakubana Case</w:t>
      </w:r>
      <w:bookmarkEnd w:id="3"/>
    </w:p>
    <w:p w14:paraId="7D0DE26E" w14:textId="77777777" w:rsidR="000E25A3" w:rsidRPr="00677936" w:rsidRDefault="000E25A3" w:rsidP="00677936">
      <w:pPr>
        <w:spacing w:line="360" w:lineRule="auto"/>
        <w:rPr>
          <w:rFonts w:ascii="Arial" w:hAnsi="Arial" w:cs="Arial"/>
          <w:sz w:val="24"/>
          <w:szCs w:val="24"/>
        </w:rPr>
      </w:pPr>
    </w:p>
    <w:p w14:paraId="5C3165E2" w14:textId="30D1C559" w:rsidR="001A6247" w:rsidRPr="00677936" w:rsidRDefault="001A6247" w:rsidP="00677936">
      <w:pPr>
        <w:spacing w:line="360" w:lineRule="auto"/>
        <w:rPr>
          <w:rFonts w:ascii="Arial" w:hAnsi="Arial" w:cs="Arial"/>
          <w:sz w:val="24"/>
          <w:szCs w:val="24"/>
        </w:rPr>
      </w:pPr>
      <w:r w:rsidRPr="00677936">
        <w:rPr>
          <w:rFonts w:ascii="Arial" w:hAnsi="Arial" w:cs="Arial"/>
          <w:sz w:val="24"/>
          <w:szCs w:val="24"/>
        </w:rPr>
        <w:t>According to the Crown Prosecution Service (2025</w:t>
      </w:r>
      <w:r w:rsidR="0084662A" w:rsidRPr="00677936">
        <w:rPr>
          <w:rFonts w:ascii="Arial" w:hAnsi="Arial" w:cs="Arial"/>
          <w:sz w:val="24"/>
          <w:szCs w:val="24"/>
        </w:rPr>
        <w:t>a</w:t>
      </w:r>
      <w:r w:rsidRPr="00677936">
        <w:rPr>
          <w:rFonts w:ascii="Arial" w:hAnsi="Arial" w:cs="Arial"/>
          <w:sz w:val="24"/>
          <w:szCs w:val="24"/>
        </w:rPr>
        <w:t>), Axel Rudkubana, aged 17, broke into a Southport dance school on 29</w:t>
      </w:r>
      <w:r w:rsidR="00E24639" w:rsidRPr="00677936">
        <w:rPr>
          <w:rFonts w:ascii="Arial" w:hAnsi="Arial" w:cs="Arial"/>
          <w:sz w:val="24"/>
          <w:szCs w:val="24"/>
          <w:vertAlign w:val="superscript"/>
        </w:rPr>
        <w:t>th</w:t>
      </w:r>
      <w:r w:rsidR="00E24639" w:rsidRPr="00677936">
        <w:rPr>
          <w:rFonts w:ascii="Arial" w:hAnsi="Arial" w:cs="Arial"/>
          <w:sz w:val="24"/>
          <w:szCs w:val="24"/>
        </w:rPr>
        <w:t xml:space="preserve"> </w:t>
      </w:r>
      <w:r w:rsidRPr="00677936">
        <w:rPr>
          <w:rFonts w:ascii="Arial" w:hAnsi="Arial" w:cs="Arial"/>
          <w:sz w:val="24"/>
          <w:szCs w:val="24"/>
        </w:rPr>
        <w:t xml:space="preserve">July 2024 with the intention of killing and causing violence. At 11:45am, he arrived at a Taylor Swift–themed party attended by 26 children and entered the premises. Over the course of approximately fifteen minutes, he carried out the attack using a 20 cm kitchen knife he had purchased online a few days </w:t>
      </w:r>
      <w:r w:rsidR="00E24639" w:rsidRPr="00677936">
        <w:rPr>
          <w:rFonts w:ascii="Arial" w:hAnsi="Arial" w:cs="Arial"/>
          <w:sz w:val="24"/>
          <w:szCs w:val="24"/>
        </w:rPr>
        <w:t>earlier.</w:t>
      </w:r>
      <w:r w:rsidRPr="00677936">
        <w:rPr>
          <w:rFonts w:ascii="Arial" w:hAnsi="Arial" w:cs="Arial"/>
          <w:sz w:val="24"/>
          <w:szCs w:val="24"/>
        </w:rPr>
        <w:t xml:space="preserve"> He also attacked a yoga instructor and a neighbour who tried to intervene and protect the children</w:t>
      </w:r>
      <w:r w:rsidR="00913774" w:rsidRPr="00677936">
        <w:rPr>
          <w:rFonts w:ascii="Arial" w:hAnsi="Arial" w:cs="Arial"/>
          <w:sz w:val="24"/>
          <w:szCs w:val="24"/>
        </w:rPr>
        <w:t xml:space="preserve">. He was sentenced to life imprisonment with a minimum term of 52 years (R v Axel Rudakubana, 2025). </w:t>
      </w:r>
    </w:p>
    <w:p w14:paraId="55B6857F" w14:textId="395FF1D9" w:rsidR="00F27AA2" w:rsidRPr="00677936" w:rsidRDefault="001A6247" w:rsidP="00677936">
      <w:pPr>
        <w:spacing w:line="360" w:lineRule="auto"/>
        <w:rPr>
          <w:rFonts w:ascii="Arial" w:hAnsi="Arial" w:cs="Arial"/>
          <w:sz w:val="24"/>
          <w:szCs w:val="24"/>
        </w:rPr>
      </w:pPr>
      <w:r w:rsidRPr="00677936">
        <w:rPr>
          <w:rFonts w:ascii="Arial" w:hAnsi="Arial" w:cs="Arial"/>
          <w:sz w:val="24"/>
          <w:szCs w:val="24"/>
        </w:rPr>
        <w:t xml:space="preserve">According to R v Axel Rudakubana (2025), </w:t>
      </w:r>
      <w:r w:rsidR="00913774" w:rsidRPr="00677936">
        <w:rPr>
          <w:rFonts w:ascii="Arial" w:hAnsi="Arial" w:cs="Arial"/>
          <w:sz w:val="24"/>
          <w:szCs w:val="24"/>
        </w:rPr>
        <w:t>Axel</w:t>
      </w:r>
      <w:r w:rsidRPr="00677936">
        <w:rPr>
          <w:rFonts w:ascii="Arial" w:hAnsi="Arial" w:cs="Arial"/>
          <w:sz w:val="24"/>
          <w:szCs w:val="24"/>
        </w:rPr>
        <w:t xml:space="preserve"> had only one pr</w:t>
      </w:r>
      <w:r w:rsidR="00E24639" w:rsidRPr="00677936">
        <w:rPr>
          <w:rFonts w:ascii="Arial" w:hAnsi="Arial" w:cs="Arial"/>
          <w:sz w:val="24"/>
          <w:szCs w:val="24"/>
        </w:rPr>
        <w:t>evious</w:t>
      </w:r>
      <w:r w:rsidRPr="00677936">
        <w:rPr>
          <w:rFonts w:ascii="Arial" w:hAnsi="Arial" w:cs="Arial"/>
          <w:sz w:val="24"/>
          <w:szCs w:val="24"/>
        </w:rPr>
        <w:t xml:space="preserve"> arrest before the Southport murders. On 19</w:t>
      </w:r>
      <w:r w:rsidR="00913774" w:rsidRPr="00677936">
        <w:rPr>
          <w:rFonts w:ascii="Arial" w:hAnsi="Arial" w:cs="Arial"/>
          <w:sz w:val="24"/>
          <w:szCs w:val="24"/>
          <w:vertAlign w:val="superscript"/>
        </w:rPr>
        <w:t>th</w:t>
      </w:r>
      <w:r w:rsidR="00913774" w:rsidRPr="00677936">
        <w:rPr>
          <w:rFonts w:ascii="Arial" w:hAnsi="Arial" w:cs="Arial"/>
          <w:sz w:val="24"/>
          <w:szCs w:val="24"/>
        </w:rPr>
        <w:t xml:space="preserve"> </w:t>
      </w:r>
      <w:r w:rsidRPr="00677936">
        <w:rPr>
          <w:rFonts w:ascii="Arial" w:hAnsi="Arial" w:cs="Arial"/>
          <w:sz w:val="24"/>
          <w:szCs w:val="24"/>
        </w:rPr>
        <w:t>February 2020, at the age of 13, he was charged with assault, carrying an offensive weapon in a public place, and possessing a knife on school property</w:t>
      </w:r>
      <w:r w:rsidR="00E24639" w:rsidRPr="00677936">
        <w:rPr>
          <w:rFonts w:ascii="Arial" w:hAnsi="Arial" w:cs="Arial"/>
          <w:sz w:val="24"/>
          <w:szCs w:val="24"/>
        </w:rPr>
        <w:t>. He</w:t>
      </w:r>
      <w:r w:rsidRPr="00677936">
        <w:rPr>
          <w:rFonts w:ascii="Arial" w:hAnsi="Arial" w:cs="Arial"/>
          <w:sz w:val="24"/>
          <w:szCs w:val="24"/>
        </w:rPr>
        <w:t xml:space="preserve"> received a juvenile referral order</w:t>
      </w:r>
      <w:r w:rsidR="00E24639" w:rsidRPr="00677936">
        <w:rPr>
          <w:rFonts w:ascii="Arial" w:hAnsi="Arial" w:cs="Arial"/>
          <w:sz w:val="24"/>
          <w:szCs w:val="24"/>
        </w:rPr>
        <w:t xml:space="preserve"> for this.</w:t>
      </w:r>
      <w:r w:rsidRPr="00677936">
        <w:rPr>
          <w:rFonts w:ascii="Arial" w:hAnsi="Arial" w:cs="Arial"/>
          <w:sz w:val="24"/>
          <w:szCs w:val="24"/>
        </w:rPr>
        <w:t xml:space="preserve"> After being expelled for carrying a knife, he later entered the school without permission with the intention of harming </w:t>
      </w:r>
      <w:r w:rsidR="00E24639" w:rsidRPr="00677936">
        <w:rPr>
          <w:rFonts w:ascii="Arial" w:hAnsi="Arial" w:cs="Arial"/>
          <w:sz w:val="24"/>
          <w:szCs w:val="24"/>
        </w:rPr>
        <w:t xml:space="preserve">certain </w:t>
      </w:r>
      <w:r w:rsidRPr="00677936">
        <w:rPr>
          <w:rFonts w:ascii="Arial" w:hAnsi="Arial" w:cs="Arial"/>
          <w:sz w:val="24"/>
          <w:szCs w:val="24"/>
        </w:rPr>
        <w:t>students</w:t>
      </w:r>
      <w:r w:rsidR="00E24639" w:rsidRPr="00677936">
        <w:rPr>
          <w:rFonts w:ascii="Arial" w:hAnsi="Arial" w:cs="Arial"/>
          <w:sz w:val="24"/>
          <w:szCs w:val="24"/>
        </w:rPr>
        <w:t>, who</w:t>
      </w:r>
      <w:r w:rsidRPr="00677936">
        <w:rPr>
          <w:rFonts w:ascii="Arial" w:hAnsi="Arial" w:cs="Arial"/>
          <w:sz w:val="24"/>
          <w:szCs w:val="24"/>
        </w:rPr>
        <w:t xml:space="preserve"> he claimed had bullied him.</w:t>
      </w:r>
      <w:r w:rsidR="00C940F5" w:rsidRPr="00677936">
        <w:rPr>
          <w:rFonts w:ascii="Arial" w:hAnsi="Arial" w:cs="Arial"/>
          <w:sz w:val="24"/>
          <w:szCs w:val="24"/>
        </w:rPr>
        <w:t xml:space="preserve"> </w:t>
      </w:r>
    </w:p>
    <w:p w14:paraId="619666BB" w14:textId="19A17A5D" w:rsidR="00910E80" w:rsidRPr="00677936" w:rsidRDefault="000E25A3" w:rsidP="00677936">
      <w:pPr>
        <w:spacing w:line="360" w:lineRule="auto"/>
        <w:rPr>
          <w:rFonts w:ascii="Arial" w:hAnsi="Arial" w:cs="Arial"/>
          <w:sz w:val="24"/>
          <w:szCs w:val="24"/>
        </w:rPr>
      </w:pPr>
      <w:r w:rsidRPr="00677936">
        <w:rPr>
          <w:rFonts w:ascii="Arial" w:hAnsi="Arial" w:cs="Arial"/>
          <w:sz w:val="24"/>
          <w:szCs w:val="24"/>
        </w:rPr>
        <w:t>In relation to the investigation into the circumstances surrounding the incident and the events leading up to it, the Southport Inquiry has been established. This involved examining a broad chronology of the offender’s past and his interactions with public agencies, such as criminal justice, education, social services, and healthcare, as well as how local services and organisations made decisions and share information (Southport Inquiry, 2025).</w:t>
      </w:r>
    </w:p>
    <w:p w14:paraId="3F335417" w14:textId="62E00CB6" w:rsidR="00836DE6" w:rsidRPr="00677936" w:rsidRDefault="00836DE6" w:rsidP="00677936">
      <w:pPr>
        <w:pStyle w:val="Heading3"/>
        <w:spacing w:line="360" w:lineRule="auto"/>
        <w:rPr>
          <w:rFonts w:ascii="Arial" w:hAnsi="Arial" w:cs="Arial"/>
          <w:b/>
          <w:bCs/>
          <w:color w:val="auto"/>
          <w:sz w:val="24"/>
          <w:szCs w:val="24"/>
        </w:rPr>
      </w:pPr>
      <w:bookmarkStart w:id="4" w:name="_Toc229126192"/>
      <w:r w:rsidRPr="00677936">
        <w:rPr>
          <w:rFonts w:ascii="Arial" w:hAnsi="Arial" w:cs="Arial"/>
          <w:b/>
          <w:bCs/>
          <w:color w:val="auto"/>
          <w:sz w:val="24"/>
          <w:szCs w:val="24"/>
        </w:rPr>
        <w:t>Police Response</w:t>
      </w:r>
      <w:bookmarkEnd w:id="4"/>
    </w:p>
    <w:p w14:paraId="2F2DC09C" w14:textId="77777777" w:rsidR="00836DE6" w:rsidRPr="00677936" w:rsidRDefault="00836DE6" w:rsidP="00677936">
      <w:pPr>
        <w:spacing w:line="360" w:lineRule="auto"/>
        <w:rPr>
          <w:rFonts w:ascii="Arial" w:hAnsi="Arial" w:cs="Arial"/>
          <w:sz w:val="24"/>
          <w:szCs w:val="24"/>
        </w:rPr>
      </w:pPr>
      <w:r w:rsidRPr="00677936">
        <w:rPr>
          <w:rFonts w:ascii="Arial" w:hAnsi="Arial" w:cs="Arial"/>
          <w:sz w:val="24"/>
          <w:szCs w:val="24"/>
        </w:rPr>
        <w:t xml:space="preserve">On the day of the attack, 29th July 2024, at 11:57 am, the first police officer arrived at the Southport stabbing scene. When police entered the studio, they found Rudakubana still holding a knife and standing over a victim. They arrested him after </w:t>
      </w:r>
      <w:r w:rsidRPr="00677936">
        <w:rPr>
          <w:rFonts w:ascii="Arial" w:hAnsi="Arial" w:cs="Arial"/>
          <w:sz w:val="24"/>
          <w:szCs w:val="24"/>
        </w:rPr>
        <w:lastRenderedPageBreak/>
        <w:t xml:space="preserve">he complied with their commands to put down the knife. He was taken into custody following the arrest (Courts and Tribunals Judiciary, 2025). </w:t>
      </w:r>
    </w:p>
    <w:p w14:paraId="0942FABD" w14:textId="77777777" w:rsidR="00836DE6" w:rsidRPr="00677936" w:rsidRDefault="00836DE6" w:rsidP="00677936">
      <w:pPr>
        <w:spacing w:line="360" w:lineRule="auto"/>
        <w:rPr>
          <w:rFonts w:ascii="Arial" w:hAnsi="Arial" w:cs="Arial"/>
          <w:sz w:val="24"/>
          <w:szCs w:val="24"/>
        </w:rPr>
      </w:pPr>
      <w:r w:rsidRPr="00677936">
        <w:rPr>
          <w:rFonts w:ascii="Arial" w:hAnsi="Arial" w:cs="Arial"/>
          <w:sz w:val="24"/>
          <w:szCs w:val="24"/>
        </w:rPr>
        <w:t>A subsequent search of Rudakubana’s house revealed evidence of planning for a mass killing. On his laptop, investigators found files containing information on violent attacks. This included copies of an Al-Qaeda training manual that described methods of killing with a knife and suggested targets, including the head and neck, which were methods consistent with those used in this case (Courts and Tribunals Judiciary, 2025).</w:t>
      </w:r>
    </w:p>
    <w:p w14:paraId="1A511407" w14:textId="1708307A" w:rsidR="007E4463" w:rsidRPr="00677936" w:rsidRDefault="00836DE6" w:rsidP="00677936">
      <w:pPr>
        <w:spacing w:line="360" w:lineRule="auto"/>
        <w:rPr>
          <w:rFonts w:ascii="Arial" w:hAnsi="Arial" w:cs="Arial"/>
          <w:sz w:val="24"/>
          <w:szCs w:val="24"/>
        </w:rPr>
      </w:pPr>
      <w:r w:rsidRPr="00677936">
        <w:rPr>
          <w:rFonts w:ascii="Arial" w:hAnsi="Arial" w:cs="Arial"/>
          <w:sz w:val="24"/>
          <w:szCs w:val="24"/>
        </w:rPr>
        <w:t>The investigation team worked to construct a strong evidential case for the Crown Prosecution Service. While the exact motivation for Rudakubana’ s actions remains unknown, investigators noted his preoccupation with extreme violence and engagement with multiple violent materials online. However, no evidence indicated a single motive, which is why the case was not classified as terrorism. Merseyside Police conducted a thorough investigation to bring justice to the victims’ families but have been accused of withholding information, which they have denied (Counter Terrorism Policing, 2025).</w:t>
      </w:r>
    </w:p>
    <w:p w14:paraId="2868153A" w14:textId="77777777" w:rsidR="000E25A3" w:rsidRPr="00677936" w:rsidRDefault="00514177" w:rsidP="00677936">
      <w:pPr>
        <w:spacing w:line="360" w:lineRule="auto"/>
        <w:rPr>
          <w:rFonts w:ascii="Arial" w:hAnsi="Arial" w:cs="Arial"/>
          <w:sz w:val="24"/>
          <w:szCs w:val="24"/>
        </w:rPr>
      </w:pPr>
      <w:r w:rsidRPr="00677936">
        <w:rPr>
          <w:rFonts w:ascii="Arial" w:hAnsi="Arial" w:cs="Arial"/>
          <w:sz w:val="24"/>
          <w:szCs w:val="24"/>
        </w:rPr>
        <w:t>However, the police were criticised for withholding information from the public, such as Rudakubana’s identity, information about the material found at his house, his previous convictions and Prevent referrals. The Police argued that they were withheld by the C</w:t>
      </w:r>
      <w:r w:rsidR="000E25A3" w:rsidRPr="00677936">
        <w:rPr>
          <w:rFonts w:ascii="Arial" w:hAnsi="Arial" w:cs="Arial"/>
          <w:sz w:val="24"/>
          <w:szCs w:val="24"/>
        </w:rPr>
        <w:t xml:space="preserve">rown Prosecution </w:t>
      </w:r>
      <w:r w:rsidRPr="00677936">
        <w:rPr>
          <w:rFonts w:ascii="Arial" w:hAnsi="Arial" w:cs="Arial"/>
          <w:sz w:val="24"/>
          <w:szCs w:val="24"/>
        </w:rPr>
        <w:t>S</w:t>
      </w:r>
      <w:r w:rsidR="000E25A3" w:rsidRPr="00677936">
        <w:rPr>
          <w:rFonts w:ascii="Arial" w:hAnsi="Arial" w:cs="Arial"/>
          <w:sz w:val="24"/>
          <w:szCs w:val="24"/>
        </w:rPr>
        <w:t>ervice (CPS)</w:t>
      </w:r>
      <w:r w:rsidRPr="00677936">
        <w:rPr>
          <w:rFonts w:ascii="Arial" w:hAnsi="Arial" w:cs="Arial"/>
          <w:sz w:val="24"/>
          <w:szCs w:val="24"/>
        </w:rPr>
        <w:t xml:space="preserve">, as releasing the information before trial could have prejudiced the trial (Crown Prosecution Service, 2025).  </w:t>
      </w:r>
    </w:p>
    <w:p w14:paraId="6B0DE6EF" w14:textId="7D54DDC1" w:rsidR="003F3C9A" w:rsidRPr="00677936" w:rsidRDefault="00514177" w:rsidP="00677936">
      <w:pPr>
        <w:spacing w:line="360" w:lineRule="auto"/>
        <w:rPr>
          <w:rFonts w:ascii="Arial" w:hAnsi="Arial" w:cs="Arial"/>
          <w:sz w:val="24"/>
          <w:szCs w:val="24"/>
        </w:rPr>
      </w:pPr>
      <w:r w:rsidRPr="00677936">
        <w:rPr>
          <w:rFonts w:ascii="Arial" w:hAnsi="Arial" w:cs="Arial"/>
          <w:sz w:val="24"/>
          <w:szCs w:val="24"/>
        </w:rPr>
        <w:t>According to the Crown Prosecution Service (2025),</w:t>
      </w:r>
      <w:r w:rsidR="007C0853" w:rsidRPr="00677936">
        <w:rPr>
          <w:rFonts w:ascii="Arial" w:hAnsi="Arial" w:cs="Arial"/>
          <w:sz w:val="24"/>
          <w:szCs w:val="24"/>
        </w:rPr>
        <w:t xml:space="preserve"> the police and the CPS are two distinct organisations with distinct functions. The CPS will take the police’s opinions into consideration when releasing material. However, </w:t>
      </w:r>
      <w:r w:rsidR="003F3C9A" w:rsidRPr="00677936">
        <w:rPr>
          <w:rFonts w:ascii="Arial" w:hAnsi="Arial" w:cs="Arial"/>
          <w:sz w:val="24"/>
          <w:szCs w:val="24"/>
        </w:rPr>
        <w:t xml:space="preserve">the CPS decision </w:t>
      </w:r>
      <w:r w:rsidR="000E25A3" w:rsidRPr="00677936">
        <w:rPr>
          <w:rFonts w:ascii="Arial" w:hAnsi="Arial" w:cs="Arial"/>
          <w:sz w:val="24"/>
          <w:szCs w:val="24"/>
        </w:rPr>
        <w:t>will</w:t>
      </w:r>
      <w:r w:rsidR="003F3C9A" w:rsidRPr="00677936">
        <w:rPr>
          <w:rFonts w:ascii="Arial" w:hAnsi="Arial" w:cs="Arial"/>
          <w:sz w:val="24"/>
          <w:szCs w:val="24"/>
        </w:rPr>
        <w:t xml:space="preserve"> take precedence if they determine that disclosing </w:t>
      </w:r>
      <w:r w:rsidR="000E25A3" w:rsidRPr="00677936">
        <w:rPr>
          <w:rFonts w:ascii="Arial" w:hAnsi="Arial" w:cs="Arial"/>
          <w:sz w:val="24"/>
          <w:szCs w:val="24"/>
        </w:rPr>
        <w:t xml:space="preserve">certain </w:t>
      </w:r>
      <w:r w:rsidR="003F3C9A" w:rsidRPr="00677936">
        <w:rPr>
          <w:rFonts w:ascii="Arial" w:hAnsi="Arial" w:cs="Arial"/>
          <w:sz w:val="24"/>
          <w:szCs w:val="24"/>
        </w:rPr>
        <w:t xml:space="preserve">material would pose a major risk to the </w:t>
      </w:r>
      <w:r w:rsidR="000E25A3" w:rsidRPr="00677936">
        <w:rPr>
          <w:rFonts w:ascii="Arial" w:hAnsi="Arial" w:cs="Arial"/>
          <w:sz w:val="24"/>
          <w:szCs w:val="24"/>
        </w:rPr>
        <w:t>trial’s</w:t>
      </w:r>
      <w:r w:rsidR="003F3C9A" w:rsidRPr="00677936">
        <w:rPr>
          <w:rFonts w:ascii="Arial" w:hAnsi="Arial" w:cs="Arial"/>
          <w:sz w:val="24"/>
          <w:szCs w:val="24"/>
        </w:rPr>
        <w:t xml:space="preserve"> fairness. </w:t>
      </w:r>
    </w:p>
    <w:p w14:paraId="2F326F23" w14:textId="29B782A9" w:rsidR="00DB7AE0" w:rsidRPr="00677936" w:rsidRDefault="00A75564" w:rsidP="00677936">
      <w:pPr>
        <w:pStyle w:val="Heading3"/>
        <w:spacing w:line="360" w:lineRule="auto"/>
        <w:rPr>
          <w:rFonts w:ascii="Arial" w:hAnsi="Arial" w:cs="Arial"/>
          <w:b/>
          <w:bCs/>
          <w:color w:val="auto"/>
          <w:sz w:val="24"/>
          <w:szCs w:val="24"/>
        </w:rPr>
      </w:pPr>
      <w:bookmarkStart w:id="5" w:name="_Toc229126193"/>
      <w:r w:rsidRPr="00677936">
        <w:rPr>
          <w:rFonts w:ascii="Arial" w:hAnsi="Arial" w:cs="Arial"/>
          <w:b/>
          <w:bCs/>
          <w:color w:val="auto"/>
          <w:sz w:val="24"/>
          <w:szCs w:val="24"/>
        </w:rPr>
        <w:t>Prevent Referrals</w:t>
      </w:r>
      <w:bookmarkEnd w:id="5"/>
      <w:r w:rsidRPr="00677936">
        <w:rPr>
          <w:rFonts w:ascii="Arial" w:hAnsi="Arial" w:cs="Arial"/>
          <w:b/>
          <w:bCs/>
          <w:color w:val="auto"/>
          <w:sz w:val="24"/>
          <w:szCs w:val="24"/>
        </w:rPr>
        <w:t xml:space="preserve"> </w:t>
      </w:r>
      <w:r w:rsidR="00FE4CDB" w:rsidRPr="00677936">
        <w:rPr>
          <w:rFonts w:ascii="Arial" w:hAnsi="Arial" w:cs="Arial"/>
          <w:b/>
          <w:bCs/>
          <w:color w:val="auto"/>
          <w:sz w:val="24"/>
          <w:szCs w:val="24"/>
        </w:rPr>
        <w:t xml:space="preserve"> </w:t>
      </w:r>
    </w:p>
    <w:p w14:paraId="28A47E37" w14:textId="77777777" w:rsidR="00B35B49" w:rsidRPr="00677936" w:rsidRDefault="00B35B49" w:rsidP="00677936">
      <w:pPr>
        <w:spacing w:line="360" w:lineRule="auto"/>
        <w:rPr>
          <w:rFonts w:ascii="Arial" w:hAnsi="Arial" w:cs="Arial"/>
          <w:sz w:val="24"/>
          <w:szCs w:val="24"/>
        </w:rPr>
      </w:pPr>
      <w:r w:rsidRPr="00677936">
        <w:rPr>
          <w:rFonts w:ascii="Arial" w:hAnsi="Arial" w:cs="Arial"/>
          <w:sz w:val="24"/>
          <w:szCs w:val="24"/>
        </w:rPr>
        <w:t xml:space="preserve">According to Doughty Street Chambers (2025), before the attacks, Axel’s school submitted a Prevent referral on December 5, 2019, expressing concerns that he had carried a knife and searched online for a mass school shooting. According to the Prevent record, Axel indicated that he wanted to strike a victim with a hockey </w:t>
      </w:r>
      <w:r w:rsidRPr="00677936">
        <w:rPr>
          <w:rFonts w:ascii="Arial" w:hAnsi="Arial" w:cs="Arial"/>
          <w:sz w:val="24"/>
          <w:szCs w:val="24"/>
        </w:rPr>
        <w:lastRenderedPageBreak/>
        <w:t>stick before killing then with a knife. Despite these issues the matter was closed on January 31, 2020, with no further action. On 1</w:t>
      </w:r>
      <w:r w:rsidRPr="00677936">
        <w:rPr>
          <w:rFonts w:ascii="Arial" w:hAnsi="Arial" w:cs="Arial"/>
          <w:sz w:val="24"/>
          <w:szCs w:val="24"/>
          <w:vertAlign w:val="superscript"/>
        </w:rPr>
        <w:t>st</w:t>
      </w:r>
      <w:r w:rsidRPr="00677936">
        <w:rPr>
          <w:rFonts w:ascii="Arial" w:hAnsi="Arial" w:cs="Arial"/>
          <w:sz w:val="24"/>
          <w:szCs w:val="24"/>
        </w:rPr>
        <w:t> February 2021, a second referral was made after a fellow student shared social media posts with teachers describing Axel as ‘radicalised’. However, Prevent determined that the case did not fit the criteria for ‘extremist’ thinking  (Doughty Street Chamber, 2025).     </w:t>
      </w:r>
    </w:p>
    <w:p w14:paraId="43E220EE" w14:textId="781A6BBF" w:rsidR="00B35B49" w:rsidRPr="00677936" w:rsidRDefault="00B35B49" w:rsidP="00677936">
      <w:pPr>
        <w:spacing w:line="360" w:lineRule="auto"/>
        <w:rPr>
          <w:rFonts w:ascii="Arial" w:hAnsi="Arial" w:cs="Arial"/>
          <w:sz w:val="24"/>
          <w:szCs w:val="24"/>
        </w:rPr>
      </w:pPr>
      <w:r w:rsidRPr="00677936">
        <w:rPr>
          <w:rFonts w:ascii="Arial" w:hAnsi="Arial" w:cs="Arial"/>
          <w:sz w:val="24"/>
          <w:szCs w:val="24"/>
        </w:rPr>
        <w:t>Prior to the trial, Rudakubana’s previous conviction, Prevent referrals, and earlier attempt to visit his former school were excluded on the grounds of fairness, as they were considered more prejudicial than probative. The publication of information relating to these matters before the trial could have constituted contempt of court, as there was a risk that jurors might have been exposed to it, retained it, and thereby undermined the judge’s decision to exclude the evidence (Crown Prosecution Service 2025b).</w:t>
      </w:r>
    </w:p>
    <w:p w14:paraId="6048C82C" w14:textId="6EC01AB8" w:rsidR="00E6023F" w:rsidRPr="00677936" w:rsidRDefault="00750E15" w:rsidP="00677936">
      <w:pPr>
        <w:pStyle w:val="Heading3"/>
        <w:spacing w:line="360" w:lineRule="auto"/>
        <w:rPr>
          <w:rFonts w:ascii="Arial" w:hAnsi="Arial" w:cs="Arial"/>
          <w:b/>
          <w:bCs/>
          <w:color w:val="auto"/>
          <w:sz w:val="24"/>
          <w:szCs w:val="24"/>
        </w:rPr>
      </w:pPr>
      <w:bookmarkStart w:id="6" w:name="_Toc229126194"/>
      <w:r w:rsidRPr="00677936">
        <w:rPr>
          <w:rFonts w:ascii="Arial" w:hAnsi="Arial" w:cs="Arial"/>
          <w:b/>
          <w:bCs/>
          <w:color w:val="auto"/>
          <w:sz w:val="24"/>
          <w:szCs w:val="24"/>
        </w:rPr>
        <w:t>CPS Response</w:t>
      </w:r>
      <w:bookmarkEnd w:id="6"/>
      <w:r w:rsidRPr="00677936">
        <w:rPr>
          <w:rFonts w:ascii="Arial" w:hAnsi="Arial" w:cs="Arial"/>
          <w:b/>
          <w:bCs/>
          <w:color w:val="auto"/>
          <w:sz w:val="24"/>
          <w:szCs w:val="24"/>
        </w:rPr>
        <w:t xml:space="preserve"> </w:t>
      </w:r>
    </w:p>
    <w:p w14:paraId="684851F6" w14:textId="6280229C" w:rsidR="00B35B49" w:rsidRPr="00677936" w:rsidRDefault="00B35B49" w:rsidP="00677936">
      <w:pPr>
        <w:spacing w:line="360" w:lineRule="auto"/>
        <w:rPr>
          <w:rFonts w:ascii="Arial" w:hAnsi="Arial" w:cs="Arial"/>
          <w:sz w:val="24"/>
          <w:szCs w:val="24"/>
        </w:rPr>
      </w:pPr>
      <w:r w:rsidRPr="00677936">
        <w:rPr>
          <w:rFonts w:ascii="Arial" w:hAnsi="Arial" w:cs="Arial"/>
          <w:sz w:val="24"/>
          <w:szCs w:val="24"/>
        </w:rPr>
        <w:t>According to the Crown Prosecution Service (2024), in relation to three murders, ten counts of attempted murder, and one charge of possession of a knife, Axel Rudakubana was sentenced to life imprisonment with a minimum term of 52 years. The Crown Prosecution Service also authorised two additional charges against Axel Muganwa Rudakubana, separate from the murder and attempted murder allegations. These further offences related to evidence discovered by Merseyside Police during a search of his residence. The additional charges concerned the production of ricin, a biological toxin, in violation of section 1 of the Biological Weapons Act 1974, and possession of information, specifically a PDF file titled Military Studies in the Jihad Against the Tyrants: The Al-Qaeda Training Manual, that could be useful to a person committing or preparing a terrorist act, in violation of section 58 of the Terrorism Act 2000 (Crown Prosecution Service, 2024).</w:t>
      </w:r>
    </w:p>
    <w:p w14:paraId="04F66DD1" w14:textId="6B4A256A" w:rsidR="006B7BA0" w:rsidRPr="00677936" w:rsidRDefault="00B35B49" w:rsidP="00677936">
      <w:pPr>
        <w:spacing w:line="360" w:lineRule="auto"/>
        <w:rPr>
          <w:rFonts w:ascii="Arial" w:hAnsi="Arial" w:cs="Arial"/>
          <w:sz w:val="24"/>
          <w:szCs w:val="24"/>
        </w:rPr>
      </w:pPr>
      <w:r w:rsidRPr="00677936">
        <w:rPr>
          <w:rFonts w:ascii="Arial" w:hAnsi="Arial" w:cs="Arial"/>
          <w:sz w:val="24"/>
          <w:szCs w:val="24"/>
        </w:rPr>
        <w:t xml:space="preserve">According to Symonds (2025), Chris Philp, the Conservative shadow home secretary, stated that there was likely an “information vacuum” that contributed to the spread of misinformation, which he said “fuelled” the rioting that followed the attack. He further noted that legal advice prevented the government from disclosing that Rudakubana had been referred to the counter-extremism programme Prevent. A source also claimed that the Crown Prosecution Service “put a load of red pen through the statement.” On 29 October, Rudakubana was eventually charged with </w:t>
      </w:r>
      <w:r w:rsidRPr="00677936">
        <w:rPr>
          <w:rFonts w:ascii="Arial" w:hAnsi="Arial" w:cs="Arial"/>
          <w:sz w:val="24"/>
          <w:szCs w:val="24"/>
        </w:rPr>
        <w:lastRenderedPageBreak/>
        <w:t xml:space="preserve">the two additional offences, three months after the Southport attacks, following the police’s initial announcement regarding the discovery of ricin and the training manual. However, as there was no evidence of ideology required under current legislation, he was not charged with preparation of terrorist acts. Philp also stated on </w:t>
      </w:r>
      <w:r w:rsidRPr="00677936">
        <w:rPr>
          <w:rFonts w:ascii="Arial" w:hAnsi="Arial" w:cs="Arial"/>
          <w:i/>
          <w:iCs/>
          <w:sz w:val="24"/>
          <w:szCs w:val="24"/>
        </w:rPr>
        <w:t>BBC Breakfast</w:t>
      </w:r>
      <w:r w:rsidRPr="00677936">
        <w:rPr>
          <w:rFonts w:ascii="Arial" w:hAnsi="Arial" w:cs="Arial"/>
          <w:sz w:val="24"/>
          <w:szCs w:val="24"/>
        </w:rPr>
        <w:t xml:space="preserve"> that Rudakubana’s British citizenship should have been disclosed much earlier, arguing that rumours claiming he was a migrant contributed to the spread of disorder and rioting (Symonds, 2025).</w:t>
      </w:r>
    </w:p>
    <w:p w14:paraId="5279965B" w14:textId="226A83AC" w:rsidR="00782566" w:rsidRPr="00677936" w:rsidRDefault="00DB249B" w:rsidP="00677936">
      <w:pPr>
        <w:pStyle w:val="Heading1"/>
        <w:spacing w:line="360" w:lineRule="auto"/>
        <w:rPr>
          <w:rFonts w:ascii="Arial" w:hAnsi="Arial" w:cs="Arial"/>
          <w:b/>
          <w:bCs/>
          <w:i/>
          <w:iCs/>
          <w:color w:val="auto"/>
          <w:sz w:val="24"/>
          <w:szCs w:val="24"/>
        </w:rPr>
      </w:pPr>
      <w:bookmarkStart w:id="7" w:name="_Toc229126195"/>
      <w:r w:rsidRPr="00677936">
        <w:rPr>
          <w:rFonts w:ascii="Arial" w:hAnsi="Arial" w:cs="Arial"/>
          <w:b/>
          <w:bCs/>
          <w:color w:val="auto"/>
          <w:sz w:val="24"/>
          <w:szCs w:val="24"/>
        </w:rPr>
        <w:t xml:space="preserve">What </w:t>
      </w:r>
      <w:r w:rsidR="00B35B49" w:rsidRPr="00677936">
        <w:rPr>
          <w:rFonts w:ascii="Arial" w:hAnsi="Arial" w:cs="Arial"/>
          <w:b/>
          <w:bCs/>
          <w:color w:val="auto"/>
          <w:sz w:val="24"/>
          <w:szCs w:val="24"/>
        </w:rPr>
        <w:t>H</w:t>
      </w:r>
      <w:r w:rsidRPr="00677936">
        <w:rPr>
          <w:rFonts w:ascii="Arial" w:hAnsi="Arial" w:cs="Arial"/>
          <w:b/>
          <w:bCs/>
          <w:color w:val="auto"/>
          <w:sz w:val="24"/>
          <w:szCs w:val="24"/>
        </w:rPr>
        <w:t xml:space="preserve">appened in the </w:t>
      </w:r>
      <w:r w:rsidR="00B35B49" w:rsidRPr="00677936">
        <w:rPr>
          <w:rFonts w:ascii="Arial" w:hAnsi="Arial" w:cs="Arial"/>
          <w:b/>
          <w:bCs/>
          <w:color w:val="auto"/>
          <w:sz w:val="24"/>
          <w:szCs w:val="24"/>
        </w:rPr>
        <w:t>C</w:t>
      </w:r>
      <w:r w:rsidR="000E0134" w:rsidRPr="00677936">
        <w:rPr>
          <w:rFonts w:ascii="Arial" w:hAnsi="Arial" w:cs="Arial"/>
          <w:b/>
          <w:bCs/>
          <w:color w:val="auto"/>
          <w:sz w:val="24"/>
          <w:szCs w:val="24"/>
        </w:rPr>
        <w:t>ourt</w:t>
      </w:r>
      <w:r w:rsidRPr="00677936">
        <w:rPr>
          <w:rFonts w:ascii="Arial" w:hAnsi="Arial" w:cs="Arial"/>
          <w:b/>
          <w:bCs/>
          <w:color w:val="auto"/>
          <w:sz w:val="24"/>
          <w:szCs w:val="24"/>
        </w:rPr>
        <w:t>s</w:t>
      </w:r>
      <w:bookmarkEnd w:id="7"/>
      <w:r w:rsidRPr="00677936">
        <w:rPr>
          <w:rFonts w:ascii="Arial" w:hAnsi="Arial" w:cs="Arial"/>
          <w:b/>
          <w:bCs/>
          <w:color w:val="auto"/>
          <w:sz w:val="24"/>
          <w:szCs w:val="24"/>
        </w:rPr>
        <w:t xml:space="preserve"> </w:t>
      </w:r>
    </w:p>
    <w:p w14:paraId="640E0D79" w14:textId="77777777" w:rsidR="00B35B49" w:rsidRPr="00677936" w:rsidRDefault="00B35B49" w:rsidP="00677936">
      <w:pPr>
        <w:spacing w:line="360" w:lineRule="auto"/>
        <w:rPr>
          <w:rFonts w:ascii="Arial" w:hAnsi="Arial" w:cs="Arial"/>
          <w:sz w:val="24"/>
          <w:szCs w:val="24"/>
        </w:rPr>
      </w:pPr>
    </w:p>
    <w:p w14:paraId="530AE464" w14:textId="77777777" w:rsidR="00B35B49" w:rsidRPr="00677936" w:rsidRDefault="00B35B49" w:rsidP="00677936">
      <w:pPr>
        <w:spacing w:line="360" w:lineRule="auto"/>
        <w:rPr>
          <w:rFonts w:ascii="Arial" w:hAnsi="Arial" w:cs="Arial"/>
          <w:sz w:val="24"/>
          <w:szCs w:val="24"/>
        </w:rPr>
      </w:pPr>
      <w:r w:rsidRPr="00677936">
        <w:rPr>
          <w:rFonts w:ascii="Arial" w:hAnsi="Arial" w:cs="Arial"/>
          <w:sz w:val="24"/>
          <w:szCs w:val="24"/>
        </w:rPr>
        <w:t>According to the Courts and Tribunals Judiciary (2025), Axel Rudakubana deliberately disrupted proceedings during his sentencing hearing in an apparent attempt to avoid facing both justice and the victims of his actions. He did not voluntarily request to leave the courtroom; rather, he was removed due to his obstructive behaviour. As a result, sentencing was delivered in his absence, while his solicitor, junior counsel, and other legal representatives remained present. </w:t>
      </w:r>
    </w:p>
    <w:p w14:paraId="63E8B7A7" w14:textId="77777777" w:rsidR="00B35B49" w:rsidRPr="00677936" w:rsidRDefault="00B35B49" w:rsidP="00677936">
      <w:pPr>
        <w:spacing w:line="360" w:lineRule="auto"/>
        <w:rPr>
          <w:rFonts w:ascii="Arial" w:hAnsi="Arial" w:cs="Arial"/>
          <w:sz w:val="24"/>
          <w:szCs w:val="24"/>
        </w:rPr>
      </w:pPr>
      <w:r w:rsidRPr="00677936">
        <w:rPr>
          <w:rFonts w:ascii="Arial" w:hAnsi="Arial" w:cs="Arial"/>
          <w:sz w:val="24"/>
          <w:szCs w:val="24"/>
        </w:rPr>
        <w:t>The court heard multiple victim personal statements, many of which were read aloud by the victims’ families, highlighting the emotional impact of the offences (Courts and Tribunals Judiciary, 2025). </w:t>
      </w:r>
    </w:p>
    <w:p w14:paraId="71DA6E03" w14:textId="77777777" w:rsidR="00B35B49" w:rsidRPr="00677936" w:rsidRDefault="00B35B49" w:rsidP="00677936">
      <w:pPr>
        <w:spacing w:line="360" w:lineRule="auto"/>
        <w:rPr>
          <w:rFonts w:ascii="Arial" w:hAnsi="Arial" w:cs="Arial"/>
          <w:sz w:val="24"/>
          <w:szCs w:val="24"/>
        </w:rPr>
      </w:pPr>
      <w:r w:rsidRPr="00677936">
        <w:rPr>
          <w:rFonts w:ascii="Arial" w:hAnsi="Arial" w:cs="Arial"/>
          <w:sz w:val="24"/>
          <w:szCs w:val="24"/>
        </w:rPr>
        <w:t>The trial at Liverpool Crown Court concluded with Rudakubana being sentenced to 52 years for three counts of murder, multiple counts of attempted murder, and possession of a terrorist training handbook. </w:t>
      </w:r>
    </w:p>
    <w:p w14:paraId="63BB5BF4" w14:textId="77777777" w:rsidR="00B35B49" w:rsidRPr="00677936" w:rsidRDefault="00B35B49" w:rsidP="00677936">
      <w:pPr>
        <w:spacing w:line="360" w:lineRule="auto"/>
        <w:rPr>
          <w:rFonts w:ascii="Arial" w:hAnsi="Arial" w:cs="Arial"/>
          <w:sz w:val="24"/>
          <w:szCs w:val="24"/>
        </w:rPr>
      </w:pPr>
      <w:r w:rsidRPr="00677936">
        <w:rPr>
          <w:rFonts w:ascii="Arial" w:hAnsi="Arial" w:cs="Arial"/>
          <w:sz w:val="24"/>
          <w:szCs w:val="24"/>
        </w:rPr>
        <w:t>According to BBC News (2025), Lord Hermer described Rudakubana’s punishment as among “the second-longest sentences imposed by the courts in English history.” He further stated that the government would take additional steps to ensure that “these awful murders will be a line in the sand.” </w:t>
      </w:r>
    </w:p>
    <w:p w14:paraId="5D6B103C" w14:textId="77777777" w:rsidR="00B35B49" w:rsidRPr="00677936" w:rsidRDefault="00B35B49" w:rsidP="00677936">
      <w:pPr>
        <w:spacing w:line="360" w:lineRule="auto"/>
        <w:rPr>
          <w:rFonts w:ascii="Arial" w:hAnsi="Arial" w:cs="Arial"/>
          <w:sz w:val="24"/>
          <w:szCs w:val="24"/>
        </w:rPr>
      </w:pPr>
    </w:p>
    <w:p w14:paraId="3718C918" w14:textId="4EB23FDF" w:rsidR="00A53CEE" w:rsidRPr="00677936" w:rsidRDefault="00A53CEE" w:rsidP="00677936">
      <w:pPr>
        <w:spacing w:line="360" w:lineRule="auto"/>
        <w:rPr>
          <w:rFonts w:ascii="Arial" w:hAnsi="Arial" w:cs="Arial"/>
          <w:color w:val="000000" w:themeColor="text1"/>
          <w:sz w:val="24"/>
          <w:szCs w:val="24"/>
        </w:rPr>
      </w:pPr>
      <w:r w:rsidRPr="00677936">
        <w:rPr>
          <w:rFonts w:ascii="Arial" w:hAnsi="Arial" w:cs="Arial"/>
          <w:color w:val="000000" w:themeColor="text1"/>
          <w:sz w:val="24"/>
          <w:szCs w:val="24"/>
        </w:rPr>
        <w:t xml:space="preserve">According to the Crown Prosecution Service (2025b), Rudakubana was brought before the Crown Court to stand trial. Section 45 of the Youth Justice and Criminal Evidence Act 1999 gives judges in the Crown Court the power to impose reporting restrictions. This is different from the youth court, where such restrictions apply </w:t>
      </w:r>
      <w:r w:rsidRPr="00677936">
        <w:rPr>
          <w:rFonts w:ascii="Arial" w:hAnsi="Arial" w:cs="Arial"/>
          <w:color w:val="000000" w:themeColor="text1"/>
          <w:sz w:val="24"/>
          <w:szCs w:val="24"/>
        </w:rPr>
        <w:lastRenderedPageBreak/>
        <w:t>automatically. Under Section 45, the court can grant anonymity to defendants, victims, or witnesses under the age of 18 in adult criminal proceedings. When deciding whether to make an order, the court must balance the public interest in open reporting of criminal cases against the need to protect children’s welfare.</w:t>
      </w:r>
    </w:p>
    <w:p w14:paraId="3AF55A1A" w14:textId="63182A10" w:rsidR="00A53CEE" w:rsidRPr="00677936" w:rsidRDefault="00A53CEE" w:rsidP="00677936">
      <w:pPr>
        <w:spacing w:line="360" w:lineRule="auto"/>
        <w:rPr>
          <w:rFonts w:ascii="Arial" w:hAnsi="Arial" w:cs="Arial"/>
          <w:color w:val="000000" w:themeColor="text1"/>
          <w:sz w:val="24"/>
          <w:szCs w:val="24"/>
        </w:rPr>
      </w:pPr>
      <w:r w:rsidRPr="00677936">
        <w:rPr>
          <w:rFonts w:ascii="Arial" w:hAnsi="Arial" w:cs="Arial"/>
          <w:color w:val="000000" w:themeColor="text1"/>
          <w:sz w:val="24"/>
          <w:szCs w:val="24"/>
        </w:rPr>
        <w:t>While arrangements were being made for the family’s protection, the Crown Prosecution Service asked Judge Menary KC to impose a six-day reporting ban. However, the judge chose not to impose a restriction. He stated that preventing full reporting could allow misinformation to spread in the absence of accurate information (Crown Prosecution Service 2025b).</w:t>
      </w:r>
    </w:p>
    <w:p w14:paraId="0FF44D91" w14:textId="08407026" w:rsidR="00A53CEE" w:rsidRPr="00677936" w:rsidRDefault="00A53CEE" w:rsidP="00677936">
      <w:pPr>
        <w:spacing w:line="360" w:lineRule="auto"/>
        <w:rPr>
          <w:rFonts w:ascii="Arial" w:hAnsi="Arial" w:cs="Arial"/>
          <w:color w:val="000000" w:themeColor="text1"/>
          <w:sz w:val="24"/>
          <w:szCs w:val="24"/>
        </w:rPr>
      </w:pPr>
      <w:r w:rsidRPr="00677936">
        <w:rPr>
          <w:rFonts w:ascii="Arial" w:hAnsi="Arial" w:cs="Arial"/>
          <w:color w:val="000000" w:themeColor="text1"/>
          <w:sz w:val="24"/>
          <w:szCs w:val="24"/>
        </w:rPr>
        <w:t>According to BBC News (2025), Axel Rudakubana, refused to leave his cell for a court appearance. He was due to appear via video link at Liverpool Crown Court after being sentenced. The court heard that he also refused to communicate with his legal team or attend the hearing from HMP Belmarsh in southeast London. The judge later changed Rudakubana’s sentence from life imprisonment to “detained at His Majesty’s pleasure” because he was under 18 at the time he killed Elsie Dot Stancombe, Alice da Silva Aguiar, and Bebe King (BBC News, 2025).</w:t>
      </w:r>
    </w:p>
    <w:p w14:paraId="01632646" w14:textId="68DC2ABE" w:rsidR="00A53CEE" w:rsidRPr="00677936" w:rsidRDefault="00A53CEE" w:rsidP="00677936">
      <w:pPr>
        <w:spacing w:line="360" w:lineRule="auto"/>
        <w:rPr>
          <w:rFonts w:ascii="Arial" w:hAnsi="Arial" w:cs="Arial"/>
          <w:color w:val="000000" w:themeColor="text1"/>
          <w:sz w:val="24"/>
          <w:szCs w:val="24"/>
        </w:rPr>
      </w:pPr>
      <w:r w:rsidRPr="00677936">
        <w:rPr>
          <w:rFonts w:ascii="Arial" w:hAnsi="Arial" w:cs="Arial"/>
          <w:color w:val="000000" w:themeColor="text1"/>
          <w:sz w:val="24"/>
          <w:szCs w:val="24"/>
        </w:rPr>
        <w:t>According to Duala and Hirst (2025), a girl who survived the Southport attack that killed three children said she was disappointed that she did not have the chance to face the man who harmed her in court. The 14-year-old, referred to as Sarah by the BBC to protect her identity, suffered life-threatening injuries during the attack on 29 July 2024 at a Taylor Swift–themed dance and yoga programme. She said she had planned to give evidence at the trial before the first anniversary of the attack, but this did not happen because the defendant pleaded guilty. She said she was angry that he chose to plead guilty instead of facing the victims in court (Duala and Hirst, 2025).</w:t>
      </w:r>
    </w:p>
    <w:p w14:paraId="51C5B9F2" w14:textId="77777777" w:rsidR="00910E80" w:rsidRPr="00677936" w:rsidRDefault="00910E80" w:rsidP="00677936">
      <w:pPr>
        <w:spacing w:line="360" w:lineRule="auto"/>
        <w:rPr>
          <w:rFonts w:ascii="Arial" w:hAnsi="Arial" w:cs="Arial"/>
          <w:b/>
          <w:bCs/>
          <w:color w:val="000000" w:themeColor="text1"/>
          <w:sz w:val="24"/>
          <w:szCs w:val="24"/>
        </w:rPr>
      </w:pPr>
    </w:p>
    <w:p w14:paraId="5C2DB2EE" w14:textId="78631D8F" w:rsidR="000E0134" w:rsidRPr="00677936" w:rsidRDefault="000E0134" w:rsidP="00677936">
      <w:pPr>
        <w:pStyle w:val="Heading5"/>
        <w:spacing w:line="360" w:lineRule="auto"/>
        <w:rPr>
          <w:rFonts w:ascii="Arial" w:hAnsi="Arial" w:cs="Arial"/>
          <w:b/>
          <w:bCs/>
          <w:color w:val="auto"/>
          <w:sz w:val="24"/>
          <w:szCs w:val="24"/>
        </w:rPr>
      </w:pPr>
      <w:r w:rsidRPr="00677936">
        <w:rPr>
          <w:rFonts w:ascii="Arial" w:hAnsi="Arial" w:cs="Arial"/>
          <w:b/>
          <w:bCs/>
          <w:color w:val="auto"/>
          <w:sz w:val="24"/>
          <w:szCs w:val="24"/>
        </w:rPr>
        <w:t xml:space="preserve">Prison </w:t>
      </w:r>
    </w:p>
    <w:p w14:paraId="573C22D9" w14:textId="3107A796" w:rsidR="00A53CEE" w:rsidRPr="00677936" w:rsidRDefault="003E3FD8" w:rsidP="00677936">
      <w:pPr>
        <w:spacing w:line="360" w:lineRule="auto"/>
        <w:rPr>
          <w:rFonts w:ascii="Arial" w:hAnsi="Arial" w:cs="Arial"/>
          <w:sz w:val="24"/>
          <w:szCs w:val="24"/>
        </w:rPr>
      </w:pPr>
      <w:r w:rsidRPr="00677936">
        <w:rPr>
          <w:rFonts w:ascii="Arial" w:hAnsi="Arial" w:cs="Arial"/>
          <w:sz w:val="24"/>
          <w:szCs w:val="24"/>
        </w:rPr>
        <w:t>There is limited credible information available about Rudakubana’s conditions in prison. However, according to BBC News (2025) he is most likely still being held at HMP Belmarsh, a high-security prison in south-east London.</w:t>
      </w:r>
    </w:p>
    <w:p w14:paraId="6A21901C" w14:textId="77777777" w:rsidR="00A53CEE" w:rsidRPr="00677936" w:rsidRDefault="00A53CEE" w:rsidP="00677936">
      <w:pPr>
        <w:spacing w:line="360" w:lineRule="auto"/>
        <w:rPr>
          <w:rFonts w:ascii="Arial" w:hAnsi="Arial" w:cs="Arial"/>
          <w:sz w:val="24"/>
          <w:szCs w:val="24"/>
        </w:rPr>
      </w:pPr>
    </w:p>
    <w:p w14:paraId="77CF47E0" w14:textId="77777777" w:rsidR="00364568" w:rsidRPr="00677936" w:rsidRDefault="00364568" w:rsidP="00677936">
      <w:pPr>
        <w:spacing w:line="360" w:lineRule="auto"/>
        <w:rPr>
          <w:rFonts w:ascii="Arial" w:hAnsi="Arial" w:cs="Arial"/>
          <w:sz w:val="24"/>
          <w:szCs w:val="24"/>
        </w:rPr>
      </w:pPr>
    </w:p>
    <w:p w14:paraId="76F1292E" w14:textId="77777777" w:rsidR="00364568" w:rsidRPr="00677936" w:rsidRDefault="00364568" w:rsidP="00677936">
      <w:pPr>
        <w:spacing w:line="360" w:lineRule="auto"/>
        <w:rPr>
          <w:rFonts w:ascii="Arial" w:hAnsi="Arial" w:cs="Arial"/>
          <w:sz w:val="24"/>
          <w:szCs w:val="24"/>
        </w:rPr>
      </w:pPr>
    </w:p>
    <w:p w14:paraId="7F979AB4" w14:textId="6C3BB807" w:rsidR="00257ED3" w:rsidRPr="00677936" w:rsidRDefault="00DB249B" w:rsidP="00677936">
      <w:pPr>
        <w:pStyle w:val="Heading6"/>
        <w:spacing w:line="360" w:lineRule="auto"/>
        <w:rPr>
          <w:rFonts w:ascii="Arial" w:hAnsi="Arial" w:cs="Arial"/>
          <w:b/>
          <w:bCs/>
          <w:i w:val="0"/>
          <w:iCs w:val="0"/>
          <w:color w:val="auto"/>
          <w:sz w:val="24"/>
          <w:szCs w:val="24"/>
        </w:rPr>
      </w:pPr>
      <w:r w:rsidRPr="00677936">
        <w:rPr>
          <w:rFonts w:ascii="Arial" w:hAnsi="Arial" w:cs="Arial"/>
          <w:b/>
          <w:bCs/>
          <w:i w:val="0"/>
          <w:iCs w:val="0"/>
          <w:color w:val="auto"/>
          <w:sz w:val="24"/>
          <w:szCs w:val="24"/>
        </w:rPr>
        <w:t xml:space="preserve">Conclusion </w:t>
      </w:r>
    </w:p>
    <w:p w14:paraId="11FF2C52" w14:textId="77777777" w:rsidR="00364568" w:rsidRPr="00677936" w:rsidRDefault="00364568" w:rsidP="00677936">
      <w:pPr>
        <w:spacing w:line="360" w:lineRule="auto"/>
        <w:rPr>
          <w:rFonts w:ascii="Arial" w:hAnsi="Arial" w:cs="Arial"/>
          <w:sz w:val="24"/>
          <w:szCs w:val="24"/>
        </w:rPr>
      </w:pPr>
      <w:r w:rsidRPr="00677936">
        <w:rPr>
          <w:rFonts w:ascii="Arial" w:hAnsi="Arial" w:cs="Arial"/>
          <w:sz w:val="24"/>
          <w:szCs w:val="24"/>
        </w:rPr>
        <w:t>In summary, the Southport murders case demonstrates the criminal justice system’s complex response, involving multiple agencies and stages of investigation and prosecution. Although the police and CPS were able to build a strong case that resulted in conviction, the case raises questions about earlier intervention and information sharing.</w:t>
      </w:r>
    </w:p>
    <w:p w14:paraId="0553FF30" w14:textId="77777777" w:rsidR="00364568" w:rsidRPr="00677936" w:rsidRDefault="00364568" w:rsidP="00677936">
      <w:pPr>
        <w:spacing w:line="360" w:lineRule="auto"/>
        <w:rPr>
          <w:rFonts w:ascii="Arial" w:hAnsi="Arial" w:cs="Arial"/>
          <w:sz w:val="24"/>
          <w:szCs w:val="24"/>
        </w:rPr>
      </w:pPr>
      <w:r w:rsidRPr="00677936">
        <w:rPr>
          <w:rFonts w:ascii="Arial" w:hAnsi="Arial" w:cs="Arial"/>
          <w:sz w:val="24"/>
          <w:szCs w:val="24"/>
        </w:rPr>
        <w:t>Despite Rudakubana’s prior interactions with the police and his referral to Prevent, the attack was not prevented. This suggests potential weaknesses in risk assessment and communication across agencies such as education, law enforcement, and safeguarding services.</w:t>
      </w:r>
    </w:p>
    <w:p w14:paraId="02718D2A" w14:textId="77777777" w:rsidR="00364568" w:rsidRPr="00677936" w:rsidRDefault="00364568" w:rsidP="00677936">
      <w:pPr>
        <w:spacing w:line="360" w:lineRule="auto"/>
        <w:rPr>
          <w:rFonts w:ascii="Arial" w:hAnsi="Arial" w:cs="Arial"/>
          <w:sz w:val="24"/>
          <w:szCs w:val="24"/>
        </w:rPr>
      </w:pPr>
      <w:r w:rsidRPr="00677936">
        <w:rPr>
          <w:rFonts w:ascii="Arial" w:hAnsi="Arial" w:cs="Arial"/>
          <w:sz w:val="24"/>
          <w:szCs w:val="24"/>
        </w:rPr>
        <w:t>The case also highlights tensions between legal fairness and public transparency, particularly in relation to reporting restrictions and the disclosure of sensitive information. Overall, the case emphasises the need for improved coordination between agencies and more effective early intervention systems to help prevent serious violence in the future.</w:t>
      </w:r>
    </w:p>
    <w:p w14:paraId="78EB4C0A" w14:textId="0568A24D" w:rsidR="00910E80" w:rsidRPr="00677936" w:rsidRDefault="00364568" w:rsidP="00677936">
      <w:pPr>
        <w:spacing w:line="360" w:lineRule="auto"/>
        <w:rPr>
          <w:rFonts w:ascii="Arial" w:hAnsi="Arial" w:cs="Arial"/>
          <w:sz w:val="24"/>
          <w:szCs w:val="24"/>
        </w:rPr>
      </w:pPr>
      <w:r w:rsidRPr="00677936">
        <w:rPr>
          <w:rFonts w:ascii="Arial" w:hAnsi="Arial" w:cs="Arial"/>
          <w:sz w:val="24"/>
          <w:szCs w:val="24"/>
        </w:rPr>
        <w:t> </w:t>
      </w:r>
    </w:p>
    <w:p w14:paraId="6E711D2A" w14:textId="77777777" w:rsidR="00910E80" w:rsidRPr="00677936" w:rsidRDefault="00910E80" w:rsidP="00677936">
      <w:pPr>
        <w:spacing w:line="360" w:lineRule="auto"/>
        <w:rPr>
          <w:rFonts w:ascii="Arial" w:hAnsi="Arial" w:cs="Arial"/>
          <w:sz w:val="24"/>
          <w:szCs w:val="24"/>
        </w:rPr>
      </w:pPr>
    </w:p>
    <w:p w14:paraId="67CF7FDD" w14:textId="77777777" w:rsidR="00A42D97" w:rsidRPr="00677936" w:rsidRDefault="00A42D97" w:rsidP="00677936">
      <w:pPr>
        <w:spacing w:line="360" w:lineRule="auto"/>
        <w:rPr>
          <w:rFonts w:ascii="Arial" w:hAnsi="Arial" w:cs="Arial"/>
          <w:sz w:val="24"/>
          <w:szCs w:val="24"/>
        </w:rPr>
      </w:pPr>
    </w:p>
    <w:p w14:paraId="421CE278" w14:textId="77777777" w:rsidR="00A42D97" w:rsidRPr="00677936" w:rsidRDefault="00A42D97" w:rsidP="00677936">
      <w:pPr>
        <w:spacing w:line="360" w:lineRule="auto"/>
        <w:rPr>
          <w:rFonts w:ascii="Arial" w:hAnsi="Arial" w:cs="Arial"/>
          <w:sz w:val="24"/>
          <w:szCs w:val="24"/>
        </w:rPr>
      </w:pPr>
    </w:p>
    <w:p w14:paraId="254B9CD6" w14:textId="77777777" w:rsidR="00102C05" w:rsidRPr="00677936" w:rsidRDefault="00102C05" w:rsidP="00677936">
      <w:pPr>
        <w:spacing w:line="360" w:lineRule="auto"/>
        <w:rPr>
          <w:rFonts w:ascii="Arial" w:hAnsi="Arial" w:cs="Arial"/>
          <w:sz w:val="24"/>
          <w:szCs w:val="24"/>
        </w:rPr>
      </w:pPr>
    </w:p>
    <w:p w14:paraId="7CAE487C" w14:textId="77777777" w:rsidR="008B1F3E" w:rsidRPr="00677936" w:rsidRDefault="008B1F3E" w:rsidP="00677936">
      <w:pPr>
        <w:spacing w:line="360" w:lineRule="auto"/>
        <w:rPr>
          <w:rFonts w:ascii="Arial" w:hAnsi="Arial" w:cs="Arial"/>
          <w:sz w:val="24"/>
          <w:szCs w:val="24"/>
        </w:rPr>
      </w:pPr>
    </w:p>
    <w:p w14:paraId="6D757460" w14:textId="77777777" w:rsidR="008B1F3E" w:rsidRPr="00677936" w:rsidRDefault="008B1F3E" w:rsidP="00677936">
      <w:pPr>
        <w:spacing w:line="360" w:lineRule="auto"/>
        <w:rPr>
          <w:rFonts w:ascii="Arial" w:hAnsi="Arial" w:cs="Arial"/>
          <w:sz w:val="24"/>
          <w:szCs w:val="24"/>
        </w:rPr>
      </w:pPr>
    </w:p>
    <w:p w14:paraId="28510C51" w14:textId="77777777" w:rsidR="00DB658D" w:rsidRPr="00677936" w:rsidRDefault="00DB658D" w:rsidP="00677936">
      <w:pPr>
        <w:spacing w:line="360" w:lineRule="auto"/>
        <w:rPr>
          <w:rFonts w:ascii="Arial" w:hAnsi="Arial" w:cs="Arial"/>
          <w:sz w:val="24"/>
          <w:szCs w:val="24"/>
        </w:rPr>
      </w:pPr>
    </w:p>
    <w:p w14:paraId="18712BD0" w14:textId="77777777" w:rsidR="00DB658D" w:rsidRPr="00677936" w:rsidRDefault="00DB658D" w:rsidP="00677936">
      <w:pPr>
        <w:spacing w:line="360" w:lineRule="auto"/>
        <w:rPr>
          <w:rFonts w:ascii="Arial" w:hAnsi="Arial" w:cs="Arial"/>
          <w:sz w:val="24"/>
          <w:szCs w:val="24"/>
        </w:rPr>
      </w:pPr>
    </w:p>
    <w:p w14:paraId="4F7899E4" w14:textId="77777777" w:rsidR="00DB658D" w:rsidRPr="00677936" w:rsidRDefault="00DB658D" w:rsidP="00677936">
      <w:pPr>
        <w:spacing w:line="360" w:lineRule="auto"/>
        <w:rPr>
          <w:rFonts w:ascii="Arial" w:hAnsi="Arial" w:cs="Arial"/>
          <w:sz w:val="24"/>
          <w:szCs w:val="24"/>
        </w:rPr>
      </w:pPr>
    </w:p>
    <w:p w14:paraId="0C413DBE" w14:textId="77777777" w:rsidR="00DB658D" w:rsidRPr="00677936" w:rsidRDefault="00DB658D" w:rsidP="00677936">
      <w:pPr>
        <w:spacing w:line="360" w:lineRule="auto"/>
        <w:rPr>
          <w:rFonts w:ascii="Arial" w:hAnsi="Arial" w:cs="Arial"/>
          <w:sz w:val="24"/>
          <w:szCs w:val="24"/>
        </w:rPr>
      </w:pPr>
    </w:p>
    <w:p w14:paraId="7943AA33" w14:textId="77777777" w:rsidR="00876647" w:rsidRPr="00677936" w:rsidRDefault="00876647" w:rsidP="00677936">
      <w:pPr>
        <w:spacing w:line="360" w:lineRule="auto"/>
        <w:rPr>
          <w:rFonts w:ascii="Arial" w:hAnsi="Arial" w:cs="Arial"/>
          <w:sz w:val="24"/>
          <w:szCs w:val="24"/>
        </w:rPr>
      </w:pPr>
    </w:p>
    <w:p w14:paraId="02A005E4" w14:textId="77777777" w:rsidR="00876647" w:rsidRPr="00677936" w:rsidRDefault="00876647" w:rsidP="00677936">
      <w:pPr>
        <w:spacing w:line="360" w:lineRule="auto"/>
        <w:rPr>
          <w:rFonts w:ascii="Arial" w:hAnsi="Arial" w:cs="Arial"/>
          <w:sz w:val="24"/>
          <w:szCs w:val="24"/>
        </w:rPr>
      </w:pPr>
    </w:p>
    <w:p w14:paraId="086A21AF" w14:textId="2926C211" w:rsidR="00DB249B" w:rsidRPr="00677936" w:rsidRDefault="00DB249B" w:rsidP="00677936">
      <w:pPr>
        <w:pStyle w:val="Heading7"/>
        <w:spacing w:line="360" w:lineRule="auto"/>
        <w:rPr>
          <w:rFonts w:ascii="Arial" w:hAnsi="Arial" w:cs="Arial"/>
          <w:color w:val="auto"/>
          <w:sz w:val="24"/>
          <w:szCs w:val="24"/>
        </w:rPr>
      </w:pPr>
      <w:r w:rsidRPr="00677936">
        <w:rPr>
          <w:rFonts w:ascii="Arial" w:hAnsi="Arial" w:cs="Arial"/>
          <w:color w:val="auto"/>
          <w:sz w:val="24"/>
          <w:szCs w:val="24"/>
        </w:rPr>
        <w:t>Refe</w:t>
      </w:r>
      <w:r w:rsidR="00E15623" w:rsidRPr="00677936">
        <w:rPr>
          <w:rFonts w:ascii="Arial" w:hAnsi="Arial" w:cs="Arial"/>
          <w:color w:val="auto"/>
          <w:sz w:val="24"/>
          <w:szCs w:val="24"/>
        </w:rPr>
        <w:t>re</w:t>
      </w:r>
      <w:r w:rsidRPr="00677936">
        <w:rPr>
          <w:rFonts w:ascii="Arial" w:hAnsi="Arial" w:cs="Arial"/>
          <w:color w:val="auto"/>
          <w:sz w:val="24"/>
          <w:szCs w:val="24"/>
        </w:rPr>
        <w:t xml:space="preserve">nces </w:t>
      </w:r>
    </w:p>
    <w:p w14:paraId="0B8B1943" w14:textId="77777777" w:rsidR="00E52F2E" w:rsidRPr="00677936" w:rsidRDefault="00E52F2E" w:rsidP="00677936">
      <w:pPr>
        <w:spacing w:line="360" w:lineRule="auto"/>
        <w:rPr>
          <w:rFonts w:ascii="Arial" w:hAnsi="Arial" w:cs="Arial"/>
          <w:color w:val="000000" w:themeColor="text1"/>
          <w:sz w:val="24"/>
          <w:szCs w:val="24"/>
        </w:rPr>
      </w:pPr>
    </w:p>
    <w:p w14:paraId="0A921922" w14:textId="77777777" w:rsidR="00677936" w:rsidRPr="00677936" w:rsidRDefault="00677936" w:rsidP="00677936">
      <w:pPr>
        <w:spacing w:line="360" w:lineRule="auto"/>
        <w:rPr>
          <w:rFonts w:ascii="Arial" w:hAnsi="Arial" w:cs="Arial"/>
          <w:sz w:val="24"/>
          <w:szCs w:val="24"/>
        </w:rPr>
      </w:pPr>
      <w:r w:rsidRPr="00677936">
        <w:rPr>
          <w:rFonts w:ascii="Arial" w:hAnsi="Arial" w:cs="Arial"/>
          <w:sz w:val="24"/>
          <w:szCs w:val="24"/>
        </w:rPr>
        <w:t xml:space="preserve">BBC News (2025), Southport Killer refuse to leave cell for hearing, Available at: </w:t>
      </w:r>
      <w:hyperlink r:id="rId10" w:history="1">
        <w:r w:rsidRPr="00677936">
          <w:rPr>
            <w:rStyle w:val="Hyperlink"/>
            <w:rFonts w:ascii="Arial" w:hAnsi="Arial" w:cs="Arial"/>
            <w:sz w:val="24"/>
            <w:szCs w:val="24"/>
          </w:rPr>
          <w:t>https://www.bbc.co.uk/news/articles/ce8y2erj70yo</w:t>
        </w:r>
      </w:hyperlink>
      <w:r w:rsidRPr="00677936">
        <w:rPr>
          <w:rFonts w:ascii="Arial" w:hAnsi="Arial" w:cs="Arial"/>
          <w:sz w:val="24"/>
          <w:szCs w:val="24"/>
        </w:rPr>
        <w:t xml:space="preserve"> (Accessed: 07 May 2026) </w:t>
      </w:r>
    </w:p>
    <w:p w14:paraId="21DAE51A" w14:textId="77777777" w:rsidR="00677936" w:rsidRPr="00677936" w:rsidRDefault="00677936" w:rsidP="00677936">
      <w:pPr>
        <w:spacing w:line="360" w:lineRule="auto"/>
        <w:rPr>
          <w:rFonts w:ascii="Arial" w:hAnsi="Arial" w:cs="Arial"/>
          <w:sz w:val="24"/>
          <w:szCs w:val="24"/>
        </w:rPr>
      </w:pPr>
      <w:r w:rsidRPr="00677936">
        <w:rPr>
          <w:rFonts w:ascii="Arial" w:hAnsi="Arial" w:cs="Arial"/>
          <w:sz w:val="24"/>
          <w:szCs w:val="24"/>
        </w:rPr>
        <w:t xml:space="preserve">BBC News (2025), Southport killer’s sentence will not be reviewed, Available at: </w:t>
      </w:r>
      <w:hyperlink r:id="rId11" w:history="1">
        <w:r w:rsidRPr="00677936">
          <w:rPr>
            <w:rStyle w:val="Hyperlink"/>
            <w:rFonts w:ascii="Arial" w:hAnsi="Arial" w:cs="Arial"/>
            <w:sz w:val="24"/>
            <w:szCs w:val="24"/>
          </w:rPr>
          <w:t>https://www.bbc.co.uk/news/articles/c74ep44ex27o</w:t>
        </w:r>
      </w:hyperlink>
      <w:r w:rsidRPr="00677936">
        <w:rPr>
          <w:rFonts w:ascii="Arial" w:hAnsi="Arial" w:cs="Arial"/>
          <w:sz w:val="24"/>
          <w:szCs w:val="24"/>
        </w:rPr>
        <w:t xml:space="preserve"> (Accessed: 26 March 2026) </w:t>
      </w:r>
    </w:p>
    <w:p w14:paraId="6593CF50" w14:textId="77777777" w:rsidR="00677936" w:rsidRPr="00677936" w:rsidRDefault="00677936" w:rsidP="00677936">
      <w:pPr>
        <w:spacing w:line="360" w:lineRule="auto"/>
        <w:rPr>
          <w:rFonts w:ascii="Arial" w:hAnsi="Arial" w:cs="Arial"/>
          <w:sz w:val="24"/>
          <w:szCs w:val="24"/>
        </w:rPr>
      </w:pPr>
      <w:r w:rsidRPr="00677936">
        <w:rPr>
          <w:rFonts w:ascii="Arial" w:hAnsi="Arial" w:cs="Arial"/>
          <w:sz w:val="24"/>
          <w:szCs w:val="24"/>
        </w:rPr>
        <w:t xml:space="preserve">Counter Terrorism Policing (2025), Statements from Merseyside Police, Counter Terrorism Policing and Lancashire Child safeguarding partnership, Available at: </w:t>
      </w:r>
      <w:hyperlink r:id="rId12" w:history="1">
        <w:r w:rsidRPr="00677936">
          <w:rPr>
            <w:rStyle w:val="Hyperlink"/>
            <w:rFonts w:ascii="Arial" w:hAnsi="Arial" w:cs="Arial"/>
            <w:sz w:val="24"/>
            <w:szCs w:val="24"/>
          </w:rPr>
          <w:t>https://www.counterterrorism.police.uk/statements-from-merseyside-ctp-lancashire-child-safeguarding/</w:t>
        </w:r>
      </w:hyperlink>
      <w:r w:rsidRPr="00677936">
        <w:rPr>
          <w:rFonts w:ascii="Arial" w:hAnsi="Arial" w:cs="Arial"/>
          <w:sz w:val="24"/>
          <w:szCs w:val="24"/>
        </w:rPr>
        <w:t xml:space="preserve"> (Accessed: 08 April 2026) </w:t>
      </w:r>
    </w:p>
    <w:p w14:paraId="72852B18" w14:textId="77777777" w:rsidR="00677936" w:rsidRPr="00677936" w:rsidRDefault="00677936" w:rsidP="00677936">
      <w:pPr>
        <w:spacing w:line="360" w:lineRule="auto"/>
        <w:rPr>
          <w:rFonts w:ascii="Arial" w:hAnsi="Arial" w:cs="Arial"/>
          <w:sz w:val="24"/>
          <w:szCs w:val="24"/>
        </w:rPr>
      </w:pPr>
      <w:r w:rsidRPr="00677936">
        <w:rPr>
          <w:rFonts w:ascii="Arial" w:hAnsi="Arial" w:cs="Arial"/>
          <w:sz w:val="24"/>
          <w:szCs w:val="24"/>
        </w:rPr>
        <w:t xml:space="preserve">Courts and Tribunals Judiciary (2025),V Axel Rudakubana, sentencing notes, Available at:  </w:t>
      </w:r>
      <w:hyperlink r:id="rId13" w:history="1">
        <w:r w:rsidRPr="00677936">
          <w:rPr>
            <w:rStyle w:val="Hyperlink"/>
            <w:rFonts w:ascii="Arial" w:hAnsi="Arial" w:cs="Arial"/>
            <w:sz w:val="24"/>
            <w:szCs w:val="24"/>
          </w:rPr>
          <w:t>https://www.judiciary.uk/wp-content/uploads/2025/01/R-v-Axel-Rudakubana.pdf</w:t>
        </w:r>
      </w:hyperlink>
      <w:r w:rsidRPr="00677936">
        <w:rPr>
          <w:rFonts w:ascii="Arial" w:hAnsi="Arial" w:cs="Arial"/>
          <w:sz w:val="24"/>
          <w:szCs w:val="24"/>
        </w:rPr>
        <w:t xml:space="preserve"> (Accessed: 21 March 2026) </w:t>
      </w:r>
    </w:p>
    <w:p w14:paraId="79D31B4C" w14:textId="77777777" w:rsidR="00677936" w:rsidRPr="00677936" w:rsidRDefault="00677936" w:rsidP="00677936">
      <w:pPr>
        <w:spacing w:line="360" w:lineRule="auto"/>
        <w:rPr>
          <w:rFonts w:ascii="Arial" w:hAnsi="Arial" w:cs="Arial"/>
          <w:sz w:val="24"/>
          <w:szCs w:val="24"/>
        </w:rPr>
      </w:pPr>
      <w:r w:rsidRPr="00677936">
        <w:rPr>
          <w:rFonts w:ascii="Arial" w:hAnsi="Arial" w:cs="Arial"/>
          <w:sz w:val="24"/>
          <w:szCs w:val="24"/>
        </w:rPr>
        <w:t xml:space="preserve">Crown Prosecution Service (2024),CPS authorises two further charges against, Available at: </w:t>
      </w:r>
      <w:hyperlink r:id="rId14" w:anchor=":~:text=The%20Crown%20Prosecution%20Service%20has%20authorised%20two,Muganwa%20Rudakubana%2C%2018%2C%20from%20Banks%20in%20Lancashire" w:history="1">
        <w:r w:rsidRPr="00677936">
          <w:rPr>
            <w:rStyle w:val="Hyperlink"/>
            <w:rFonts w:ascii="Arial" w:hAnsi="Arial" w:cs="Arial"/>
            <w:sz w:val="24"/>
            <w:szCs w:val="24"/>
          </w:rPr>
          <w:t>https://www.cps.gov.uk/mersey-cheshire/news/authorises-two-further-charges-against-axel-rudakubana#:~:text=The%20Crown%20Prosecution%20Service%20has%20authorised%20two,Muganwa%20Rudakubana%2C%2018%2C%20from%20Banks%20in%20Lancashire</w:t>
        </w:r>
      </w:hyperlink>
      <w:r w:rsidRPr="00677936">
        <w:rPr>
          <w:rFonts w:ascii="Arial" w:hAnsi="Arial" w:cs="Arial"/>
          <w:sz w:val="24"/>
          <w:szCs w:val="24"/>
        </w:rPr>
        <w:t xml:space="preserve"> (Accessed: 06 May 2026) </w:t>
      </w:r>
    </w:p>
    <w:p w14:paraId="32CB1BE2" w14:textId="77777777" w:rsidR="00677936" w:rsidRPr="00677936" w:rsidRDefault="00677936" w:rsidP="00677936">
      <w:pPr>
        <w:spacing w:line="360" w:lineRule="auto"/>
        <w:rPr>
          <w:rFonts w:ascii="Arial" w:hAnsi="Arial" w:cs="Arial"/>
          <w:sz w:val="24"/>
          <w:szCs w:val="24"/>
        </w:rPr>
      </w:pPr>
      <w:r w:rsidRPr="00677936">
        <w:rPr>
          <w:rFonts w:ascii="Arial" w:hAnsi="Arial" w:cs="Arial"/>
          <w:sz w:val="24"/>
          <w:szCs w:val="24"/>
        </w:rPr>
        <w:t xml:space="preserve">Crown Prosecution Service (2025a), Teenager jailed for killing three children at a dance class and trying to kill ten other, available at: </w:t>
      </w:r>
      <w:hyperlink r:id="rId15" w:history="1">
        <w:r w:rsidRPr="00677936">
          <w:rPr>
            <w:rStyle w:val="Hyperlink"/>
            <w:rFonts w:ascii="Arial" w:hAnsi="Arial" w:cs="Arial"/>
            <w:sz w:val="24"/>
            <w:szCs w:val="24"/>
          </w:rPr>
          <w:t>https://www.cps.gov.uk/mersey-cheshire/news/teenager-jailed-killing-three-children-dance-class-and-trying-kill-ten</w:t>
        </w:r>
      </w:hyperlink>
      <w:r w:rsidRPr="00677936">
        <w:rPr>
          <w:rFonts w:ascii="Arial" w:hAnsi="Arial" w:cs="Arial"/>
          <w:sz w:val="24"/>
          <w:szCs w:val="24"/>
        </w:rPr>
        <w:t xml:space="preserve"> (Accessed: 21 March 2026) </w:t>
      </w:r>
    </w:p>
    <w:p w14:paraId="34F98EE2" w14:textId="77777777" w:rsidR="00677936" w:rsidRPr="00677936" w:rsidRDefault="00677936" w:rsidP="00677936">
      <w:pPr>
        <w:spacing w:line="360" w:lineRule="auto"/>
        <w:rPr>
          <w:rFonts w:ascii="Arial" w:hAnsi="Arial" w:cs="Arial"/>
          <w:sz w:val="24"/>
          <w:szCs w:val="24"/>
        </w:rPr>
      </w:pPr>
      <w:r w:rsidRPr="00677936">
        <w:rPr>
          <w:rFonts w:ascii="Arial" w:hAnsi="Arial" w:cs="Arial"/>
          <w:sz w:val="24"/>
          <w:szCs w:val="24"/>
        </w:rPr>
        <w:t xml:space="preserve">Crown Prosecution Service (2025b), Process and guidance around publication of prosecution information, Available at: </w:t>
      </w:r>
      <w:hyperlink r:id="rId16" w:history="1">
        <w:r w:rsidRPr="00677936">
          <w:rPr>
            <w:rStyle w:val="Hyperlink"/>
            <w:rFonts w:ascii="Arial" w:hAnsi="Arial" w:cs="Arial"/>
            <w:sz w:val="24"/>
            <w:szCs w:val="24"/>
          </w:rPr>
          <w:t>https://committees.parliament.uk/publications/46701/documents/240327/default/</w:t>
        </w:r>
      </w:hyperlink>
      <w:r w:rsidRPr="00677936">
        <w:rPr>
          <w:rFonts w:ascii="Arial" w:hAnsi="Arial" w:cs="Arial"/>
          <w:sz w:val="24"/>
          <w:szCs w:val="24"/>
        </w:rPr>
        <w:t xml:space="preserve"> (Accessed: 03 May 2026) </w:t>
      </w:r>
    </w:p>
    <w:p w14:paraId="64EB4F83" w14:textId="77777777" w:rsidR="00677936" w:rsidRPr="00677936" w:rsidRDefault="00677936" w:rsidP="00677936">
      <w:pPr>
        <w:spacing w:line="360" w:lineRule="auto"/>
        <w:rPr>
          <w:rFonts w:ascii="Arial" w:hAnsi="Arial" w:cs="Arial"/>
          <w:sz w:val="24"/>
          <w:szCs w:val="24"/>
        </w:rPr>
      </w:pPr>
      <w:r w:rsidRPr="00677936">
        <w:rPr>
          <w:rFonts w:ascii="Arial" w:hAnsi="Arial" w:cs="Arial"/>
          <w:sz w:val="24"/>
          <w:szCs w:val="24"/>
        </w:rPr>
        <w:lastRenderedPageBreak/>
        <w:t xml:space="preserve">Current Awareness (2024), Why did a judge name Southport stabbing suspect Axel Rudakubana, Available at: </w:t>
      </w:r>
      <w:hyperlink r:id="rId17" w:history="1">
        <w:r w:rsidRPr="00677936">
          <w:rPr>
            <w:rStyle w:val="Hyperlink"/>
            <w:rFonts w:ascii="Arial" w:hAnsi="Arial" w:cs="Arial"/>
            <w:sz w:val="24"/>
            <w:szCs w:val="24"/>
          </w:rPr>
          <w:t>https://www.innertemplelibrary.com/2024/08/why-did-a-judge-name-southport-stabbing-suspect-axel-rudakubana/</w:t>
        </w:r>
      </w:hyperlink>
      <w:r w:rsidRPr="00677936">
        <w:rPr>
          <w:rFonts w:ascii="Arial" w:hAnsi="Arial" w:cs="Arial"/>
          <w:sz w:val="24"/>
          <w:szCs w:val="24"/>
        </w:rPr>
        <w:t xml:space="preserve"> (Accessed: 03 May 2026) </w:t>
      </w:r>
    </w:p>
    <w:p w14:paraId="32564582" w14:textId="77777777" w:rsidR="00677936" w:rsidRPr="00677936" w:rsidRDefault="00677936" w:rsidP="00677936">
      <w:pPr>
        <w:spacing w:line="360" w:lineRule="auto"/>
        <w:rPr>
          <w:rFonts w:ascii="Arial" w:hAnsi="Arial" w:cs="Arial"/>
          <w:sz w:val="24"/>
          <w:szCs w:val="24"/>
        </w:rPr>
      </w:pPr>
      <w:r w:rsidRPr="00677936">
        <w:rPr>
          <w:rFonts w:ascii="Arial" w:hAnsi="Arial" w:cs="Arial"/>
          <w:sz w:val="24"/>
          <w:szCs w:val="24"/>
        </w:rPr>
        <w:t xml:space="preserve">Doughty street chambers (2025), Axel Rudakubana and the Southport stabbings: The obsession with redefining terrorism and extremism is not the answer, Available at:  </w:t>
      </w:r>
      <w:hyperlink r:id="rId18" w:history="1">
        <w:r w:rsidRPr="00677936">
          <w:rPr>
            <w:rStyle w:val="Hyperlink"/>
            <w:rFonts w:ascii="Arial" w:hAnsi="Arial" w:cs="Arial"/>
            <w:sz w:val="24"/>
            <w:szCs w:val="24"/>
          </w:rPr>
          <w:t>https://insights.doughtystreet.co.uk/post/102k74z/axel-rudakubana-and-the-southport-stabbings-the-obsession-with-redefining-terror</w:t>
        </w:r>
      </w:hyperlink>
      <w:r w:rsidRPr="00677936">
        <w:rPr>
          <w:rFonts w:ascii="Arial" w:hAnsi="Arial" w:cs="Arial"/>
          <w:sz w:val="24"/>
          <w:szCs w:val="24"/>
        </w:rPr>
        <w:t xml:space="preserve"> (Accessed: 07 April 2026)</w:t>
      </w:r>
    </w:p>
    <w:p w14:paraId="32B55BCD" w14:textId="77777777" w:rsidR="00677936" w:rsidRPr="00677936" w:rsidRDefault="00677936" w:rsidP="00677936">
      <w:pPr>
        <w:spacing w:line="360" w:lineRule="auto"/>
        <w:rPr>
          <w:rFonts w:ascii="Arial" w:hAnsi="Arial" w:cs="Arial"/>
          <w:color w:val="000000" w:themeColor="text1"/>
          <w:sz w:val="24"/>
          <w:szCs w:val="24"/>
        </w:rPr>
      </w:pPr>
      <w:r w:rsidRPr="00677936">
        <w:rPr>
          <w:rFonts w:ascii="Arial" w:hAnsi="Arial" w:cs="Arial"/>
          <w:sz w:val="24"/>
          <w:szCs w:val="24"/>
        </w:rPr>
        <w:t xml:space="preserve">Duala. K and Hirst. L (2025), ‘I was angry Southport killer did not face me in court’, Available at: </w:t>
      </w:r>
      <w:hyperlink r:id="rId19" w:history="1">
        <w:r w:rsidRPr="00677936">
          <w:rPr>
            <w:rStyle w:val="Hyperlink"/>
            <w:rFonts w:ascii="Arial" w:hAnsi="Arial" w:cs="Arial"/>
            <w:sz w:val="24"/>
            <w:szCs w:val="24"/>
          </w:rPr>
          <w:t>https://www.bbc.co.uk/news/articles/ckgn50xyxwqo</w:t>
        </w:r>
      </w:hyperlink>
      <w:r w:rsidRPr="00677936">
        <w:rPr>
          <w:rFonts w:ascii="Arial" w:hAnsi="Arial" w:cs="Arial"/>
          <w:color w:val="000000" w:themeColor="text1"/>
          <w:sz w:val="24"/>
          <w:szCs w:val="24"/>
        </w:rPr>
        <w:t xml:space="preserve"> (Accessed: 06 May 2026) </w:t>
      </w:r>
    </w:p>
    <w:p w14:paraId="728F9D90" w14:textId="77777777" w:rsidR="00677936" w:rsidRPr="00677936" w:rsidRDefault="00677936" w:rsidP="00677936">
      <w:pPr>
        <w:spacing w:line="360" w:lineRule="auto"/>
        <w:rPr>
          <w:rFonts w:ascii="Arial" w:hAnsi="Arial" w:cs="Arial"/>
          <w:sz w:val="24"/>
          <w:szCs w:val="24"/>
        </w:rPr>
      </w:pPr>
      <w:r w:rsidRPr="00677936">
        <w:rPr>
          <w:rFonts w:ascii="Arial" w:hAnsi="Arial" w:cs="Arial"/>
          <w:sz w:val="24"/>
          <w:szCs w:val="24"/>
        </w:rPr>
        <w:t xml:space="preserve">Humpheies.J  (2025), How failings were exposed at the Southport Inquiry, Available at: </w:t>
      </w:r>
      <w:hyperlink r:id="rId20" w:history="1">
        <w:r w:rsidRPr="00677936">
          <w:rPr>
            <w:rStyle w:val="Hyperlink"/>
            <w:rFonts w:ascii="Arial" w:hAnsi="Arial" w:cs="Arial"/>
            <w:sz w:val="24"/>
            <w:szCs w:val="24"/>
          </w:rPr>
          <w:t>https://www.bbc.co.uk/news/articles/c79x07ygv5wo</w:t>
        </w:r>
      </w:hyperlink>
      <w:r w:rsidRPr="00677936">
        <w:rPr>
          <w:rFonts w:ascii="Arial" w:hAnsi="Arial" w:cs="Arial"/>
          <w:sz w:val="24"/>
          <w:szCs w:val="24"/>
        </w:rPr>
        <w:t xml:space="preserve"> (Accessed: 26 March 2026)   </w:t>
      </w:r>
    </w:p>
    <w:p w14:paraId="0A9C9234" w14:textId="77777777" w:rsidR="00677936" w:rsidRPr="00677936" w:rsidRDefault="00677936" w:rsidP="00677936">
      <w:pPr>
        <w:spacing w:line="360" w:lineRule="auto"/>
        <w:rPr>
          <w:rFonts w:ascii="Arial" w:hAnsi="Arial" w:cs="Arial"/>
          <w:color w:val="000000" w:themeColor="text1"/>
          <w:sz w:val="24"/>
          <w:szCs w:val="24"/>
        </w:rPr>
      </w:pPr>
      <w:r w:rsidRPr="00677936">
        <w:rPr>
          <w:rFonts w:ascii="Arial" w:hAnsi="Arial" w:cs="Arial"/>
          <w:color w:val="000000" w:themeColor="text1"/>
          <w:sz w:val="24"/>
          <w:szCs w:val="24"/>
        </w:rPr>
        <w:t xml:space="preserve">Larsson. G, Andersson. R and Betts. P (2025), Policing in a globalized world: some practical implications for policing and police training, Volume 99, Issue 2, Sage Journals, Available at: </w:t>
      </w:r>
      <w:hyperlink r:id="rId21" w:history="1">
        <w:r w:rsidRPr="00677936">
          <w:rPr>
            <w:rStyle w:val="Hyperlink"/>
            <w:rFonts w:ascii="Arial" w:hAnsi="Arial" w:cs="Arial"/>
            <w:sz w:val="24"/>
            <w:szCs w:val="24"/>
          </w:rPr>
          <w:t>https://journals.sagepub.com/doi/full/10.1177/0032258X251350879</w:t>
        </w:r>
      </w:hyperlink>
      <w:r w:rsidRPr="00677936">
        <w:rPr>
          <w:rFonts w:ascii="Arial" w:hAnsi="Arial" w:cs="Arial"/>
          <w:color w:val="000000" w:themeColor="text1"/>
          <w:sz w:val="24"/>
          <w:szCs w:val="24"/>
        </w:rPr>
        <w:t xml:space="preserve"> (Accessed: 03 May 2026) </w:t>
      </w:r>
    </w:p>
    <w:p w14:paraId="33A19627" w14:textId="77777777" w:rsidR="00677936" w:rsidRPr="00677936" w:rsidRDefault="00677936" w:rsidP="00677936">
      <w:pPr>
        <w:spacing w:line="360" w:lineRule="auto"/>
        <w:rPr>
          <w:rFonts w:ascii="Arial" w:hAnsi="Arial" w:cs="Arial"/>
          <w:sz w:val="24"/>
          <w:szCs w:val="24"/>
        </w:rPr>
      </w:pPr>
      <w:r w:rsidRPr="00677936">
        <w:rPr>
          <w:rFonts w:ascii="Arial" w:hAnsi="Arial" w:cs="Arial"/>
          <w:sz w:val="24"/>
          <w:szCs w:val="24"/>
        </w:rPr>
        <w:t xml:space="preserve">R V Axel Rudakubana (2025), Sentencing note, Available at: </w:t>
      </w:r>
      <w:hyperlink r:id="rId22" w:history="1">
        <w:r w:rsidRPr="00677936">
          <w:rPr>
            <w:rStyle w:val="Hyperlink"/>
            <w:rFonts w:ascii="Arial" w:hAnsi="Arial" w:cs="Arial"/>
            <w:sz w:val="24"/>
            <w:szCs w:val="24"/>
          </w:rPr>
          <w:t>https://www.judiciary.uk/wp-content/uploads/2025/01/R-v-Axel-Rudakubana.pdf</w:t>
        </w:r>
      </w:hyperlink>
      <w:r w:rsidRPr="00677936">
        <w:rPr>
          <w:rFonts w:ascii="Arial" w:hAnsi="Arial" w:cs="Arial"/>
          <w:sz w:val="24"/>
          <w:szCs w:val="24"/>
        </w:rPr>
        <w:t xml:space="preserve">  (Accessed: 23 March 2026) </w:t>
      </w:r>
    </w:p>
    <w:p w14:paraId="590A3806" w14:textId="77777777" w:rsidR="00677936" w:rsidRPr="00677936" w:rsidRDefault="00677936" w:rsidP="00677936">
      <w:pPr>
        <w:spacing w:line="360" w:lineRule="auto"/>
        <w:rPr>
          <w:rFonts w:ascii="Arial" w:hAnsi="Arial" w:cs="Arial"/>
          <w:color w:val="000000" w:themeColor="text1"/>
          <w:sz w:val="24"/>
          <w:szCs w:val="24"/>
        </w:rPr>
      </w:pPr>
      <w:r w:rsidRPr="00677936">
        <w:rPr>
          <w:rFonts w:ascii="Arial" w:hAnsi="Arial" w:cs="Arial"/>
          <w:color w:val="000000" w:themeColor="text1"/>
          <w:sz w:val="24"/>
          <w:szCs w:val="24"/>
        </w:rPr>
        <w:t xml:space="preserve">Southport inquiry (2025), The Southport Public Inquiry, Available at: </w:t>
      </w:r>
      <w:hyperlink r:id="rId23" w:history="1">
        <w:r w:rsidRPr="00677936">
          <w:rPr>
            <w:rStyle w:val="Hyperlink"/>
            <w:rFonts w:ascii="Arial" w:hAnsi="Arial" w:cs="Arial"/>
            <w:sz w:val="24"/>
            <w:szCs w:val="24"/>
          </w:rPr>
          <w:t>https://www.southport.public-inquiry.uk/</w:t>
        </w:r>
      </w:hyperlink>
      <w:r w:rsidRPr="00677936">
        <w:rPr>
          <w:rFonts w:ascii="Arial" w:hAnsi="Arial" w:cs="Arial"/>
          <w:color w:val="000000" w:themeColor="text1"/>
          <w:sz w:val="24"/>
          <w:szCs w:val="24"/>
        </w:rPr>
        <w:t xml:space="preserve"> (Accessed: 06 May 2026)</w:t>
      </w:r>
    </w:p>
    <w:p w14:paraId="7814208F" w14:textId="77777777" w:rsidR="00677936" w:rsidRPr="00677936" w:rsidRDefault="00677936" w:rsidP="00677936">
      <w:pPr>
        <w:spacing w:line="360" w:lineRule="auto"/>
        <w:rPr>
          <w:rFonts w:ascii="Arial" w:hAnsi="Arial" w:cs="Arial"/>
          <w:sz w:val="24"/>
          <w:szCs w:val="24"/>
        </w:rPr>
      </w:pPr>
      <w:r w:rsidRPr="00677936">
        <w:rPr>
          <w:rFonts w:ascii="Arial" w:hAnsi="Arial" w:cs="Arial"/>
          <w:sz w:val="24"/>
          <w:szCs w:val="24"/>
        </w:rPr>
        <w:t xml:space="preserve">Symonds. T (2025), Tensions over how Southport details went public, Available at: </w:t>
      </w:r>
      <w:hyperlink r:id="rId24" w:history="1">
        <w:r w:rsidRPr="00677936">
          <w:rPr>
            <w:rStyle w:val="Hyperlink"/>
            <w:rFonts w:ascii="Arial" w:hAnsi="Arial" w:cs="Arial"/>
            <w:sz w:val="24"/>
            <w:szCs w:val="24"/>
          </w:rPr>
          <w:t>https://www.bbc.co.uk/news/articles/c62egy7pj7xo</w:t>
        </w:r>
      </w:hyperlink>
      <w:r w:rsidRPr="00677936">
        <w:rPr>
          <w:rFonts w:ascii="Arial" w:hAnsi="Arial" w:cs="Arial"/>
          <w:sz w:val="24"/>
          <w:szCs w:val="24"/>
        </w:rPr>
        <w:t xml:space="preserve"> (Accessed: 03 May 2026) </w:t>
      </w:r>
    </w:p>
    <w:p w14:paraId="1D77F4B9" w14:textId="77777777" w:rsidR="00F843BA" w:rsidRPr="00DB658D" w:rsidRDefault="00F843BA" w:rsidP="00DD429C">
      <w:pPr>
        <w:spacing w:line="360" w:lineRule="auto"/>
        <w:rPr>
          <w:rFonts w:ascii="Arial" w:hAnsi="Arial" w:cs="Arial"/>
          <w:sz w:val="24"/>
          <w:szCs w:val="24"/>
          <w:highlight w:val="yellow"/>
        </w:rPr>
      </w:pPr>
    </w:p>
    <w:sectPr w:rsidR="00F843BA" w:rsidRPr="00DB658D" w:rsidSect="00B66DB1">
      <w:footerReference w:type="default" r:id="rId2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525A247" w14:textId="77777777" w:rsidR="004366A9" w:rsidRDefault="004366A9" w:rsidP="000E0134">
      <w:pPr>
        <w:spacing w:after="0" w:line="240" w:lineRule="auto"/>
      </w:pPr>
      <w:r>
        <w:separator/>
      </w:r>
    </w:p>
  </w:endnote>
  <w:endnote w:type="continuationSeparator" w:id="0">
    <w:p w14:paraId="4CC6FD09" w14:textId="77777777" w:rsidR="004366A9" w:rsidRDefault="004366A9" w:rsidP="000E013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DengXian">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89534519"/>
      <w:docPartObj>
        <w:docPartGallery w:val="Page Numbers (Bottom of Page)"/>
        <w:docPartUnique/>
      </w:docPartObj>
    </w:sdtPr>
    <w:sdtEndPr>
      <w:rPr>
        <w:noProof/>
      </w:rPr>
    </w:sdtEndPr>
    <w:sdtContent>
      <w:p w14:paraId="5A89737D" w14:textId="04FB1858" w:rsidR="000E0134" w:rsidRDefault="000E013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5693AA4" w14:textId="77777777" w:rsidR="000E0134" w:rsidRDefault="000E013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61DAFFE" w14:textId="77777777" w:rsidR="004366A9" w:rsidRDefault="004366A9" w:rsidP="000E0134">
      <w:pPr>
        <w:spacing w:after="0" w:line="240" w:lineRule="auto"/>
      </w:pPr>
      <w:r>
        <w:separator/>
      </w:r>
    </w:p>
  </w:footnote>
  <w:footnote w:type="continuationSeparator" w:id="0">
    <w:p w14:paraId="73A27525" w14:textId="77777777" w:rsidR="004366A9" w:rsidRDefault="004366A9" w:rsidP="000E013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52A7958"/>
    <w:multiLevelType w:val="multilevel"/>
    <w:tmpl w:val="12BE66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5FC1F04"/>
    <w:multiLevelType w:val="multilevel"/>
    <w:tmpl w:val="065C5BF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505F05D4"/>
    <w:multiLevelType w:val="multilevel"/>
    <w:tmpl w:val="85E298B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98E63EB"/>
    <w:multiLevelType w:val="multilevel"/>
    <w:tmpl w:val="F9EA1EC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C2D4ADC"/>
    <w:multiLevelType w:val="multilevel"/>
    <w:tmpl w:val="4DF2C10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3DB62DE"/>
    <w:multiLevelType w:val="multilevel"/>
    <w:tmpl w:val="454A756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521697261">
    <w:abstractNumId w:val="4"/>
  </w:num>
  <w:num w:numId="2" w16cid:durableId="670762369">
    <w:abstractNumId w:val="5"/>
  </w:num>
  <w:num w:numId="3" w16cid:durableId="1034497755">
    <w:abstractNumId w:val="3"/>
  </w:num>
  <w:num w:numId="4" w16cid:durableId="627200734">
    <w:abstractNumId w:val="2"/>
  </w:num>
  <w:num w:numId="5" w16cid:durableId="976565372">
    <w:abstractNumId w:val="1"/>
  </w:num>
  <w:num w:numId="6" w16cid:durableId="151711467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66DB1"/>
    <w:rsid w:val="00005CF5"/>
    <w:rsid w:val="00020C13"/>
    <w:rsid w:val="00031A6E"/>
    <w:rsid w:val="000413EF"/>
    <w:rsid w:val="00052426"/>
    <w:rsid w:val="00056E00"/>
    <w:rsid w:val="00060FA0"/>
    <w:rsid w:val="0007737F"/>
    <w:rsid w:val="000837C2"/>
    <w:rsid w:val="00093E06"/>
    <w:rsid w:val="0009570E"/>
    <w:rsid w:val="00096588"/>
    <w:rsid w:val="000A166C"/>
    <w:rsid w:val="000D0678"/>
    <w:rsid w:val="000D1756"/>
    <w:rsid w:val="000D5608"/>
    <w:rsid w:val="000E0134"/>
    <w:rsid w:val="000E2171"/>
    <w:rsid w:val="000E25A3"/>
    <w:rsid w:val="000F2AC7"/>
    <w:rsid w:val="00102C05"/>
    <w:rsid w:val="001107DD"/>
    <w:rsid w:val="001156DF"/>
    <w:rsid w:val="001259A7"/>
    <w:rsid w:val="00134A7F"/>
    <w:rsid w:val="00141064"/>
    <w:rsid w:val="00145D50"/>
    <w:rsid w:val="001539C1"/>
    <w:rsid w:val="00157A9F"/>
    <w:rsid w:val="00162727"/>
    <w:rsid w:val="00170595"/>
    <w:rsid w:val="00173EB6"/>
    <w:rsid w:val="001904B3"/>
    <w:rsid w:val="001A6247"/>
    <w:rsid w:val="001C21D8"/>
    <w:rsid w:val="001D797A"/>
    <w:rsid w:val="001F1140"/>
    <w:rsid w:val="001F1956"/>
    <w:rsid w:val="00257ED3"/>
    <w:rsid w:val="00262511"/>
    <w:rsid w:val="002701B1"/>
    <w:rsid w:val="00270374"/>
    <w:rsid w:val="00277F4C"/>
    <w:rsid w:val="00297FDD"/>
    <w:rsid w:val="002E78A4"/>
    <w:rsid w:val="002F6F31"/>
    <w:rsid w:val="00321B35"/>
    <w:rsid w:val="00324888"/>
    <w:rsid w:val="0032689A"/>
    <w:rsid w:val="00335CE6"/>
    <w:rsid w:val="003459AB"/>
    <w:rsid w:val="00353E2F"/>
    <w:rsid w:val="00364568"/>
    <w:rsid w:val="00372695"/>
    <w:rsid w:val="00383278"/>
    <w:rsid w:val="003975A8"/>
    <w:rsid w:val="003A518E"/>
    <w:rsid w:val="003B5471"/>
    <w:rsid w:val="003B76C9"/>
    <w:rsid w:val="003D0032"/>
    <w:rsid w:val="003E3FD8"/>
    <w:rsid w:val="003F39AC"/>
    <w:rsid w:val="003F3C9A"/>
    <w:rsid w:val="0040200B"/>
    <w:rsid w:val="004042DD"/>
    <w:rsid w:val="004057A9"/>
    <w:rsid w:val="00417B09"/>
    <w:rsid w:val="00433428"/>
    <w:rsid w:val="004366A9"/>
    <w:rsid w:val="00437C28"/>
    <w:rsid w:val="004438B9"/>
    <w:rsid w:val="00452C33"/>
    <w:rsid w:val="004576F1"/>
    <w:rsid w:val="00472889"/>
    <w:rsid w:val="004848E3"/>
    <w:rsid w:val="00485200"/>
    <w:rsid w:val="004876B8"/>
    <w:rsid w:val="004968C1"/>
    <w:rsid w:val="004A638D"/>
    <w:rsid w:val="004C0939"/>
    <w:rsid w:val="004D586E"/>
    <w:rsid w:val="004E7EFD"/>
    <w:rsid w:val="00504830"/>
    <w:rsid w:val="00505A56"/>
    <w:rsid w:val="005128D4"/>
    <w:rsid w:val="00514177"/>
    <w:rsid w:val="005337C0"/>
    <w:rsid w:val="00566C8D"/>
    <w:rsid w:val="00580A93"/>
    <w:rsid w:val="005A16A6"/>
    <w:rsid w:val="005C332A"/>
    <w:rsid w:val="005C7EEA"/>
    <w:rsid w:val="005E53DA"/>
    <w:rsid w:val="0060096E"/>
    <w:rsid w:val="0063491B"/>
    <w:rsid w:val="006367EC"/>
    <w:rsid w:val="00654870"/>
    <w:rsid w:val="00677936"/>
    <w:rsid w:val="0069615A"/>
    <w:rsid w:val="006B7BA0"/>
    <w:rsid w:val="006C754F"/>
    <w:rsid w:val="006D5896"/>
    <w:rsid w:val="006F0C56"/>
    <w:rsid w:val="006F33E8"/>
    <w:rsid w:val="007010F4"/>
    <w:rsid w:val="00713069"/>
    <w:rsid w:val="007147C2"/>
    <w:rsid w:val="0071527D"/>
    <w:rsid w:val="007154FF"/>
    <w:rsid w:val="00717FDB"/>
    <w:rsid w:val="0072454C"/>
    <w:rsid w:val="0072691E"/>
    <w:rsid w:val="00731229"/>
    <w:rsid w:val="00743033"/>
    <w:rsid w:val="00744EA8"/>
    <w:rsid w:val="00745C0A"/>
    <w:rsid w:val="00750E15"/>
    <w:rsid w:val="007510B0"/>
    <w:rsid w:val="00767101"/>
    <w:rsid w:val="007804D4"/>
    <w:rsid w:val="00782566"/>
    <w:rsid w:val="007B5B60"/>
    <w:rsid w:val="007C0853"/>
    <w:rsid w:val="007C1249"/>
    <w:rsid w:val="007C6AC4"/>
    <w:rsid w:val="007E4463"/>
    <w:rsid w:val="007E6399"/>
    <w:rsid w:val="007E75C4"/>
    <w:rsid w:val="00802D9F"/>
    <w:rsid w:val="00836DE6"/>
    <w:rsid w:val="0084662A"/>
    <w:rsid w:val="00876647"/>
    <w:rsid w:val="0088512C"/>
    <w:rsid w:val="00887A09"/>
    <w:rsid w:val="00890F58"/>
    <w:rsid w:val="008B1F3E"/>
    <w:rsid w:val="008C1761"/>
    <w:rsid w:val="008D1CCE"/>
    <w:rsid w:val="008D1FED"/>
    <w:rsid w:val="008D2A42"/>
    <w:rsid w:val="008D2BA7"/>
    <w:rsid w:val="008E3FA7"/>
    <w:rsid w:val="00901955"/>
    <w:rsid w:val="00905DBB"/>
    <w:rsid w:val="00906B9A"/>
    <w:rsid w:val="00910E80"/>
    <w:rsid w:val="00912F6E"/>
    <w:rsid w:val="00913774"/>
    <w:rsid w:val="009264E3"/>
    <w:rsid w:val="009305F8"/>
    <w:rsid w:val="00932DDC"/>
    <w:rsid w:val="00933B77"/>
    <w:rsid w:val="009375A6"/>
    <w:rsid w:val="00945337"/>
    <w:rsid w:val="0094545E"/>
    <w:rsid w:val="00947CA8"/>
    <w:rsid w:val="009506E5"/>
    <w:rsid w:val="009525DA"/>
    <w:rsid w:val="00956934"/>
    <w:rsid w:val="00960BE2"/>
    <w:rsid w:val="00971415"/>
    <w:rsid w:val="009878F4"/>
    <w:rsid w:val="00994C8D"/>
    <w:rsid w:val="009B65D7"/>
    <w:rsid w:val="009C04BA"/>
    <w:rsid w:val="009C33B0"/>
    <w:rsid w:val="009D3A05"/>
    <w:rsid w:val="009D665B"/>
    <w:rsid w:val="009E6E33"/>
    <w:rsid w:val="009F0507"/>
    <w:rsid w:val="00A23B61"/>
    <w:rsid w:val="00A37504"/>
    <w:rsid w:val="00A42D97"/>
    <w:rsid w:val="00A45F62"/>
    <w:rsid w:val="00A53CEE"/>
    <w:rsid w:val="00A75564"/>
    <w:rsid w:val="00A816E4"/>
    <w:rsid w:val="00A82AA7"/>
    <w:rsid w:val="00AA1815"/>
    <w:rsid w:val="00AB5F38"/>
    <w:rsid w:val="00AB7294"/>
    <w:rsid w:val="00AD02E6"/>
    <w:rsid w:val="00AD0DB2"/>
    <w:rsid w:val="00AF2710"/>
    <w:rsid w:val="00AF5164"/>
    <w:rsid w:val="00B005AF"/>
    <w:rsid w:val="00B05421"/>
    <w:rsid w:val="00B054B1"/>
    <w:rsid w:val="00B06BD7"/>
    <w:rsid w:val="00B115D2"/>
    <w:rsid w:val="00B24D4A"/>
    <w:rsid w:val="00B35B49"/>
    <w:rsid w:val="00B66DB1"/>
    <w:rsid w:val="00B6753A"/>
    <w:rsid w:val="00B7063B"/>
    <w:rsid w:val="00B706E6"/>
    <w:rsid w:val="00B80BA5"/>
    <w:rsid w:val="00BA4530"/>
    <w:rsid w:val="00BA45AE"/>
    <w:rsid w:val="00BB242C"/>
    <w:rsid w:val="00BE102E"/>
    <w:rsid w:val="00BF268A"/>
    <w:rsid w:val="00C0407A"/>
    <w:rsid w:val="00C1105B"/>
    <w:rsid w:val="00C17972"/>
    <w:rsid w:val="00C26DD9"/>
    <w:rsid w:val="00C31283"/>
    <w:rsid w:val="00C43D71"/>
    <w:rsid w:val="00C46F13"/>
    <w:rsid w:val="00C67580"/>
    <w:rsid w:val="00C80EFC"/>
    <w:rsid w:val="00C822D6"/>
    <w:rsid w:val="00C8791C"/>
    <w:rsid w:val="00C91EAB"/>
    <w:rsid w:val="00C940F5"/>
    <w:rsid w:val="00C9651A"/>
    <w:rsid w:val="00C97E83"/>
    <w:rsid w:val="00CC3B3C"/>
    <w:rsid w:val="00CD2406"/>
    <w:rsid w:val="00CE1B39"/>
    <w:rsid w:val="00D02BC0"/>
    <w:rsid w:val="00D33EAE"/>
    <w:rsid w:val="00D50C79"/>
    <w:rsid w:val="00D57CA2"/>
    <w:rsid w:val="00D64820"/>
    <w:rsid w:val="00D6766D"/>
    <w:rsid w:val="00D67B3B"/>
    <w:rsid w:val="00D731D8"/>
    <w:rsid w:val="00D76617"/>
    <w:rsid w:val="00D8533A"/>
    <w:rsid w:val="00D875F6"/>
    <w:rsid w:val="00DA58D1"/>
    <w:rsid w:val="00DB249B"/>
    <w:rsid w:val="00DB658D"/>
    <w:rsid w:val="00DB7AE0"/>
    <w:rsid w:val="00DC097A"/>
    <w:rsid w:val="00DC24C3"/>
    <w:rsid w:val="00DD429C"/>
    <w:rsid w:val="00DD65DC"/>
    <w:rsid w:val="00DE1B06"/>
    <w:rsid w:val="00DE31C1"/>
    <w:rsid w:val="00DE41C1"/>
    <w:rsid w:val="00DE7814"/>
    <w:rsid w:val="00DF2303"/>
    <w:rsid w:val="00E15623"/>
    <w:rsid w:val="00E17CDE"/>
    <w:rsid w:val="00E24639"/>
    <w:rsid w:val="00E3394E"/>
    <w:rsid w:val="00E47BE7"/>
    <w:rsid w:val="00E52F2E"/>
    <w:rsid w:val="00E6023F"/>
    <w:rsid w:val="00E61FB2"/>
    <w:rsid w:val="00E665EC"/>
    <w:rsid w:val="00E74CDE"/>
    <w:rsid w:val="00E9024D"/>
    <w:rsid w:val="00E95E2F"/>
    <w:rsid w:val="00EB11B1"/>
    <w:rsid w:val="00EB27E7"/>
    <w:rsid w:val="00EC0FB1"/>
    <w:rsid w:val="00ED4273"/>
    <w:rsid w:val="00EF7054"/>
    <w:rsid w:val="00EF7C93"/>
    <w:rsid w:val="00F06E5C"/>
    <w:rsid w:val="00F12A28"/>
    <w:rsid w:val="00F158BF"/>
    <w:rsid w:val="00F15FE4"/>
    <w:rsid w:val="00F21759"/>
    <w:rsid w:val="00F27AA2"/>
    <w:rsid w:val="00F41E65"/>
    <w:rsid w:val="00F433FC"/>
    <w:rsid w:val="00F63C70"/>
    <w:rsid w:val="00F6510A"/>
    <w:rsid w:val="00F843BA"/>
    <w:rsid w:val="00F87D30"/>
    <w:rsid w:val="00FA43F3"/>
    <w:rsid w:val="00FA49C2"/>
    <w:rsid w:val="00FB1D22"/>
    <w:rsid w:val="00FC41F4"/>
    <w:rsid w:val="00FD4561"/>
    <w:rsid w:val="00FD7942"/>
    <w:rsid w:val="00FE28FE"/>
    <w:rsid w:val="00FE4CDB"/>
    <w:rsid w:val="00FF6F3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804510"/>
  <w15:chartTrackingRefBased/>
  <w15:docId w15:val="{EC1DE874-BA00-4DCF-BE8A-C4129FC18B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66DB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B66DB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B66DB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B66DB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rsid w:val="00B66DB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rsid w:val="00B66DB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rsid w:val="00B66DB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66DB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66DB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66DB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B66DB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B66DB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B66DB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sid w:val="00B66DB1"/>
    <w:rPr>
      <w:rFonts w:eastAsiaTheme="majorEastAsia" w:cstheme="majorBidi"/>
      <w:color w:val="0F4761" w:themeColor="accent1" w:themeShade="BF"/>
    </w:rPr>
  </w:style>
  <w:style w:type="character" w:customStyle="1" w:styleId="Heading6Char">
    <w:name w:val="Heading 6 Char"/>
    <w:basedOn w:val="DefaultParagraphFont"/>
    <w:link w:val="Heading6"/>
    <w:uiPriority w:val="9"/>
    <w:rsid w:val="00B66DB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sid w:val="00B66DB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66DB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66DB1"/>
    <w:rPr>
      <w:rFonts w:eastAsiaTheme="majorEastAsia" w:cstheme="majorBidi"/>
      <w:color w:val="272727" w:themeColor="text1" w:themeTint="D8"/>
    </w:rPr>
  </w:style>
  <w:style w:type="paragraph" w:styleId="Title">
    <w:name w:val="Title"/>
    <w:basedOn w:val="Normal"/>
    <w:next w:val="Normal"/>
    <w:link w:val="TitleChar"/>
    <w:uiPriority w:val="10"/>
    <w:qFormat/>
    <w:rsid w:val="00B66DB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66DB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66DB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66DB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66DB1"/>
    <w:pPr>
      <w:spacing w:before="160"/>
      <w:jc w:val="center"/>
    </w:pPr>
    <w:rPr>
      <w:i/>
      <w:iCs/>
      <w:color w:val="404040" w:themeColor="text1" w:themeTint="BF"/>
    </w:rPr>
  </w:style>
  <w:style w:type="character" w:customStyle="1" w:styleId="QuoteChar">
    <w:name w:val="Quote Char"/>
    <w:basedOn w:val="DefaultParagraphFont"/>
    <w:link w:val="Quote"/>
    <w:uiPriority w:val="29"/>
    <w:rsid w:val="00B66DB1"/>
    <w:rPr>
      <w:i/>
      <w:iCs/>
      <w:color w:val="404040" w:themeColor="text1" w:themeTint="BF"/>
    </w:rPr>
  </w:style>
  <w:style w:type="paragraph" w:styleId="ListParagraph">
    <w:name w:val="List Paragraph"/>
    <w:basedOn w:val="Normal"/>
    <w:uiPriority w:val="34"/>
    <w:qFormat/>
    <w:rsid w:val="00B66DB1"/>
    <w:pPr>
      <w:ind w:left="720"/>
      <w:contextualSpacing/>
    </w:pPr>
  </w:style>
  <w:style w:type="character" w:styleId="IntenseEmphasis">
    <w:name w:val="Intense Emphasis"/>
    <w:basedOn w:val="DefaultParagraphFont"/>
    <w:uiPriority w:val="21"/>
    <w:qFormat/>
    <w:rsid w:val="00B66DB1"/>
    <w:rPr>
      <w:i/>
      <w:iCs/>
      <w:color w:val="0F4761" w:themeColor="accent1" w:themeShade="BF"/>
    </w:rPr>
  </w:style>
  <w:style w:type="paragraph" w:styleId="IntenseQuote">
    <w:name w:val="Intense Quote"/>
    <w:basedOn w:val="Normal"/>
    <w:next w:val="Normal"/>
    <w:link w:val="IntenseQuoteChar"/>
    <w:uiPriority w:val="30"/>
    <w:qFormat/>
    <w:rsid w:val="00B66DB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66DB1"/>
    <w:rPr>
      <w:i/>
      <w:iCs/>
      <w:color w:val="0F4761" w:themeColor="accent1" w:themeShade="BF"/>
    </w:rPr>
  </w:style>
  <w:style w:type="character" w:styleId="IntenseReference">
    <w:name w:val="Intense Reference"/>
    <w:basedOn w:val="DefaultParagraphFont"/>
    <w:uiPriority w:val="32"/>
    <w:qFormat/>
    <w:rsid w:val="00B66DB1"/>
    <w:rPr>
      <w:b/>
      <w:bCs/>
      <w:smallCaps/>
      <w:color w:val="0F4761" w:themeColor="accent1" w:themeShade="BF"/>
      <w:spacing w:val="5"/>
    </w:rPr>
  </w:style>
  <w:style w:type="paragraph" w:styleId="NoSpacing">
    <w:name w:val="No Spacing"/>
    <w:link w:val="NoSpacingChar"/>
    <w:uiPriority w:val="1"/>
    <w:qFormat/>
    <w:rsid w:val="00B66DB1"/>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B66DB1"/>
    <w:rPr>
      <w:rFonts w:eastAsiaTheme="minorEastAsia"/>
      <w:kern w:val="0"/>
      <w:lang w:val="en-US"/>
      <w14:ligatures w14:val="none"/>
    </w:rPr>
  </w:style>
  <w:style w:type="paragraph" w:styleId="Header">
    <w:name w:val="header"/>
    <w:basedOn w:val="Normal"/>
    <w:link w:val="HeaderChar"/>
    <w:uiPriority w:val="99"/>
    <w:unhideWhenUsed/>
    <w:rsid w:val="000E0134"/>
    <w:pPr>
      <w:tabs>
        <w:tab w:val="center" w:pos="4513"/>
        <w:tab w:val="right" w:pos="9026"/>
      </w:tabs>
      <w:spacing w:after="0" w:line="240" w:lineRule="auto"/>
    </w:pPr>
  </w:style>
  <w:style w:type="character" w:customStyle="1" w:styleId="HeaderChar">
    <w:name w:val="Header Char"/>
    <w:basedOn w:val="DefaultParagraphFont"/>
    <w:link w:val="Header"/>
    <w:uiPriority w:val="99"/>
    <w:rsid w:val="000E0134"/>
  </w:style>
  <w:style w:type="paragraph" w:styleId="Footer">
    <w:name w:val="footer"/>
    <w:basedOn w:val="Normal"/>
    <w:link w:val="FooterChar"/>
    <w:uiPriority w:val="99"/>
    <w:unhideWhenUsed/>
    <w:rsid w:val="000E0134"/>
    <w:pPr>
      <w:tabs>
        <w:tab w:val="center" w:pos="4513"/>
        <w:tab w:val="right" w:pos="9026"/>
      </w:tabs>
      <w:spacing w:after="0" w:line="240" w:lineRule="auto"/>
    </w:pPr>
  </w:style>
  <w:style w:type="character" w:customStyle="1" w:styleId="FooterChar">
    <w:name w:val="Footer Char"/>
    <w:basedOn w:val="DefaultParagraphFont"/>
    <w:link w:val="Footer"/>
    <w:uiPriority w:val="99"/>
    <w:rsid w:val="000E0134"/>
  </w:style>
  <w:style w:type="paragraph" w:styleId="TOCHeading">
    <w:name w:val="TOC Heading"/>
    <w:basedOn w:val="Heading1"/>
    <w:next w:val="Normal"/>
    <w:uiPriority w:val="39"/>
    <w:unhideWhenUsed/>
    <w:qFormat/>
    <w:rsid w:val="00DB249B"/>
    <w:pPr>
      <w:spacing w:before="240" w:after="0"/>
      <w:outlineLvl w:val="9"/>
    </w:pPr>
    <w:rPr>
      <w:kern w:val="0"/>
      <w:sz w:val="32"/>
      <w:szCs w:val="32"/>
      <w:lang w:val="en-US"/>
      <w14:ligatures w14:val="none"/>
    </w:rPr>
  </w:style>
  <w:style w:type="character" w:styleId="Hyperlink">
    <w:name w:val="Hyperlink"/>
    <w:basedOn w:val="DefaultParagraphFont"/>
    <w:uiPriority w:val="99"/>
    <w:unhideWhenUsed/>
    <w:rsid w:val="00F21759"/>
    <w:rPr>
      <w:color w:val="467886" w:themeColor="hyperlink"/>
      <w:u w:val="single"/>
    </w:rPr>
  </w:style>
  <w:style w:type="character" w:styleId="UnresolvedMention">
    <w:name w:val="Unresolved Mention"/>
    <w:basedOn w:val="DefaultParagraphFont"/>
    <w:uiPriority w:val="99"/>
    <w:semiHidden/>
    <w:unhideWhenUsed/>
    <w:rsid w:val="00F21759"/>
    <w:rPr>
      <w:color w:val="605E5C"/>
      <w:shd w:val="clear" w:color="auto" w:fill="E1DFDD"/>
    </w:rPr>
  </w:style>
  <w:style w:type="character" w:styleId="CommentReference">
    <w:name w:val="annotation reference"/>
    <w:basedOn w:val="DefaultParagraphFont"/>
    <w:uiPriority w:val="99"/>
    <w:semiHidden/>
    <w:unhideWhenUsed/>
    <w:rsid w:val="004C0939"/>
    <w:rPr>
      <w:sz w:val="16"/>
      <w:szCs w:val="16"/>
    </w:rPr>
  </w:style>
  <w:style w:type="paragraph" w:styleId="CommentText">
    <w:name w:val="annotation text"/>
    <w:basedOn w:val="Normal"/>
    <w:link w:val="CommentTextChar"/>
    <w:uiPriority w:val="99"/>
    <w:unhideWhenUsed/>
    <w:rsid w:val="004C0939"/>
    <w:pPr>
      <w:spacing w:line="240" w:lineRule="auto"/>
    </w:pPr>
    <w:rPr>
      <w:sz w:val="20"/>
      <w:szCs w:val="20"/>
    </w:rPr>
  </w:style>
  <w:style w:type="character" w:customStyle="1" w:styleId="CommentTextChar">
    <w:name w:val="Comment Text Char"/>
    <w:basedOn w:val="DefaultParagraphFont"/>
    <w:link w:val="CommentText"/>
    <w:uiPriority w:val="99"/>
    <w:rsid w:val="004C0939"/>
    <w:rPr>
      <w:sz w:val="20"/>
      <w:szCs w:val="20"/>
    </w:rPr>
  </w:style>
  <w:style w:type="paragraph" w:styleId="CommentSubject">
    <w:name w:val="annotation subject"/>
    <w:basedOn w:val="CommentText"/>
    <w:next w:val="CommentText"/>
    <w:link w:val="CommentSubjectChar"/>
    <w:uiPriority w:val="99"/>
    <w:semiHidden/>
    <w:unhideWhenUsed/>
    <w:rsid w:val="004C0939"/>
    <w:rPr>
      <w:b/>
      <w:bCs/>
    </w:rPr>
  </w:style>
  <w:style w:type="character" w:customStyle="1" w:styleId="CommentSubjectChar">
    <w:name w:val="Comment Subject Char"/>
    <w:basedOn w:val="CommentTextChar"/>
    <w:link w:val="CommentSubject"/>
    <w:uiPriority w:val="99"/>
    <w:semiHidden/>
    <w:rsid w:val="004C0939"/>
    <w:rPr>
      <w:b/>
      <w:bCs/>
      <w:sz w:val="20"/>
      <w:szCs w:val="20"/>
    </w:rPr>
  </w:style>
  <w:style w:type="character" w:styleId="FollowedHyperlink">
    <w:name w:val="FollowedHyperlink"/>
    <w:basedOn w:val="DefaultParagraphFont"/>
    <w:uiPriority w:val="99"/>
    <w:semiHidden/>
    <w:unhideWhenUsed/>
    <w:rsid w:val="007E6399"/>
    <w:rPr>
      <w:color w:val="96607D" w:themeColor="followedHyperlink"/>
      <w:u w:val="single"/>
    </w:rPr>
  </w:style>
  <w:style w:type="paragraph" w:styleId="NormalWeb">
    <w:name w:val="Normal (Web)"/>
    <w:basedOn w:val="Normal"/>
    <w:uiPriority w:val="99"/>
    <w:semiHidden/>
    <w:unhideWhenUsed/>
    <w:rsid w:val="00297FDD"/>
    <w:rPr>
      <w:rFonts w:ascii="Times New Roman" w:hAnsi="Times New Roman" w:cs="Times New Roman"/>
      <w:sz w:val="24"/>
      <w:szCs w:val="24"/>
    </w:rPr>
  </w:style>
  <w:style w:type="paragraph" w:styleId="Revision">
    <w:name w:val="Revision"/>
    <w:hidden/>
    <w:uiPriority w:val="99"/>
    <w:semiHidden/>
    <w:rsid w:val="00C940F5"/>
    <w:pPr>
      <w:spacing w:after="0" w:line="240" w:lineRule="auto"/>
    </w:pPr>
  </w:style>
  <w:style w:type="paragraph" w:styleId="TOC1">
    <w:name w:val="toc 1"/>
    <w:basedOn w:val="Normal"/>
    <w:next w:val="Normal"/>
    <w:autoRedefine/>
    <w:uiPriority w:val="39"/>
    <w:unhideWhenUsed/>
    <w:rsid w:val="00364568"/>
    <w:pPr>
      <w:spacing w:after="100"/>
    </w:pPr>
  </w:style>
  <w:style w:type="paragraph" w:styleId="TOC3">
    <w:name w:val="toc 3"/>
    <w:basedOn w:val="Normal"/>
    <w:next w:val="Normal"/>
    <w:autoRedefine/>
    <w:uiPriority w:val="39"/>
    <w:unhideWhenUsed/>
    <w:rsid w:val="00364568"/>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judiciary.uk/wp-content/uploads/2025/01/R-v-Axel-Rudakubana.pdf" TargetMode="External"/><Relationship Id="rId18" Type="http://schemas.openxmlformats.org/officeDocument/2006/relationships/hyperlink" Target="https://insights.doughtystreet.co.uk/post/102k74z/axel-rudakubana-and-the-southport-stabbings-the-obsession-with-redefining-terror"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s://journals.sagepub.com/doi/full/10.1177/0032258X251350879" TargetMode="External"/><Relationship Id="rId7" Type="http://schemas.openxmlformats.org/officeDocument/2006/relationships/endnotes" Target="endnotes.xml"/><Relationship Id="rId12" Type="http://schemas.openxmlformats.org/officeDocument/2006/relationships/hyperlink" Target="https://www.counterterrorism.police.uk/statements-from-merseyside-ctp-lancashire-child-safeguarding/" TargetMode="External"/><Relationship Id="rId17" Type="http://schemas.openxmlformats.org/officeDocument/2006/relationships/hyperlink" Target="https://www.innertemplelibrary.com/2024/08/why-did-a-judge-name-southport-stabbing-suspect-axel-rudakubana/" TargetMode="External"/><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committees.parliament.uk/publications/46701/documents/240327/default/" TargetMode="External"/><Relationship Id="rId20" Type="http://schemas.openxmlformats.org/officeDocument/2006/relationships/hyperlink" Target="https://www.bbc.co.uk/news/articles/c79x07ygv5wo"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bbc.co.uk/news/articles/c74ep44ex27o" TargetMode="External"/><Relationship Id="rId24" Type="http://schemas.openxmlformats.org/officeDocument/2006/relationships/hyperlink" Target="https://www.bbc.co.uk/news/articles/c62egy7pj7xo" TargetMode="External"/><Relationship Id="rId5" Type="http://schemas.openxmlformats.org/officeDocument/2006/relationships/webSettings" Target="webSettings.xml"/><Relationship Id="rId15" Type="http://schemas.openxmlformats.org/officeDocument/2006/relationships/hyperlink" Target="https://www.cps.gov.uk/mersey-cheshire/news/teenager-jailed-killing-three-children-dance-class-and-trying-kill-ten" TargetMode="External"/><Relationship Id="rId23" Type="http://schemas.openxmlformats.org/officeDocument/2006/relationships/hyperlink" Target="https://www.southport.public-inquiry.uk/" TargetMode="External"/><Relationship Id="rId10" Type="http://schemas.openxmlformats.org/officeDocument/2006/relationships/hyperlink" Target="https://www.bbc.co.uk/news/articles/ce8y2erj70yo" TargetMode="External"/><Relationship Id="rId19" Type="http://schemas.openxmlformats.org/officeDocument/2006/relationships/hyperlink" Target="https://www.bbc.co.uk/news/articles/ckgn50xyxwqo"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cps.gov.uk/mersey-cheshire/news/authorises-two-further-charges-against-axel-rudakubana" TargetMode="External"/><Relationship Id="rId22" Type="http://schemas.openxmlformats.org/officeDocument/2006/relationships/hyperlink" Target="https://www.judiciary.uk/wp-content/uploads/2025/01/R-v-Axel-Rudakubana.pdf"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DB85EFF-0CAD-44BF-9098-ECE0E3994C2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11</Pages>
  <Words>2788</Words>
  <Characters>15896</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18647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megan goodier</dc:creator>
  <cp:keywords/>
  <dc:description/>
  <cp:lastModifiedBy>megan goodier</cp:lastModifiedBy>
  <cp:revision>2</cp:revision>
  <dcterms:created xsi:type="dcterms:W3CDTF">2026-05-08T09:23:00Z</dcterms:created>
  <dcterms:modified xsi:type="dcterms:W3CDTF">2026-05-08T09:23:00Z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8dc39297-e48e-4825-934c-9c6472b4bab4</vt:lpwstr>
  </property>
</Properties>
</file>