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C49DE" w14:textId="77777777" w:rsidR="00840D08" w:rsidRPr="004E72C4" w:rsidRDefault="00840D08" w:rsidP="004E72C4">
      <w:pPr>
        <w:spacing w:line="360" w:lineRule="auto"/>
        <w:rPr>
          <w:rFonts w:ascii="Arial" w:hAnsi="Arial" w:cs="Arial"/>
        </w:rPr>
      </w:pPr>
      <w:r w:rsidRPr="004E72C4">
        <w:rPr>
          <w:rFonts w:ascii="Arial" w:hAnsi="Arial" w:cs="Arial"/>
        </w:rPr>
        <w:t>Research</w:t>
      </w:r>
    </w:p>
    <w:p w14:paraId="5D7AB266" w14:textId="77777777" w:rsidR="00840D08" w:rsidRPr="004E72C4" w:rsidRDefault="00840D08" w:rsidP="004E72C4">
      <w:pPr>
        <w:spacing w:line="360" w:lineRule="auto"/>
        <w:rPr>
          <w:rFonts w:ascii="Arial" w:hAnsi="Arial" w:cs="Arial"/>
        </w:rPr>
      </w:pPr>
      <w:r w:rsidRPr="004E72C4">
        <w:rPr>
          <w:rFonts w:ascii="Arial" w:hAnsi="Arial" w:cs="Arial"/>
        </w:rPr>
        <w:t xml:space="preserve">This document supports the application for bail on behalf of Jeremy Hope, who was charged with grievous bodily harm, section 20 of the </w:t>
      </w:r>
      <w:r w:rsidRPr="004E72C4">
        <w:rPr>
          <w:rFonts w:ascii="Arial" w:hAnsi="Arial" w:cs="Arial"/>
          <w:i/>
          <w:iCs/>
        </w:rPr>
        <w:t>Offences Against the Person Act 1861</w:t>
      </w:r>
      <w:r w:rsidRPr="004E72C4">
        <w:rPr>
          <w:rFonts w:ascii="Arial" w:hAnsi="Arial" w:cs="Arial"/>
        </w:rPr>
        <w:t xml:space="preserve">. The police have denied bail, and the defence applies to the court for bail pursuant to the </w:t>
      </w:r>
      <w:r w:rsidRPr="004E72C4">
        <w:rPr>
          <w:rFonts w:ascii="Arial" w:hAnsi="Arial" w:cs="Arial"/>
          <w:i/>
          <w:iCs/>
        </w:rPr>
        <w:t>Bail Act 1976</w:t>
      </w:r>
      <w:r w:rsidRPr="004E72C4">
        <w:rPr>
          <w:rFonts w:ascii="Arial" w:hAnsi="Arial" w:cs="Arial"/>
        </w:rPr>
        <w:t>. The court must start with the presumption that bail should be granted unless there are grounds for refusal (</w:t>
      </w:r>
      <w:r w:rsidRPr="004E72C4">
        <w:rPr>
          <w:rFonts w:ascii="Arial" w:hAnsi="Arial" w:cs="Arial"/>
          <w:i/>
          <w:iCs/>
        </w:rPr>
        <w:t>Bail Act 1976</w:t>
      </w:r>
      <w:r w:rsidRPr="004E72C4">
        <w:rPr>
          <w:rFonts w:ascii="Arial" w:hAnsi="Arial" w:cs="Arial"/>
        </w:rPr>
        <w:t>, s. 4)</w:t>
      </w:r>
    </w:p>
    <w:p w14:paraId="471ACA59" w14:textId="77777777" w:rsidR="00840D08" w:rsidRPr="004E72C4" w:rsidRDefault="00840D08" w:rsidP="004E72C4">
      <w:pPr>
        <w:spacing w:line="360" w:lineRule="auto"/>
        <w:rPr>
          <w:rFonts w:ascii="Arial" w:hAnsi="Arial" w:cs="Arial"/>
        </w:rPr>
      </w:pPr>
    </w:p>
    <w:p w14:paraId="69D18342" w14:textId="77777777" w:rsidR="00840D08" w:rsidRPr="004E72C4" w:rsidRDefault="00840D08" w:rsidP="004E72C4">
      <w:pPr>
        <w:spacing w:line="360" w:lineRule="auto"/>
        <w:rPr>
          <w:rFonts w:ascii="Arial" w:hAnsi="Arial" w:cs="Arial"/>
        </w:rPr>
      </w:pPr>
      <w:r w:rsidRPr="004E72C4">
        <w:rPr>
          <w:rFonts w:ascii="Arial" w:hAnsi="Arial" w:cs="Arial"/>
        </w:rPr>
        <w:t xml:space="preserve">This document will discuss the statutory framework governing bail, analyse any issues that could arise with the prosecution, and apply relevant law to Jeremy Hope's personal circumstances. Finally, it will determine that the presumption in favour of bail should apply, and any risks the prosecution is concerned about can be managed accordingly. </w:t>
      </w:r>
    </w:p>
    <w:p w14:paraId="25A56D65" w14:textId="77777777" w:rsidR="00840D08" w:rsidRPr="004E72C4" w:rsidRDefault="00840D08" w:rsidP="004E72C4">
      <w:pPr>
        <w:spacing w:line="360" w:lineRule="auto"/>
        <w:rPr>
          <w:rFonts w:ascii="Arial" w:hAnsi="Arial" w:cs="Arial"/>
        </w:rPr>
      </w:pPr>
    </w:p>
    <w:p w14:paraId="56627D2D" w14:textId="7534917D" w:rsidR="00840D08" w:rsidRPr="004E72C4" w:rsidRDefault="00840D08" w:rsidP="004E72C4">
      <w:pPr>
        <w:spacing w:line="360" w:lineRule="auto"/>
        <w:rPr>
          <w:rFonts w:ascii="Arial" w:hAnsi="Arial" w:cs="Arial"/>
        </w:rPr>
      </w:pPr>
      <w:r w:rsidRPr="004E72C4">
        <w:rPr>
          <w:rFonts w:ascii="Arial" w:hAnsi="Arial" w:cs="Arial"/>
        </w:rPr>
        <w:t xml:space="preserve">The starting presumption for the court is in favour of bail, stated in section 4 of the </w:t>
      </w:r>
      <w:r w:rsidRPr="004E72C4">
        <w:rPr>
          <w:rFonts w:ascii="Arial" w:hAnsi="Arial" w:cs="Arial"/>
          <w:i/>
          <w:iCs/>
        </w:rPr>
        <w:t>Bail Act 1976</w:t>
      </w:r>
      <w:r w:rsidRPr="004E72C4">
        <w:rPr>
          <w:rFonts w:ascii="Arial" w:hAnsi="Arial" w:cs="Arial"/>
        </w:rPr>
        <w:t>. This supports the view that the court should grant bail prior to a conviction, unless it is necessary to do so. There is an unacceptable risk (</w:t>
      </w:r>
      <w:r w:rsidRPr="004E72C4">
        <w:rPr>
          <w:rFonts w:ascii="Arial" w:hAnsi="Arial" w:cs="Arial"/>
          <w:i/>
          <w:iCs/>
        </w:rPr>
        <w:t>Bail Act 1976</w:t>
      </w:r>
      <w:r w:rsidRPr="004E72C4">
        <w:rPr>
          <w:rFonts w:ascii="Arial" w:hAnsi="Arial" w:cs="Arial"/>
        </w:rPr>
        <w:t xml:space="preserve">, s.4). The presumption applies regardless of the nature of the crime unless it is linked to risk and can only be changed if the prosecution establishes substantial grounds for refusal under the </w:t>
      </w:r>
      <w:r w:rsidRPr="004E72C4">
        <w:rPr>
          <w:rFonts w:ascii="Arial" w:hAnsi="Arial" w:cs="Arial"/>
          <w:i/>
          <w:iCs/>
        </w:rPr>
        <w:t>Bail Act 1976</w:t>
      </w:r>
      <w:r w:rsidRPr="004E72C4">
        <w:rPr>
          <w:rFonts w:ascii="Arial" w:hAnsi="Arial" w:cs="Arial"/>
        </w:rPr>
        <w:t xml:space="preserve">), these principles are further reinforced by the </w:t>
      </w:r>
      <w:r w:rsidRPr="004E72C4">
        <w:rPr>
          <w:rFonts w:ascii="Arial" w:hAnsi="Arial" w:cs="Arial"/>
          <w:i/>
          <w:iCs/>
        </w:rPr>
        <w:t xml:space="preserve">Human </w:t>
      </w:r>
      <w:r w:rsidR="004E72C4" w:rsidRPr="004E72C4">
        <w:rPr>
          <w:rFonts w:ascii="Arial" w:hAnsi="Arial" w:cs="Arial"/>
          <w:i/>
          <w:iCs/>
        </w:rPr>
        <w:t>R</w:t>
      </w:r>
      <w:r w:rsidRPr="004E72C4">
        <w:rPr>
          <w:rFonts w:ascii="Arial" w:hAnsi="Arial" w:cs="Arial"/>
          <w:i/>
          <w:iCs/>
        </w:rPr>
        <w:t xml:space="preserve">ights </w:t>
      </w:r>
      <w:r w:rsidR="004E72C4" w:rsidRPr="004E72C4">
        <w:rPr>
          <w:rFonts w:ascii="Arial" w:hAnsi="Arial" w:cs="Arial"/>
          <w:i/>
          <w:iCs/>
        </w:rPr>
        <w:t>A</w:t>
      </w:r>
      <w:r w:rsidRPr="004E72C4">
        <w:rPr>
          <w:rFonts w:ascii="Arial" w:hAnsi="Arial" w:cs="Arial"/>
          <w:i/>
          <w:iCs/>
        </w:rPr>
        <w:t>ct 1998</w:t>
      </w:r>
      <w:r w:rsidRPr="004E72C4">
        <w:rPr>
          <w:rFonts w:ascii="Arial" w:hAnsi="Arial" w:cs="Arial"/>
        </w:rPr>
        <w:t xml:space="preserve"> article 5, which states a defendant is entitled to release before trial and should only be denied bail when it is reasonably necessary. The exception to this is if the defendant has been charged with murder, rape or manslaughter previously, this removes the prima facie right to bail, and they should only be granted bail in exceptional circumstances (</w:t>
      </w:r>
      <w:r w:rsidRPr="004E72C4">
        <w:rPr>
          <w:rFonts w:ascii="Arial" w:hAnsi="Arial" w:cs="Arial"/>
          <w:i/>
          <w:iCs/>
        </w:rPr>
        <w:t>Criminal Justice Public Order Act 1994</w:t>
      </w:r>
      <w:r w:rsidRPr="004E72C4">
        <w:rPr>
          <w:rFonts w:ascii="Arial" w:hAnsi="Arial" w:cs="Arial"/>
        </w:rPr>
        <w:t>, s.25)</w:t>
      </w:r>
    </w:p>
    <w:p w14:paraId="1B691E1D" w14:textId="77777777" w:rsidR="00840D08" w:rsidRPr="004E72C4" w:rsidRDefault="00840D08" w:rsidP="004E72C4">
      <w:pPr>
        <w:spacing w:line="360" w:lineRule="auto"/>
        <w:rPr>
          <w:rFonts w:ascii="Arial" w:hAnsi="Arial" w:cs="Arial"/>
        </w:rPr>
      </w:pPr>
    </w:p>
    <w:p w14:paraId="2AB4EE31" w14:textId="77777777" w:rsidR="00840D08" w:rsidRPr="004E72C4" w:rsidRDefault="00840D08" w:rsidP="004E72C4">
      <w:pPr>
        <w:spacing w:line="360" w:lineRule="auto"/>
        <w:rPr>
          <w:rFonts w:ascii="Arial" w:hAnsi="Arial" w:cs="Arial"/>
        </w:rPr>
      </w:pPr>
      <w:r w:rsidRPr="004E72C4">
        <w:rPr>
          <w:rFonts w:ascii="Arial" w:hAnsi="Arial" w:cs="Arial"/>
        </w:rPr>
        <w:t xml:space="preserve">Schedule 1 of the </w:t>
      </w:r>
      <w:r w:rsidRPr="004E72C4">
        <w:rPr>
          <w:rFonts w:ascii="Arial" w:hAnsi="Arial" w:cs="Arial"/>
          <w:i/>
          <w:iCs/>
        </w:rPr>
        <w:t>Bail Act 1976</w:t>
      </w:r>
      <w:r w:rsidRPr="004E72C4">
        <w:rPr>
          <w:rFonts w:ascii="Arial" w:hAnsi="Arial" w:cs="Arial"/>
        </w:rPr>
        <w:t xml:space="preserve"> lists the grounds on which bail can be refused. In my client's case, the risks that may be relied upon are failure to surrender to custody, committing another offence while on bail, interfering with witnesses, or causing an obstruction to justice. To deny bail, the court must be satisfied that the reason the grounds are relied upon is not because of speculation or based on the nature of the allegations alone ('R v Nottingham Justices, ex parte Davies' 1981), this was further reinforced in the 'R v Mansfield Justice, ex parte Sharkey' (1985) case, the court has to grant bail unless any risk is supported by evidence and is factual. </w:t>
      </w:r>
    </w:p>
    <w:p w14:paraId="7A22955B" w14:textId="77777777" w:rsidR="00840D08" w:rsidRPr="004E72C4" w:rsidRDefault="00840D08" w:rsidP="004E72C4">
      <w:pPr>
        <w:spacing w:line="360" w:lineRule="auto"/>
        <w:rPr>
          <w:rFonts w:ascii="Arial" w:hAnsi="Arial" w:cs="Arial"/>
        </w:rPr>
      </w:pPr>
    </w:p>
    <w:p w14:paraId="1BC8AFCF" w14:textId="77777777" w:rsidR="00840D08" w:rsidRPr="004E72C4" w:rsidRDefault="00840D08" w:rsidP="004E72C4">
      <w:pPr>
        <w:spacing w:line="360" w:lineRule="auto"/>
        <w:rPr>
          <w:rFonts w:ascii="Arial" w:hAnsi="Arial" w:cs="Arial"/>
        </w:rPr>
      </w:pPr>
      <w:r w:rsidRPr="004E72C4">
        <w:rPr>
          <w:rFonts w:ascii="Arial" w:hAnsi="Arial" w:cs="Arial"/>
        </w:rPr>
        <w:lastRenderedPageBreak/>
        <w:t xml:space="preserve">The defendant, Jeremy Hope, is charged with grievous bodily harm under section 20 of the </w:t>
      </w:r>
      <w:r w:rsidRPr="004E72C4">
        <w:rPr>
          <w:rFonts w:ascii="Arial" w:hAnsi="Arial" w:cs="Arial"/>
          <w:i/>
          <w:iCs/>
        </w:rPr>
        <w:t>Offences Against the Person Act 1861</w:t>
      </w:r>
      <w:r w:rsidRPr="004E72C4">
        <w:rPr>
          <w:rFonts w:ascii="Arial" w:hAnsi="Arial" w:cs="Arial"/>
        </w:rPr>
        <w:t xml:space="preserve">. This is a very serious offence; however, it does not require intent to cause GBH, and recklessness can be sufficient ('R v Savage, R v Parmenter' 1992) The complainants injuries are significant but are said to have no long term affects, they were discharged from the hospital on the same day and there is no forensic evidence or CCTV footage of the incident occurring, the prosecution's case is based largely on the accounts from the complainant and the defendant which are very conflicting. 'R v Nottingham Justices, ex parte Davies' (1981) makes it clear that the seriousness of the case alone cannot amount to remand in custody, and that it must be in relation to a specific bail risk, the severity of the sentence and potential length of the sentence cant alone be the reason Jeremy is not granted bail ('R (Thompson) v Central criminal court' 2006, cited in (CPS 2023) all factors must be assessed. </w:t>
      </w:r>
    </w:p>
    <w:p w14:paraId="7D0D5377" w14:textId="77777777" w:rsidR="00840D08" w:rsidRPr="004E72C4" w:rsidRDefault="00840D08" w:rsidP="004E72C4">
      <w:pPr>
        <w:spacing w:line="360" w:lineRule="auto"/>
        <w:rPr>
          <w:rFonts w:ascii="Arial" w:hAnsi="Arial" w:cs="Arial"/>
        </w:rPr>
      </w:pPr>
    </w:p>
    <w:p w14:paraId="0347F013" w14:textId="77777777" w:rsidR="00840D08" w:rsidRPr="004E72C4" w:rsidRDefault="00840D08" w:rsidP="004E72C4">
      <w:pPr>
        <w:spacing w:line="360" w:lineRule="auto"/>
        <w:rPr>
          <w:rFonts w:ascii="Arial" w:hAnsi="Arial" w:cs="Arial"/>
        </w:rPr>
      </w:pPr>
      <w:r w:rsidRPr="004E72C4">
        <w:rPr>
          <w:rFonts w:ascii="Arial" w:hAnsi="Arial" w:cs="Arial"/>
        </w:rPr>
        <w:t xml:space="preserve">The prosecution will rely on the defendant's past conviction for failing to surrender to custody. Despite this, the </w:t>
      </w:r>
      <w:r w:rsidRPr="004E72C4">
        <w:rPr>
          <w:rFonts w:ascii="Arial" w:hAnsi="Arial" w:cs="Arial"/>
          <w:i/>
          <w:iCs/>
        </w:rPr>
        <w:t>Bail Act 1976</w:t>
      </w:r>
      <w:r w:rsidRPr="004E72C4">
        <w:rPr>
          <w:rFonts w:ascii="Arial" w:hAnsi="Arial" w:cs="Arial"/>
        </w:rPr>
        <w:t>, Schedule 1, highlights that the court must consider the context of the previous conviction rather than using it as a determinative reason not to grant bail. The defendant's previous failure occurred after a road traffic accident in which the defendant was injured and taken straight to the hospital; the court accepted that the failure was not intentional, and the conviction was due to the defendant not surrendering as soon as reasonably possible after his discharge. Historic or reasonably explained failures to surrender do not, by themselves, establish a future risk. ('R v Manchester Crown Court, ex parte McDonald' 1999) The defendant has strong ties to the community, a fixed address, a long-term job, and significant family responsibilities; these factors strongly mitigate the risk of non-attendance. In this case, the hospital attendance and judicially accepted reasons reduce the risk of failing to surrender.</w:t>
      </w:r>
    </w:p>
    <w:p w14:paraId="79D1B57B" w14:textId="77777777" w:rsidR="00840D08" w:rsidRPr="004E72C4" w:rsidRDefault="00840D08" w:rsidP="004E72C4">
      <w:pPr>
        <w:spacing w:line="360" w:lineRule="auto"/>
        <w:rPr>
          <w:rFonts w:ascii="Arial" w:hAnsi="Arial" w:cs="Arial"/>
        </w:rPr>
      </w:pPr>
    </w:p>
    <w:p w14:paraId="7D2C32CF" w14:textId="77777777" w:rsidR="00840D08" w:rsidRPr="004E72C4" w:rsidRDefault="00840D08" w:rsidP="004E72C4">
      <w:pPr>
        <w:spacing w:line="360" w:lineRule="auto"/>
        <w:rPr>
          <w:rFonts w:ascii="Arial" w:hAnsi="Arial" w:cs="Arial"/>
        </w:rPr>
      </w:pPr>
      <w:r w:rsidRPr="004E72C4">
        <w:rPr>
          <w:rFonts w:ascii="Arial" w:hAnsi="Arial" w:cs="Arial"/>
        </w:rPr>
        <w:t>The prosecution might state that the defendants are at risk of committing further offences while on bail due to their previous offences regarding violence; however, the court must examine whether there is a current risk of committing a further offence, as opposed to solely looking at the defendants' past behaviour alone (</w:t>
      </w:r>
      <w:r w:rsidRPr="004E72C4">
        <w:rPr>
          <w:rFonts w:ascii="Arial" w:hAnsi="Arial" w:cs="Arial"/>
          <w:i/>
          <w:iCs/>
        </w:rPr>
        <w:t>Bail Act 1976</w:t>
      </w:r>
      <w:r w:rsidRPr="004E72C4">
        <w:rPr>
          <w:rFonts w:ascii="Arial" w:hAnsi="Arial" w:cs="Arial"/>
        </w:rPr>
        <w:t>). The defendants' past convictions are not recent and happened when they were experiencing a period of instability after the death of their father. At present, the defendant has shown rehabilitation through long-term employment, a stable family life, and no recent offending. The court recognises rehabilitation as a significant factor in mitigating the risk of further reoffending (</w:t>
      </w:r>
      <w:r w:rsidRPr="004E72C4">
        <w:rPr>
          <w:rFonts w:ascii="Arial" w:hAnsi="Arial" w:cs="Arial"/>
          <w:i/>
          <w:iCs/>
        </w:rPr>
        <w:t>Bail Act 1976,</w:t>
      </w:r>
      <w:r w:rsidRPr="004E72C4">
        <w:rPr>
          <w:rFonts w:ascii="Arial" w:hAnsi="Arial" w:cs="Arial"/>
        </w:rPr>
        <w:t xml:space="preserve"> </w:t>
      </w:r>
      <w:proofErr w:type="spellStart"/>
      <w:r w:rsidRPr="004E72C4">
        <w:rPr>
          <w:rFonts w:ascii="Arial" w:hAnsi="Arial" w:cs="Arial"/>
        </w:rPr>
        <w:lastRenderedPageBreak/>
        <w:t>Sch</w:t>
      </w:r>
      <w:proofErr w:type="spellEnd"/>
      <w:r w:rsidRPr="004E72C4">
        <w:rPr>
          <w:rFonts w:ascii="Arial" w:hAnsi="Arial" w:cs="Arial"/>
        </w:rPr>
        <w:t xml:space="preserve"> 1, Para 9). The alleged offence was not committed while Jeremy was on bail, which significantly undermines the argument that he will reoffend if released (</w:t>
      </w:r>
      <w:r w:rsidRPr="004E72C4">
        <w:rPr>
          <w:rFonts w:ascii="Arial" w:hAnsi="Arial" w:cs="Arial"/>
          <w:i/>
          <w:iCs/>
        </w:rPr>
        <w:t>Bail Act 1976</w:t>
      </w:r>
      <w:r w:rsidRPr="004E72C4">
        <w:rPr>
          <w:rFonts w:ascii="Arial" w:hAnsi="Arial" w:cs="Arial"/>
        </w:rPr>
        <w:t xml:space="preserve">). </w:t>
      </w:r>
    </w:p>
    <w:p w14:paraId="23A61B2C" w14:textId="77777777" w:rsidR="00840D08" w:rsidRPr="004E72C4" w:rsidRDefault="00840D08" w:rsidP="004E72C4">
      <w:pPr>
        <w:spacing w:line="360" w:lineRule="auto"/>
        <w:rPr>
          <w:rFonts w:ascii="Arial" w:hAnsi="Arial" w:cs="Arial"/>
        </w:rPr>
      </w:pPr>
    </w:p>
    <w:p w14:paraId="366D3715" w14:textId="77777777" w:rsidR="00840D08" w:rsidRPr="004E72C4" w:rsidRDefault="00840D08" w:rsidP="004E72C4">
      <w:pPr>
        <w:spacing w:line="360" w:lineRule="auto"/>
        <w:rPr>
          <w:rFonts w:ascii="Arial" w:hAnsi="Arial" w:cs="Arial"/>
        </w:rPr>
      </w:pPr>
      <w:r w:rsidRPr="004E72C4">
        <w:rPr>
          <w:rFonts w:ascii="Arial" w:hAnsi="Arial" w:cs="Arial"/>
        </w:rPr>
        <w:t>If there is a substantial risk that the defendant will interfere with the witnesses or obstruct the course of justice, bail can be refused. Still, the risk must be supported by evidence, not mere assertion (</w:t>
      </w:r>
      <w:r w:rsidRPr="004E72C4">
        <w:rPr>
          <w:rFonts w:ascii="Arial" w:hAnsi="Arial" w:cs="Arial"/>
          <w:i/>
          <w:iCs/>
        </w:rPr>
        <w:t>Bail Act 1976</w:t>
      </w:r>
      <w:r w:rsidRPr="004E72C4">
        <w:rPr>
          <w:rFonts w:ascii="Arial" w:hAnsi="Arial" w:cs="Arial"/>
        </w:rPr>
        <w:t xml:space="preserve">, </w:t>
      </w:r>
      <w:proofErr w:type="spellStart"/>
      <w:r w:rsidRPr="004E72C4">
        <w:rPr>
          <w:rFonts w:ascii="Arial" w:hAnsi="Arial" w:cs="Arial"/>
        </w:rPr>
        <w:t>Sch</w:t>
      </w:r>
      <w:proofErr w:type="spellEnd"/>
      <w:r w:rsidRPr="004E72C4">
        <w:rPr>
          <w:rFonts w:ascii="Arial" w:hAnsi="Arial" w:cs="Arial"/>
        </w:rPr>
        <w:t xml:space="preserve"> 1, para 2). In this case, the complainant and the defendant are strangers. No evidence has been presented that the defendant has attempted to contact the complainant after the incident. The defendant denies making the threat, and it is uncorroborated. Any risks associated with bail can be effectively managed with set bail conditions, and bail refusal is unjustified.</w:t>
      </w:r>
    </w:p>
    <w:p w14:paraId="16E70124" w14:textId="77777777" w:rsidR="00840D08" w:rsidRPr="004E72C4" w:rsidRDefault="00840D08" w:rsidP="004E72C4">
      <w:pPr>
        <w:spacing w:line="360" w:lineRule="auto"/>
        <w:rPr>
          <w:rFonts w:ascii="Arial" w:hAnsi="Arial" w:cs="Arial"/>
        </w:rPr>
      </w:pPr>
    </w:p>
    <w:p w14:paraId="372373C2" w14:textId="77777777" w:rsidR="00840D08" w:rsidRPr="004E72C4" w:rsidRDefault="00840D08" w:rsidP="004E72C4">
      <w:pPr>
        <w:spacing w:line="360" w:lineRule="auto"/>
        <w:rPr>
          <w:rFonts w:ascii="Arial" w:hAnsi="Arial" w:cs="Arial"/>
        </w:rPr>
      </w:pPr>
      <w:r w:rsidRPr="004E72C4">
        <w:rPr>
          <w:rFonts w:ascii="Arial" w:hAnsi="Arial" w:cs="Arial"/>
        </w:rPr>
        <w:t xml:space="preserve">Section 3 of the </w:t>
      </w:r>
      <w:r w:rsidRPr="004E72C4">
        <w:rPr>
          <w:rFonts w:ascii="Arial" w:hAnsi="Arial" w:cs="Arial"/>
          <w:i/>
          <w:iCs/>
        </w:rPr>
        <w:t>Bail Act 1976</w:t>
      </w:r>
      <w:r w:rsidRPr="004E72C4">
        <w:rPr>
          <w:rFonts w:ascii="Arial" w:hAnsi="Arial" w:cs="Arial"/>
        </w:rPr>
        <w:t xml:space="preserve"> encourages the use of bail conditions to mitigate risks rather than remanding defendants in custody. There are conditions such as residence requirements, reporting to the police station, no-contact provisions, and exclusion zones; these can all help manage the risk of bail and address attendance issues, reoffending, and witness interference. In the present case, any risks can be alleviated with the necessary conditions, making detention unnecessary, but conditions must be proportionate to the risks and cannot be unnecessarily restrictive ('R v Kwame' 1978).</w:t>
      </w:r>
    </w:p>
    <w:p w14:paraId="661C9D5C" w14:textId="77777777" w:rsidR="00840D08" w:rsidRPr="004E72C4" w:rsidRDefault="00840D08" w:rsidP="004E72C4">
      <w:pPr>
        <w:spacing w:line="360" w:lineRule="auto"/>
        <w:rPr>
          <w:rFonts w:ascii="Arial" w:hAnsi="Arial" w:cs="Arial"/>
        </w:rPr>
      </w:pPr>
    </w:p>
    <w:p w14:paraId="72CDC1FD" w14:textId="77777777" w:rsidR="00840D08" w:rsidRPr="004E72C4" w:rsidRDefault="00840D08" w:rsidP="004E72C4">
      <w:pPr>
        <w:spacing w:line="360" w:lineRule="auto"/>
        <w:rPr>
          <w:rFonts w:ascii="Arial" w:hAnsi="Arial" w:cs="Arial"/>
        </w:rPr>
      </w:pPr>
      <w:r w:rsidRPr="004E72C4">
        <w:rPr>
          <w:rFonts w:ascii="Arial" w:hAnsi="Arial" w:cs="Arial"/>
        </w:rPr>
        <w:t xml:space="preserve">The </w:t>
      </w:r>
      <w:r w:rsidRPr="004E72C4">
        <w:rPr>
          <w:rFonts w:ascii="Arial" w:hAnsi="Arial" w:cs="Arial"/>
          <w:i/>
          <w:iCs/>
        </w:rPr>
        <w:t>Bail Act 1976</w:t>
      </w:r>
      <w:r w:rsidRPr="004E72C4">
        <w:rPr>
          <w:rFonts w:ascii="Arial" w:hAnsi="Arial" w:cs="Arial"/>
        </w:rPr>
        <w:t xml:space="preserve">, Schedule 1, does allow the court to consider the defendant's personal circumstances. In this case, he is the primary carer for his wife, who has motor neurone disease and for his young child. Personal hardship does not guarantee bail, but the court has recognised that denying bail to defendants could have a significant impact on dependants and will take this into account when balancing the right to bail with the risks ('R v Manchester Crown Court, ex parte McDonald' 1999). </w:t>
      </w:r>
    </w:p>
    <w:p w14:paraId="5A97F282" w14:textId="77777777" w:rsidR="00840D08" w:rsidRPr="004E72C4" w:rsidRDefault="00840D08" w:rsidP="004E72C4">
      <w:pPr>
        <w:spacing w:line="360" w:lineRule="auto"/>
        <w:rPr>
          <w:rFonts w:ascii="Arial" w:hAnsi="Arial" w:cs="Arial"/>
        </w:rPr>
      </w:pPr>
    </w:p>
    <w:p w14:paraId="123F38C6" w14:textId="77777777" w:rsidR="00840D08" w:rsidRPr="004E72C4" w:rsidRDefault="00840D08" w:rsidP="004E72C4">
      <w:pPr>
        <w:spacing w:line="360" w:lineRule="auto"/>
        <w:rPr>
          <w:rFonts w:ascii="Arial" w:hAnsi="Arial" w:cs="Arial"/>
        </w:rPr>
      </w:pPr>
      <w:r w:rsidRPr="004E72C4">
        <w:rPr>
          <w:rFonts w:ascii="Arial" w:hAnsi="Arial" w:cs="Arial"/>
        </w:rPr>
        <w:t xml:space="preserve">When considering the initial presumption in favour of bail and the factors set out in Schedule 1 of the </w:t>
      </w:r>
      <w:r w:rsidRPr="004E72C4">
        <w:rPr>
          <w:rFonts w:ascii="Arial" w:hAnsi="Arial" w:cs="Arial"/>
          <w:i/>
          <w:iCs/>
        </w:rPr>
        <w:t>Bail Act 1976</w:t>
      </w:r>
      <w:r w:rsidRPr="004E72C4">
        <w:rPr>
          <w:rFonts w:ascii="Arial" w:hAnsi="Arial" w:cs="Arial"/>
        </w:rPr>
        <w:t xml:space="preserve">, the defendant should be granted bail, and the prosecution has failed to establish any risks that are substantial enough for the defendant to remain in custody; any identifiable risks can be alleviated with sufficient bail conditions. </w:t>
      </w:r>
    </w:p>
    <w:p w14:paraId="1E71CBB7" w14:textId="77777777" w:rsidR="00840D08" w:rsidRPr="004E72C4" w:rsidRDefault="00840D08" w:rsidP="004E72C4">
      <w:pPr>
        <w:spacing w:line="360" w:lineRule="auto"/>
        <w:rPr>
          <w:rFonts w:ascii="Arial" w:hAnsi="Arial" w:cs="Arial"/>
        </w:rPr>
      </w:pPr>
    </w:p>
    <w:p w14:paraId="349CDD57" w14:textId="77777777" w:rsidR="004E72C4" w:rsidRDefault="004E72C4" w:rsidP="004E72C4">
      <w:pPr>
        <w:spacing w:line="360" w:lineRule="auto"/>
        <w:rPr>
          <w:rFonts w:ascii="Arial" w:hAnsi="Arial" w:cs="Arial"/>
        </w:rPr>
      </w:pPr>
    </w:p>
    <w:p w14:paraId="0EA0DF69" w14:textId="078FD9A2" w:rsidR="00840D08" w:rsidRPr="004E72C4" w:rsidRDefault="00840D08" w:rsidP="004E72C4">
      <w:pPr>
        <w:spacing w:line="360" w:lineRule="auto"/>
        <w:rPr>
          <w:rFonts w:ascii="Arial" w:hAnsi="Arial" w:cs="Arial"/>
        </w:rPr>
      </w:pPr>
      <w:r w:rsidRPr="004E72C4">
        <w:rPr>
          <w:rFonts w:ascii="Arial" w:hAnsi="Arial" w:cs="Arial"/>
        </w:rPr>
        <w:lastRenderedPageBreak/>
        <w:t>Speaking notes</w:t>
      </w:r>
    </w:p>
    <w:p w14:paraId="4CA76DE6" w14:textId="77777777" w:rsidR="00840D08" w:rsidRPr="004E72C4" w:rsidRDefault="00840D08" w:rsidP="004E72C4">
      <w:pPr>
        <w:spacing w:line="360" w:lineRule="auto"/>
        <w:rPr>
          <w:rFonts w:ascii="Arial" w:hAnsi="Arial" w:cs="Arial"/>
        </w:rPr>
      </w:pPr>
      <w:r w:rsidRPr="004E72C4">
        <w:rPr>
          <w:rFonts w:ascii="Arial" w:hAnsi="Arial" w:cs="Arial"/>
        </w:rPr>
        <w:t>Good morning, Judge. I appear on behalf of Jeremy Hope, the defendant</w:t>
      </w:r>
    </w:p>
    <w:p w14:paraId="4E2FF795" w14:textId="77777777" w:rsidR="00840D08" w:rsidRPr="004E72C4" w:rsidRDefault="00840D08" w:rsidP="004E72C4">
      <w:pPr>
        <w:spacing w:line="360" w:lineRule="auto"/>
        <w:rPr>
          <w:rFonts w:ascii="Arial" w:hAnsi="Arial" w:cs="Arial"/>
        </w:rPr>
      </w:pPr>
      <w:r w:rsidRPr="004E72C4">
        <w:rPr>
          <w:rFonts w:ascii="Arial" w:hAnsi="Arial" w:cs="Arial"/>
        </w:rPr>
        <w:t>Application for bail after the police refused</w:t>
      </w:r>
    </w:p>
    <w:p w14:paraId="2139DF9B" w14:textId="77777777" w:rsidR="00840D08" w:rsidRPr="004E72C4" w:rsidRDefault="00840D08" w:rsidP="004E72C4">
      <w:pPr>
        <w:spacing w:line="360" w:lineRule="auto"/>
        <w:rPr>
          <w:rFonts w:ascii="Arial" w:hAnsi="Arial" w:cs="Arial"/>
        </w:rPr>
      </w:pPr>
      <w:r w:rsidRPr="004E72C4">
        <w:rPr>
          <w:rFonts w:ascii="Arial" w:hAnsi="Arial" w:cs="Arial"/>
        </w:rPr>
        <w:t>Charge is GBH s.20 Offences Against the Person Act 1861</w:t>
      </w:r>
    </w:p>
    <w:p w14:paraId="4443F3EE" w14:textId="77777777" w:rsidR="00840D08" w:rsidRPr="004E72C4" w:rsidRDefault="00840D08" w:rsidP="004E72C4">
      <w:pPr>
        <w:spacing w:line="360" w:lineRule="auto"/>
        <w:rPr>
          <w:rFonts w:ascii="Arial" w:hAnsi="Arial" w:cs="Arial"/>
        </w:rPr>
      </w:pPr>
      <w:proofErr w:type="spellStart"/>
      <w:r w:rsidRPr="004E72C4">
        <w:rPr>
          <w:rFonts w:ascii="Arial" w:hAnsi="Arial" w:cs="Arial"/>
        </w:rPr>
        <w:t>Plea</w:t>
      </w:r>
      <w:proofErr w:type="spellEnd"/>
      <w:r w:rsidRPr="004E72C4">
        <w:rPr>
          <w:rFonts w:ascii="Arial" w:hAnsi="Arial" w:cs="Arial"/>
        </w:rPr>
        <w:t xml:space="preserve"> not guilty.</w:t>
      </w:r>
    </w:p>
    <w:p w14:paraId="7DF1DB42" w14:textId="77777777" w:rsidR="00840D08" w:rsidRPr="004E72C4" w:rsidRDefault="00840D08" w:rsidP="004E72C4">
      <w:pPr>
        <w:spacing w:line="360" w:lineRule="auto"/>
        <w:rPr>
          <w:rFonts w:ascii="Arial" w:hAnsi="Arial" w:cs="Arial"/>
        </w:rPr>
      </w:pPr>
    </w:p>
    <w:p w14:paraId="42755F19" w14:textId="77777777" w:rsidR="00840D08" w:rsidRPr="004E72C4" w:rsidRDefault="00840D08" w:rsidP="004E72C4">
      <w:pPr>
        <w:spacing w:line="360" w:lineRule="auto"/>
        <w:rPr>
          <w:rFonts w:ascii="Arial" w:hAnsi="Arial" w:cs="Arial"/>
        </w:rPr>
      </w:pPr>
      <w:r w:rsidRPr="004E72C4">
        <w:rPr>
          <w:rFonts w:ascii="Arial" w:hAnsi="Arial" w:cs="Arial"/>
        </w:rPr>
        <w:t xml:space="preserve">Presumption in favour of bail under s.4 </w:t>
      </w:r>
      <w:r w:rsidRPr="004E72C4">
        <w:rPr>
          <w:rFonts w:ascii="Arial" w:hAnsi="Arial" w:cs="Arial"/>
          <w:i/>
          <w:iCs/>
        </w:rPr>
        <w:t>Bail Act 1976</w:t>
      </w:r>
    </w:p>
    <w:p w14:paraId="2BCE201E" w14:textId="77777777" w:rsidR="00840D08" w:rsidRPr="004E72C4" w:rsidRDefault="00840D08" w:rsidP="004E72C4">
      <w:pPr>
        <w:spacing w:line="360" w:lineRule="auto"/>
        <w:rPr>
          <w:rFonts w:ascii="Arial" w:hAnsi="Arial" w:cs="Arial"/>
        </w:rPr>
      </w:pPr>
      <w:r w:rsidRPr="004E72C4">
        <w:rPr>
          <w:rFonts w:ascii="Arial" w:hAnsi="Arial" w:cs="Arial"/>
        </w:rPr>
        <w:t xml:space="preserve">Prosecution to rebut that </w:t>
      </w:r>
    </w:p>
    <w:p w14:paraId="1DB2F72B" w14:textId="77777777" w:rsidR="00840D08" w:rsidRPr="004E72C4" w:rsidRDefault="00840D08" w:rsidP="004E72C4">
      <w:pPr>
        <w:spacing w:line="360" w:lineRule="auto"/>
        <w:rPr>
          <w:rFonts w:ascii="Arial" w:hAnsi="Arial" w:cs="Arial"/>
        </w:rPr>
      </w:pPr>
      <w:r w:rsidRPr="004E72C4">
        <w:rPr>
          <w:rFonts w:ascii="Arial" w:hAnsi="Arial" w:cs="Arial"/>
        </w:rPr>
        <w:t>Must have substantial ground to believe that the defendant would fail to surrender, reoffend on bail, interfere with a witness or obstruct justice</w:t>
      </w:r>
    </w:p>
    <w:p w14:paraId="75C0DF0B" w14:textId="77777777" w:rsidR="00840D08" w:rsidRPr="004E72C4" w:rsidRDefault="00840D08" w:rsidP="004E72C4">
      <w:pPr>
        <w:spacing w:line="360" w:lineRule="auto"/>
        <w:rPr>
          <w:rFonts w:ascii="Arial" w:hAnsi="Arial" w:cs="Arial"/>
        </w:rPr>
      </w:pPr>
      <w:r w:rsidRPr="004E72C4">
        <w:rPr>
          <w:rFonts w:ascii="Arial" w:hAnsi="Arial" w:cs="Arial"/>
        </w:rPr>
        <w:t xml:space="preserve">Any risk </w:t>
      </w:r>
      <w:proofErr w:type="gramStart"/>
      <w:r w:rsidRPr="004E72C4">
        <w:rPr>
          <w:rFonts w:ascii="Arial" w:hAnsi="Arial" w:cs="Arial"/>
        </w:rPr>
        <w:t>has to</w:t>
      </w:r>
      <w:proofErr w:type="gramEnd"/>
      <w:r w:rsidRPr="004E72C4">
        <w:rPr>
          <w:rFonts w:ascii="Arial" w:hAnsi="Arial" w:cs="Arial"/>
        </w:rPr>
        <w:t xml:space="preserve"> be evidence-based and not speculative ('R v Mansfield Justice, ex parte Sharkey' 1985) </w:t>
      </w:r>
    </w:p>
    <w:p w14:paraId="0339B292" w14:textId="77777777" w:rsidR="00840D08" w:rsidRPr="004E72C4" w:rsidRDefault="00840D08" w:rsidP="004E72C4">
      <w:pPr>
        <w:spacing w:line="360" w:lineRule="auto"/>
        <w:rPr>
          <w:rFonts w:ascii="Arial" w:hAnsi="Arial" w:cs="Arial"/>
        </w:rPr>
      </w:pPr>
      <w:r w:rsidRPr="004E72C4">
        <w:rPr>
          <w:rFonts w:ascii="Arial" w:hAnsi="Arial" w:cs="Arial"/>
        </w:rPr>
        <w:t xml:space="preserve">Further supported by Article 5 of the </w:t>
      </w:r>
      <w:r w:rsidRPr="004E72C4">
        <w:rPr>
          <w:rFonts w:ascii="Arial" w:hAnsi="Arial" w:cs="Arial"/>
          <w:i/>
          <w:iCs/>
        </w:rPr>
        <w:t>Human Rights Act 1998</w:t>
      </w:r>
      <w:r w:rsidRPr="004E72C4">
        <w:rPr>
          <w:rFonts w:ascii="Arial" w:hAnsi="Arial" w:cs="Arial"/>
        </w:rPr>
        <w:t>, the right to liberty prior to trial.</w:t>
      </w:r>
    </w:p>
    <w:p w14:paraId="57842B08" w14:textId="77777777" w:rsidR="00840D08" w:rsidRPr="004E72C4" w:rsidRDefault="00840D08" w:rsidP="004E72C4">
      <w:pPr>
        <w:spacing w:line="360" w:lineRule="auto"/>
        <w:rPr>
          <w:rFonts w:ascii="Arial" w:hAnsi="Arial" w:cs="Arial"/>
        </w:rPr>
      </w:pPr>
      <w:r w:rsidRPr="004E72C4">
        <w:rPr>
          <w:rFonts w:ascii="Arial" w:hAnsi="Arial" w:cs="Arial"/>
        </w:rPr>
        <w:t>Does not depend on the seriousness of the crime</w:t>
      </w:r>
    </w:p>
    <w:p w14:paraId="0473C142" w14:textId="77777777" w:rsidR="00840D08" w:rsidRPr="004E72C4" w:rsidRDefault="00840D08" w:rsidP="004E72C4">
      <w:pPr>
        <w:spacing w:line="360" w:lineRule="auto"/>
        <w:rPr>
          <w:rFonts w:ascii="Arial" w:hAnsi="Arial" w:cs="Arial"/>
        </w:rPr>
      </w:pPr>
      <w:r w:rsidRPr="004E72C4">
        <w:rPr>
          <w:rFonts w:ascii="Arial" w:hAnsi="Arial" w:cs="Arial"/>
        </w:rPr>
        <w:t>Even if there is a significant sentence that may cause temptation to abscond, it cannot by itself justify not granting bail. bail ('R (Thompson) v Central criminal court' 2006, cited in (CPS 2023).</w:t>
      </w:r>
    </w:p>
    <w:p w14:paraId="67C9A1F1" w14:textId="77777777" w:rsidR="00840D08" w:rsidRPr="004E72C4" w:rsidRDefault="00840D08" w:rsidP="004E72C4">
      <w:pPr>
        <w:spacing w:line="360" w:lineRule="auto"/>
        <w:rPr>
          <w:rFonts w:ascii="Arial" w:hAnsi="Arial" w:cs="Arial"/>
        </w:rPr>
      </w:pPr>
    </w:p>
    <w:p w14:paraId="3D5697C2" w14:textId="77777777" w:rsidR="00840D08" w:rsidRPr="004E72C4" w:rsidRDefault="00840D08" w:rsidP="004E72C4">
      <w:pPr>
        <w:spacing w:line="360" w:lineRule="auto"/>
        <w:rPr>
          <w:rFonts w:ascii="Arial" w:hAnsi="Arial" w:cs="Arial"/>
        </w:rPr>
      </w:pPr>
      <w:r w:rsidRPr="004E72C4">
        <w:rPr>
          <w:rFonts w:ascii="Arial" w:hAnsi="Arial" w:cs="Arial"/>
        </w:rPr>
        <w:t xml:space="preserve">s.20 GBH does not require intent; recklessness can be sufficient ('R v Savage and R V Parmenter' 1992) </w:t>
      </w:r>
    </w:p>
    <w:p w14:paraId="3E08B4F5" w14:textId="77777777" w:rsidR="00840D08" w:rsidRPr="004E72C4" w:rsidRDefault="00840D08" w:rsidP="004E72C4">
      <w:pPr>
        <w:spacing w:line="360" w:lineRule="auto"/>
        <w:rPr>
          <w:rFonts w:ascii="Arial" w:hAnsi="Arial" w:cs="Arial"/>
        </w:rPr>
      </w:pPr>
      <w:r w:rsidRPr="004E72C4">
        <w:rPr>
          <w:rFonts w:ascii="Arial" w:hAnsi="Arial" w:cs="Arial"/>
        </w:rPr>
        <w:t>Injuries are serious, but no long-term effects and the patient was discharged the same day, with no CCTV, no forensic evidence, and the defence and complainant have conflicting accounts.</w:t>
      </w:r>
    </w:p>
    <w:p w14:paraId="6F12FFC8" w14:textId="77777777" w:rsidR="00840D08" w:rsidRPr="004E72C4" w:rsidRDefault="00840D08" w:rsidP="004E72C4">
      <w:pPr>
        <w:spacing w:line="360" w:lineRule="auto"/>
        <w:rPr>
          <w:rFonts w:ascii="Arial" w:hAnsi="Arial" w:cs="Arial"/>
        </w:rPr>
      </w:pPr>
      <w:r w:rsidRPr="004E72C4">
        <w:rPr>
          <w:rFonts w:ascii="Arial" w:hAnsi="Arial" w:cs="Arial"/>
        </w:rPr>
        <w:t>Seriousness of crime alone does not amount to staying in custody, 'R v Nottingham Magistrates Court, ex parte Davies' (1981).</w:t>
      </w:r>
    </w:p>
    <w:p w14:paraId="46EB8142" w14:textId="77777777" w:rsidR="00840D08" w:rsidRPr="004E72C4" w:rsidRDefault="00840D08" w:rsidP="004E72C4">
      <w:pPr>
        <w:spacing w:line="360" w:lineRule="auto"/>
        <w:rPr>
          <w:rFonts w:ascii="Arial" w:hAnsi="Arial" w:cs="Arial"/>
        </w:rPr>
      </w:pPr>
    </w:p>
    <w:p w14:paraId="53CAA681" w14:textId="77777777" w:rsidR="00840D08" w:rsidRPr="004E72C4" w:rsidRDefault="00840D08" w:rsidP="004E72C4">
      <w:pPr>
        <w:spacing w:line="360" w:lineRule="auto"/>
        <w:rPr>
          <w:rFonts w:ascii="Arial" w:hAnsi="Arial" w:cs="Arial"/>
        </w:rPr>
      </w:pPr>
      <w:r w:rsidRPr="004E72C4">
        <w:rPr>
          <w:rFonts w:ascii="Arial" w:hAnsi="Arial" w:cs="Arial"/>
        </w:rPr>
        <w:t>Failure to surrender</w:t>
      </w:r>
    </w:p>
    <w:p w14:paraId="2062816D" w14:textId="77777777" w:rsidR="00840D08" w:rsidRPr="004E72C4" w:rsidRDefault="00840D08" w:rsidP="004E72C4">
      <w:pPr>
        <w:spacing w:line="360" w:lineRule="auto"/>
        <w:rPr>
          <w:rFonts w:ascii="Arial" w:hAnsi="Arial" w:cs="Arial"/>
        </w:rPr>
      </w:pPr>
      <w:r w:rsidRPr="004E72C4">
        <w:rPr>
          <w:rFonts w:ascii="Arial" w:hAnsi="Arial" w:cs="Arial"/>
        </w:rPr>
        <w:t xml:space="preserve">May rely on previous conviction </w:t>
      </w:r>
    </w:p>
    <w:p w14:paraId="7E0BEEE9" w14:textId="77777777" w:rsidR="00840D08" w:rsidRPr="004E72C4" w:rsidRDefault="00840D08" w:rsidP="004E72C4">
      <w:pPr>
        <w:spacing w:line="360" w:lineRule="auto"/>
        <w:rPr>
          <w:rFonts w:ascii="Arial" w:hAnsi="Arial" w:cs="Arial"/>
        </w:rPr>
      </w:pPr>
      <w:r w:rsidRPr="004E72C4">
        <w:rPr>
          <w:rFonts w:ascii="Arial" w:hAnsi="Arial" w:cs="Arial"/>
        </w:rPr>
        <w:lastRenderedPageBreak/>
        <w:t xml:space="preserve">Road traffic accident; taken to hospital immediately; the court accepted it was not his fault; did not surrender as soon as reasonably possible. </w:t>
      </w:r>
    </w:p>
    <w:p w14:paraId="2AD96951" w14:textId="77777777" w:rsidR="00840D08" w:rsidRPr="004E72C4" w:rsidRDefault="00840D08" w:rsidP="004E72C4">
      <w:pPr>
        <w:spacing w:line="360" w:lineRule="auto"/>
        <w:rPr>
          <w:rFonts w:ascii="Arial" w:hAnsi="Arial" w:cs="Arial"/>
        </w:rPr>
      </w:pPr>
      <w:r w:rsidRPr="004E72C4">
        <w:rPr>
          <w:rFonts w:ascii="Arial" w:hAnsi="Arial" w:cs="Arial"/>
        </w:rPr>
        <w:t xml:space="preserve">Past failures do not establish a failure risk straight away, 'R v Manchester Crown Court, ex parte McDonald' (1999) </w:t>
      </w:r>
    </w:p>
    <w:p w14:paraId="71AA07E3" w14:textId="77777777" w:rsidR="00840D08" w:rsidRPr="004E72C4" w:rsidRDefault="00840D08" w:rsidP="004E72C4">
      <w:pPr>
        <w:spacing w:line="360" w:lineRule="auto"/>
        <w:rPr>
          <w:rFonts w:ascii="Arial" w:hAnsi="Arial" w:cs="Arial"/>
        </w:rPr>
      </w:pPr>
      <w:r w:rsidRPr="004E72C4">
        <w:rPr>
          <w:rFonts w:ascii="Arial" w:hAnsi="Arial" w:cs="Arial"/>
        </w:rPr>
        <w:t>Factors reducing risk: fixed home address, employed long term (10 years), a dependent child, wife with a serious illness</w:t>
      </w:r>
    </w:p>
    <w:p w14:paraId="22FD89E6" w14:textId="77777777" w:rsidR="00840D08" w:rsidRPr="004E72C4" w:rsidRDefault="00840D08" w:rsidP="004E72C4">
      <w:pPr>
        <w:spacing w:line="360" w:lineRule="auto"/>
        <w:rPr>
          <w:rFonts w:ascii="Arial" w:hAnsi="Arial" w:cs="Arial"/>
        </w:rPr>
      </w:pPr>
      <w:r w:rsidRPr="004E72C4">
        <w:rPr>
          <w:rFonts w:ascii="Arial" w:hAnsi="Arial" w:cs="Arial"/>
        </w:rPr>
        <w:t>No substantial ground to believe he would not surrender.</w:t>
      </w:r>
    </w:p>
    <w:p w14:paraId="73A00EE6" w14:textId="77777777" w:rsidR="00840D08" w:rsidRPr="004E72C4" w:rsidRDefault="00840D08" w:rsidP="004E72C4">
      <w:pPr>
        <w:spacing w:line="360" w:lineRule="auto"/>
        <w:rPr>
          <w:rFonts w:ascii="Arial" w:hAnsi="Arial" w:cs="Arial"/>
        </w:rPr>
      </w:pPr>
    </w:p>
    <w:p w14:paraId="5E687F4B" w14:textId="77777777" w:rsidR="00840D08" w:rsidRPr="004E72C4" w:rsidRDefault="00840D08" w:rsidP="004E72C4">
      <w:pPr>
        <w:spacing w:line="360" w:lineRule="auto"/>
        <w:rPr>
          <w:rFonts w:ascii="Arial" w:hAnsi="Arial" w:cs="Arial"/>
        </w:rPr>
      </w:pPr>
      <w:r w:rsidRPr="004E72C4">
        <w:rPr>
          <w:rFonts w:ascii="Arial" w:hAnsi="Arial" w:cs="Arial"/>
        </w:rPr>
        <w:t>Committing further offences</w:t>
      </w:r>
    </w:p>
    <w:p w14:paraId="69E85642" w14:textId="77777777" w:rsidR="00840D08" w:rsidRPr="004E72C4" w:rsidRDefault="00840D08" w:rsidP="004E72C4">
      <w:pPr>
        <w:spacing w:line="360" w:lineRule="auto"/>
        <w:rPr>
          <w:rFonts w:ascii="Arial" w:hAnsi="Arial" w:cs="Arial"/>
        </w:rPr>
      </w:pPr>
      <w:r w:rsidRPr="004E72C4">
        <w:rPr>
          <w:rFonts w:ascii="Arial" w:hAnsi="Arial" w:cs="Arial"/>
        </w:rPr>
        <w:t>The prosecution could use a prior conviction for violence to deny bail.</w:t>
      </w:r>
    </w:p>
    <w:p w14:paraId="1141FF0A" w14:textId="77777777" w:rsidR="00840D08" w:rsidRPr="004E72C4" w:rsidRDefault="00840D08" w:rsidP="004E72C4">
      <w:pPr>
        <w:spacing w:line="360" w:lineRule="auto"/>
        <w:rPr>
          <w:rFonts w:ascii="Arial" w:hAnsi="Arial" w:cs="Arial"/>
        </w:rPr>
      </w:pPr>
      <w:r w:rsidRPr="004E72C4">
        <w:rPr>
          <w:rFonts w:ascii="Arial" w:hAnsi="Arial" w:cs="Arial"/>
        </w:rPr>
        <w:t xml:space="preserve">The court must look at the risk now, not their previous conduct </w:t>
      </w:r>
    </w:p>
    <w:p w14:paraId="2BE1ED0A" w14:textId="77777777" w:rsidR="00840D08" w:rsidRPr="004E72C4" w:rsidRDefault="00840D08" w:rsidP="004E72C4">
      <w:pPr>
        <w:spacing w:line="360" w:lineRule="auto"/>
        <w:rPr>
          <w:rFonts w:ascii="Arial" w:hAnsi="Arial" w:cs="Arial"/>
        </w:rPr>
      </w:pPr>
      <w:r w:rsidRPr="004E72C4">
        <w:rPr>
          <w:rFonts w:ascii="Arial" w:hAnsi="Arial" w:cs="Arial"/>
        </w:rPr>
        <w:t>Past offences were when the defendant lacked stability, was experiencing bereavement and alcohol use</w:t>
      </w:r>
    </w:p>
    <w:p w14:paraId="154F5A46" w14:textId="77777777" w:rsidR="00840D08" w:rsidRPr="004E72C4" w:rsidRDefault="00840D08" w:rsidP="004E72C4">
      <w:pPr>
        <w:spacing w:line="360" w:lineRule="auto"/>
        <w:rPr>
          <w:rFonts w:ascii="Arial" w:hAnsi="Arial" w:cs="Arial"/>
        </w:rPr>
      </w:pPr>
      <w:r w:rsidRPr="004E72C4">
        <w:rPr>
          <w:rFonts w:ascii="Arial" w:hAnsi="Arial" w:cs="Arial"/>
        </w:rPr>
        <w:t>Rehabilitation has occurred</w:t>
      </w:r>
    </w:p>
    <w:p w14:paraId="2046E767" w14:textId="77777777" w:rsidR="00840D08" w:rsidRPr="004E72C4" w:rsidRDefault="00840D08" w:rsidP="004E72C4">
      <w:pPr>
        <w:spacing w:line="360" w:lineRule="auto"/>
        <w:rPr>
          <w:rFonts w:ascii="Arial" w:hAnsi="Arial" w:cs="Arial"/>
        </w:rPr>
      </w:pPr>
      <w:r w:rsidRPr="004E72C4">
        <w:rPr>
          <w:rFonts w:ascii="Arial" w:hAnsi="Arial" w:cs="Arial"/>
        </w:rPr>
        <w:t>Stable long-term employment, no recent offences, family life</w:t>
      </w:r>
    </w:p>
    <w:p w14:paraId="5B282831" w14:textId="77777777" w:rsidR="00840D08" w:rsidRPr="004E72C4" w:rsidRDefault="00840D08" w:rsidP="004E72C4">
      <w:pPr>
        <w:spacing w:line="360" w:lineRule="auto"/>
        <w:rPr>
          <w:rFonts w:ascii="Arial" w:hAnsi="Arial" w:cs="Arial"/>
        </w:rPr>
      </w:pPr>
      <w:r w:rsidRPr="004E72C4">
        <w:rPr>
          <w:rFonts w:ascii="Arial" w:hAnsi="Arial" w:cs="Arial"/>
        </w:rPr>
        <w:t>Rehabilitation mitigates risks of reoffending (</w:t>
      </w:r>
      <w:r w:rsidRPr="004E72C4">
        <w:rPr>
          <w:rFonts w:ascii="Arial" w:hAnsi="Arial" w:cs="Arial"/>
          <w:i/>
          <w:iCs/>
        </w:rPr>
        <w:t>Bail Act 1976</w:t>
      </w:r>
      <w:r w:rsidRPr="004E72C4">
        <w:rPr>
          <w:rFonts w:ascii="Arial" w:hAnsi="Arial" w:cs="Arial"/>
        </w:rPr>
        <w:t xml:space="preserve">, </w:t>
      </w:r>
      <w:proofErr w:type="spellStart"/>
      <w:r w:rsidRPr="004E72C4">
        <w:rPr>
          <w:rFonts w:ascii="Arial" w:hAnsi="Arial" w:cs="Arial"/>
        </w:rPr>
        <w:t>sch</w:t>
      </w:r>
      <w:proofErr w:type="spellEnd"/>
      <w:r w:rsidRPr="004E72C4">
        <w:rPr>
          <w:rFonts w:ascii="Arial" w:hAnsi="Arial" w:cs="Arial"/>
        </w:rPr>
        <w:t xml:space="preserve"> 1, para 9)</w:t>
      </w:r>
    </w:p>
    <w:p w14:paraId="2E9ACE79" w14:textId="77777777" w:rsidR="00840D08" w:rsidRPr="004E72C4" w:rsidRDefault="00840D08" w:rsidP="004E72C4">
      <w:pPr>
        <w:spacing w:line="360" w:lineRule="auto"/>
        <w:rPr>
          <w:rFonts w:ascii="Arial" w:hAnsi="Arial" w:cs="Arial"/>
        </w:rPr>
      </w:pPr>
      <w:r w:rsidRPr="004E72C4">
        <w:rPr>
          <w:rFonts w:ascii="Arial" w:hAnsi="Arial" w:cs="Arial"/>
        </w:rPr>
        <w:t xml:space="preserve">This offence was not committed on bail under the </w:t>
      </w:r>
      <w:r w:rsidRPr="004E72C4">
        <w:rPr>
          <w:rFonts w:ascii="Arial" w:hAnsi="Arial" w:cs="Arial"/>
          <w:i/>
          <w:iCs/>
        </w:rPr>
        <w:t>Bail Act 1976</w:t>
      </w:r>
      <w:r w:rsidRPr="004E72C4">
        <w:rPr>
          <w:rFonts w:ascii="Arial" w:hAnsi="Arial" w:cs="Arial"/>
        </w:rPr>
        <w:t>, Schedule 1.</w:t>
      </w:r>
    </w:p>
    <w:p w14:paraId="03EFB64D" w14:textId="77777777" w:rsidR="00840D08" w:rsidRPr="004E72C4" w:rsidRDefault="00840D08" w:rsidP="004E72C4">
      <w:pPr>
        <w:spacing w:line="360" w:lineRule="auto"/>
        <w:rPr>
          <w:rFonts w:ascii="Arial" w:hAnsi="Arial" w:cs="Arial"/>
        </w:rPr>
      </w:pPr>
    </w:p>
    <w:p w14:paraId="1E31603F" w14:textId="77777777" w:rsidR="00840D08" w:rsidRPr="004E72C4" w:rsidRDefault="00840D08" w:rsidP="004E72C4">
      <w:pPr>
        <w:spacing w:line="360" w:lineRule="auto"/>
        <w:rPr>
          <w:rFonts w:ascii="Arial" w:hAnsi="Arial" w:cs="Arial"/>
        </w:rPr>
      </w:pPr>
      <w:r w:rsidRPr="004E72C4">
        <w:rPr>
          <w:rFonts w:ascii="Arial" w:hAnsi="Arial" w:cs="Arial"/>
        </w:rPr>
        <w:t>Interference with witnesses</w:t>
      </w:r>
    </w:p>
    <w:p w14:paraId="6746142C" w14:textId="77777777" w:rsidR="00840D08" w:rsidRPr="004E72C4" w:rsidRDefault="00840D08" w:rsidP="004E72C4">
      <w:pPr>
        <w:spacing w:line="360" w:lineRule="auto"/>
        <w:rPr>
          <w:rFonts w:ascii="Arial" w:hAnsi="Arial" w:cs="Arial"/>
        </w:rPr>
      </w:pPr>
      <w:r w:rsidRPr="004E72C4">
        <w:rPr>
          <w:rFonts w:ascii="Arial" w:hAnsi="Arial" w:cs="Arial"/>
        </w:rPr>
        <w:t>Bail is only refused if there is evidence (</w:t>
      </w:r>
      <w:r w:rsidRPr="004E72C4">
        <w:rPr>
          <w:rFonts w:ascii="Arial" w:hAnsi="Arial" w:cs="Arial"/>
          <w:i/>
          <w:iCs/>
        </w:rPr>
        <w:t>Bail Act 1976</w:t>
      </w:r>
      <w:r w:rsidRPr="004E72C4">
        <w:rPr>
          <w:rFonts w:ascii="Arial" w:hAnsi="Arial" w:cs="Arial"/>
        </w:rPr>
        <w:t xml:space="preserve">, </w:t>
      </w:r>
      <w:proofErr w:type="spellStart"/>
      <w:r w:rsidRPr="004E72C4">
        <w:rPr>
          <w:rFonts w:ascii="Arial" w:hAnsi="Arial" w:cs="Arial"/>
        </w:rPr>
        <w:t>sch</w:t>
      </w:r>
      <w:proofErr w:type="spellEnd"/>
      <w:r w:rsidRPr="004E72C4">
        <w:rPr>
          <w:rFonts w:ascii="Arial" w:hAnsi="Arial" w:cs="Arial"/>
        </w:rPr>
        <w:t xml:space="preserve"> 1, para 2) </w:t>
      </w:r>
    </w:p>
    <w:p w14:paraId="0680BA2C" w14:textId="77777777" w:rsidR="00840D08" w:rsidRPr="004E72C4" w:rsidRDefault="00840D08" w:rsidP="004E72C4">
      <w:pPr>
        <w:spacing w:line="360" w:lineRule="auto"/>
        <w:rPr>
          <w:rFonts w:ascii="Arial" w:hAnsi="Arial" w:cs="Arial"/>
        </w:rPr>
      </w:pPr>
      <w:r w:rsidRPr="004E72C4">
        <w:rPr>
          <w:rFonts w:ascii="Arial" w:hAnsi="Arial" w:cs="Arial"/>
        </w:rPr>
        <w:t>Defendant and complainant are strangers</w:t>
      </w:r>
    </w:p>
    <w:p w14:paraId="1372E9D4" w14:textId="77777777" w:rsidR="00840D08" w:rsidRPr="004E72C4" w:rsidRDefault="00840D08" w:rsidP="004E72C4">
      <w:pPr>
        <w:spacing w:line="360" w:lineRule="auto"/>
        <w:rPr>
          <w:rFonts w:ascii="Arial" w:hAnsi="Arial" w:cs="Arial"/>
        </w:rPr>
      </w:pPr>
      <w:r w:rsidRPr="004E72C4">
        <w:rPr>
          <w:rFonts w:ascii="Arial" w:hAnsi="Arial" w:cs="Arial"/>
        </w:rPr>
        <w:t>No evidence of contact or interference</w:t>
      </w:r>
    </w:p>
    <w:p w14:paraId="3A811433" w14:textId="77777777" w:rsidR="00840D08" w:rsidRPr="004E72C4" w:rsidRDefault="00840D08" w:rsidP="004E72C4">
      <w:pPr>
        <w:spacing w:line="360" w:lineRule="auto"/>
        <w:rPr>
          <w:rFonts w:ascii="Arial" w:hAnsi="Arial" w:cs="Arial"/>
        </w:rPr>
      </w:pPr>
      <w:r w:rsidRPr="004E72C4">
        <w:rPr>
          <w:rFonts w:ascii="Arial" w:hAnsi="Arial" w:cs="Arial"/>
        </w:rPr>
        <w:t>The defendant has denied the alleged threat, and it is uncorroborated</w:t>
      </w:r>
    </w:p>
    <w:p w14:paraId="04F0CC7C" w14:textId="77777777" w:rsidR="00840D08" w:rsidRPr="004E72C4" w:rsidRDefault="00840D08" w:rsidP="004E72C4">
      <w:pPr>
        <w:spacing w:line="360" w:lineRule="auto"/>
        <w:rPr>
          <w:rFonts w:ascii="Arial" w:hAnsi="Arial" w:cs="Arial"/>
        </w:rPr>
      </w:pPr>
      <w:r w:rsidRPr="004E72C4">
        <w:rPr>
          <w:rFonts w:ascii="Arial" w:hAnsi="Arial" w:cs="Arial"/>
        </w:rPr>
        <w:t>Risks can be managed with conditions, so refusal is not justified.</w:t>
      </w:r>
    </w:p>
    <w:p w14:paraId="24E1705D" w14:textId="77777777" w:rsidR="00840D08" w:rsidRPr="004E72C4" w:rsidRDefault="00840D08" w:rsidP="004E72C4">
      <w:pPr>
        <w:spacing w:line="360" w:lineRule="auto"/>
        <w:rPr>
          <w:rFonts w:ascii="Arial" w:hAnsi="Arial" w:cs="Arial"/>
        </w:rPr>
      </w:pPr>
    </w:p>
    <w:p w14:paraId="77A065EA" w14:textId="77777777" w:rsidR="00840D08" w:rsidRPr="004E72C4" w:rsidRDefault="00840D08" w:rsidP="004E72C4">
      <w:pPr>
        <w:spacing w:line="360" w:lineRule="auto"/>
        <w:rPr>
          <w:rFonts w:ascii="Arial" w:hAnsi="Arial" w:cs="Arial"/>
        </w:rPr>
      </w:pPr>
      <w:r w:rsidRPr="004E72C4">
        <w:rPr>
          <w:rFonts w:ascii="Arial" w:hAnsi="Arial" w:cs="Arial"/>
        </w:rPr>
        <w:t xml:space="preserve">Bail conditions are encouraged under s.3 of the </w:t>
      </w:r>
      <w:r w:rsidRPr="004E72C4">
        <w:rPr>
          <w:rFonts w:ascii="Arial" w:hAnsi="Arial" w:cs="Arial"/>
          <w:i/>
          <w:iCs/>
        </w:rPr>
        <w:t>Bail Act 1976</w:t>
      </w:r>
      <w:r w:rsidRPr="004E72C4">
        <w:rPr>
          <w:rFonts w:ascii="Arial" w:hAnsi="Arial" w:cs="Arial"/>
        </w:rPr>
        <w:t xml:space="preserve"> </w:t>
      </w:r>
    </w:p>
    <w:p w14:paraId="5F72C2CF" w14:textId="77777777" w:rsidR="00840D08" w:rsidRPr="004E72C4" w:rsidRDefault="00840D08" w:rsidP="004E72C4">
      <w:pPr>
        <w:spacing w:line="360" w:lineRule="auto"/>
        <w:rPr>
          <w:rFonts w:ascii="Arial" w:hAnsi="Arial" w:cs="Arial"/>
        </w:rPr>
      </w:pPr>
      <w:r w:rsidRPr="004E72C4">
        <w:rPr>
          <w:rFonts w:ascii="Arial" w:hAnsi="Arial" w:cs="Arial"/>
        </w:rPr>
        <w:t>Conditions can address any risk of reoffending, witness interference and failure to surrender</w:t>
      </w:r>
    </w:p>
    <w:p w14:paraId="50A86254" w14:textId="77777777" w:rsidR="00840D08" w:rsidRPr="004E72C4" w:rsidRDefault="00840D08" w:rsidP="004E72C4">
      <w:pPr>
        <w:spacing w:line="360" w:lineRule="auto"/>
        <w:rPr>
          <w:rFonts w:ascii="Arial" w:hAnsi="Arial" w:cs="Arial"/>
        </w:rPr>
      </w:pPr>
      <w:r w:rsidRPr="004E72C4">
        <w:rPr>
          <w:rFonts w:ascii="Arial" w:hAnsi="Arial" w:cs="Arial"/>
        </w:rPr>
        <w:lastRenderedPageBreak/>
        <w:t xml:space="preserve">Appropriate conditions include residence requirement, non-contact with the complainant, and reporting condition </w:t>
      </w:r>
    </w:p>
    <w:p w14:paraId="66D11644" w14:textId="77777777" w:rsidR="00840D08" w:rsidRPr="004E72C4" w:rsidRDefault="00840D08" w:rsidP="004E72C4">
      <w:pPr>
        <w:spacing w:line="360" w:lineRule="auto"/>
        <w:rPr>
          <w:rFonts w:ascii="Arial" w:hAnsi="Arial" w:cs="Arial"/>
        </w:rPr>
      </w:pPr>
      <w:r w:rsidRPr="004E72C4">
        <w:rPr>
          <w:rFonts w:ascii="Arial" w:hAnsi="Arial" w:cs="Arial"/>
        </w:rPr>
        <w:t xml:space="preserve">Defendant is willing to comply with any imposed bail conditions. </w:t>
      </w:r>
    </w:p>
    <w:p w14:paraId="7E50222A" w14:textId="77777777" w:rsidR="00840D08" w:rsidRPr="004E72C4" w:rsidRDefault="00840D08" w:rsidP="004E72C4">
      <w:pPr>
        <w:spacing w:line="360" w:lineRule="auto"/>
        <w:rPr>
          <w:rFonts w:ascii="Arial" w:hAnsi="Arial" w:cs="Arial"/>
        </w:rPr>
      </w:pPr>
    </w:p>
    <w:p w14:paraId="633BA1F0" w14:textId="77777777" w:rsidR="00840D08" w:rsidRPr="004E72C4" w:rsidRDefault="00840D08" w:rsidP="004E72C4">
      <w:pPr>
        <w:spacing w:line="360" w:lineRule="auto"/>
        <w:rPr>
          <w:rFonts w:ascii="Arial" w:hAnsi="Arial" w:cs="Arial"/>
        </w:rPr>
      </w:pPr>
      <w:r w:rsidRPr="004E72C4">
        <w:rPr>
          <w:rFonts w:ascii="Arial" w:hAnsi="Arial" w:cs="Arial"/>
        </w:rPr>
        <w:t xml:space="preserve">The </w:t>
      </w:r>
      <w:r w:rsidRPr="004E72C4">
        <w:rPr>
          <w:rFonts w:ascii="Arial" w:hAnsi="Arial" w:cs="Arial"/>
          <w:i/>
          <w:iCs/>
        </w:rPr>
        <w:t>Bail Act 1976</w:t>
      </w:r>
      <w:r w:rsidRPr="004E72C4">
        <w:rPr>
          <w:rFonts w:ascii="Arial" w:hAnsi="Arial" w:cs="Arial"/>
        </w:rPr>
        <w:t xml:space="preserve">, Schedule 1, allows the court to consider personal circumstances. </w:t>
      </w:r>
    </w:p>
    <w:p w14:paraId="01C0579F" w14:textId="77777777" w:rsidR="00840D08" w:rsidRPr="004E72C4" w:rsidRDefault="00840D08" w:rsidP="004E72C4">
      <w:pPr>
        <w:spacing w:line="360" w:lineRule="auto"/>
        <w:rPr>
          <w:rFonts w:ascii="Arial" w:hAnsi="Arial" w:cs="Arial"/>
        </w:rPr>
      </w:pPr>
      <w:r w:rsidRPr="004E72C4">
        <w:rPr>
          <w:rFonts w:ascii="Arial" w:hAnsi="Arial" w:cs="Arial"/>
        </w:rPr>
        <w:t>The defendant has a 4-year-old child and is a primary carer for his wife with motor neurone disease.</w:t>
      </w:r>
    </w:p>
    <w:p w14:paraId="4AEE23A9" w14:textId="77777777" w:rsidR="00840D08" w:rsidRPr="004E72C4" w:rsidRDefault="00840D08" w:rsidP="004E72C4">
      <w:pPr>
        <w:spacing w:line="360" w:lineRule="auto"/>
        <w:rPr>
          <w:rFonts w:ascii="Arial" w:hAnsi="Arial" w:cs="Arial"/>
        </w:rPr>
      </w:pPr>
      <w:r w:rsidRPr="004E72C4">
        <w:rPr>
          <w:rFonts w:ascii="Arial" w:hAnsi="Arial" w:cs="Arial"/>
        </w:rPr>
        <w:t>Wife has limited mobility and relies on the defendant</w:t>
      </w:r>
    </w:p>
    <w:p w14:paraId="2CDAED61" w14:textId="0B0CAA63" w:rsidR="00840D08" w:rsidRPr="004E72C4" w:rsidRDefault="00840D08" w:rsidP="004E72C4">
      <w:pPr>
        <w:spacing w:line="360" w:lineRule="auto"/>
        <w:rPr>
          <w:rFonts w:ascii="Arial" w:hAnsi="Arial" w:cs="Arial"/>
        </w:rPr>
      </w:pPr>
      <w:r w:rsidRPr="004E72C4">
        <w:rPr>
          <w:rFonts w:ascii="Arial" w:hAnsi="Arial" w:cs="Arial"/>
        </w:rPr>
        <w:t xml:space="preserve">Hardship alone is not determinative, but can be considered </w:t>
      </w:r>
      <w:r w:rsidRPr="004E72C4">
        <w:rPr>
          <w:rFonts w:ascii="Arial" w:hAnsi="Arial" w:cs="Arial"/>
        </w:rPr>
        <w:t>(</w:t>
      </w:r>
      <w:r w:rsidRPr="004E72C4">
        <w:rPr>
          <w:rFonts w:ascii="Arial" w:hAnsi="Arial" w:cs="Arial"/>
        </w:rPr>
        <w:t>'R v Manchester Magistrates Court ex parte McDonald</w:t>
      </w:r>
      <w:r w:rsidRPr="004E72C4">
        <w:rPr>
          <w:rFonts w:ascii="Arial" w:hAnsi="Arial" w:cs="Arial"/>
        </w:rPr>
        <w:t>’</w:t>
      </w:r>
      <w:r w:rsidRPr="004E72C4">
        <w:rPr>
          <w:rFonts w:ascii="Arial" w:hAnsi="Arial" w:cs="Arial"/>
        </w:rPr>
        <w:t xml:space="preserve"> 1998</w:t>
      </w:r>
      <w:r w:rsidRPr="004E72C4">
        <w:rPr>
          <w:rFonts w:ascii="Arial" w:hAnsi="Arial" w:cs="Arial"/>
        </w:rPr>
        <w:t>)</w:t>
      </w:r>
    </w:p>
    <w:p w14:paraId="65D16AB1" w14:textId="77777777" w:rsidR="00840D08" w:rsidRPr="004E72C4" w:rsidRDefault="00840D08" w:rsidP="004E72C4">
      <w:pPr>
        <w:spacing w:line="360" w:lineRule="auto"/>
        <w:rPr>
          <w:rFonts w:ascii="Arial" w:hAnsi="Arial" w:cs="Arial"/>
        </w:rPr>
      </w:pPr>
      <w:r w:rsidRPr="004E72C4">
        <w:rPr>
          <w:rFonts w:ascii="Arial" w:hAnsi="Arial" w:cs="Arial"/>
        </w:rPr>
        <w:t>Remand in custody would have a serious impact on dependants</w:t>
      </w:r>
    </w:p>
    <w:p w14:paraId="2DF6FAF1" w14:textId="77777777" w:rsidR="00840D08" w:rsidRPr="004E72C4" w:rsidRDefault="00840D08" w:rsidP="004E72C4">
      <w:pPr>
        <w:spacing w:line="360" w:lineRule="auto"/>
        <w:rPr>
          <w:rFonts w:ascii="Arial" w:hAnsi="Arial" w:cs="Arial"/>
        </w:rPr>
      </w:pPr>
      <w:r w:rsidRPr="004E72C4">
        <w:rPr>
          <w:rFonts w:ascii="Arial" w:hAnsi="Arial" w:cs="Arial"/>
        </w:rPr>
        <w:t xml:space="preserve">Presumption in favour of bail under </w:t>
      </w:r>
      <w:r w:rsidRPr="004E72C4">
        <w:rPr>
          <w:rFonts w:ascii="Arial" w:hAnsi="Arial" w:cs="Arial"/>
          <w:i/>
          <w:iCs/>
        </w:rPr>
        <w:t>Bail Act 1976</w:t>
      </w:r>
      <w:r w:rsidRPr="004E72C4">
        <w:rPr>
          <w:rFonts w:ascii="Arial" w:hAnsi="Arial" w:cs="Arial"/>
        </w:rPr>
        <w:t xml:space="preserve"> s.4 remains, if the prosecution has failed to establish substantial grounds under Schedule 1, any risks can be managed with bail conditions; however, these conditions must be proportionate and just to the risk, not overly restrictive ('R v Kwame' 1975)</w:t>
      </w:r>
    </w:p>
    <w:p w14:paraId="7705C5F1" w14:textId="77777777" w:rsidR="00840D08" w:rsidRPr="004E72C4" w:rsidRDefault="00840D08" w:rsidP="004E72C4">
      <w:pPr>
        <w:spacing w:line="360" w:lineRule="auto"/>
        <w:rPr>
          <w:rFonts w:ascii="Arial" w:hAnsi="Arial" w:cs="Arial"/>
        </w:rPr>
      </w:pPr>
    </w:p>
    <w:p w14:paraId="338798F3" w14:textId="77777777" w:rsidR="00840D08" w:rsidRPr="004E72C4" w:rsidRDefault="00840D08" w:rsidP="004E72C4">
      <w:pPr>
        <w:spacing w:line="360" w:lineRule="auto"/>
        <w:rPr>
          <w:rFonts w:ascii="Arial" w:hAnsi="Arial" w:cs="Arial"/>
        </w:rPr>
      </w:pPr>
      <w:r w:rsidRPr="004E72C4">
        <w:rPr>
          <w:rFonts w:ascii="Arial" w:hAnsi="Arial" w:cs="Arial"/>
        </w:rPr>
        <w:t xml:space="preserve">In summary, Judge, we submit that Mr Hope should be granted bail today on the basis that the prosecution has failed to establish substantial grounds for him to remain in custody, and that the risks demonstrated can be managed with bail conditions. Unless I can assist you further, those are my submissions. </w:t>
      </w:r>
    </w:p>
    <w:p w14:paraId="7403796B" w14:textId="77777777" w:rsidR="00840D08" w:rsidRPr="004E72C4" w:rsidRDefault="00840D08" w:rsidP="004E72C4">
      <w:pPr>
        <w:spacing w:line="360" w:lineRule="auto"/>
        <w:rPr>
          <w:rFonts w:ascii="Arial" w:hAnsi="Arial" w:cs="Arial"/>
        </w:rPr>
      </w:pPr>
    </w:p>
    <w:p w14:paraId="4455E13A" w14:textId="77777777" w:rsidR="00840D08" w:rsidRPr="004E72C4" w:rsidRDefault="00840D08" w:rsidP="004E72C4">
      <w:pPr>
        <w:spacing w:line="360" w:lineRule="auto"/>
        <w:rPr>
          <w:rFonts w:ascii="Arial" w:hAnsi="Arial" w:cs="Arial"/>
        </w:rPr>
      </w:pPr>
    </w:p>
    <w:p w14:paraId="2DAE4284" w14:textId="77777777" w:rsidR="00840D08" w:rsidRPr="004E72C4" w:rsidRDefault="00840D08" w:rsidP="004E72C4">
      <w:pPr>
        <w:spacing w:line="360" w:lineRule="auto"/>
        <w:rPr>
          <w:rFonts w:ascii="Arial" w:hAnsi="Arial" w:cs="Arial"/>
        </w:rPr>
      </w:pPr>
    </w:p>
    <w:p w14:paraId="113A90A2" w14:textId="77777777" w:rsidR="00840D08" w:rsidRPr="004E72C4" w:rsidRDefault="00840D08" w:rsidP="004E72C4">
      <w:pPr>
        <w:spacing w:line="360" w:lineRule="auto"/>
        <w:rPr>
          <w:rFonts w:ascii="Arial" w:hAnsi="Arial" w:cs="Arial"/>
        </w:rPr>
      </w:pPr>
    </w:p>
    <w:p w14:paraId="0ECB3FB1" w14:textId="77777777" w:rsidR="00840D08" w:rsidRPr="004E72C4" w:rsidRDefault="00840D08" w:rsidP="004E72C4">
      <w:pPr>
        <w:spacing w:line="360" w:lineRule="auto"/>
        <w:rPr>
          <w:rFonts w:ascii="Arial" w:hAnsi="Arial" w:cs="Arial"/>
        </w:rPr>
      </w:pPr>
    </w:p>
    <w:p w14:paraId="26571C8E" w14:textId="77777777" w:rsidR="00840D08" w:rsidRPr="004E72C4" w:rsidRDefault="00840D08" w:rsidP="004E72C4">
      <w:pPr>
        <w:spacing w:line="360" w:lineRule="auto"/>
        <w:rPr>
          <w:rFonts w:ascii="Arial" w:hAnsi="Arial" w:cs="Arial"/>
        </w:rPr>
      </w:pPr>
    </w:p>
    <w:p w14:paraId="76EF305A" w14:textId="77777777" w:rsidR="00840D08" w:rsidRPr="004E72C4" w:rsidRDefault="00840D08" w:rsidP="004E72C4">
      <w:pPr>
        <w:spacing w:line="360" w:lineRule="auto"/>
        <w:rPr>
          <w:rFonts w:ascii="Arial" w:hAnsi="Arial" w:cs="Arial"/>
        </w:rPr>
      </w:pPr>
    </w:p>
    <w:p w14:paraId="511ED272" w14:textId="77777777" w:rsidR="00840D08" w:rsidRPr="004E72C4" w:rsidRDefault="00840D08" w:rsidP="004E72C4">
      <w:pPr>
        <w:spacing w:line="360" w:lineRule="auto"/>
        <w:rPr>
          <w:rFonts w:ascii="Arial" w:hAnsi="Arial" w:cs="Arial"/>
        </w:rPr>
      </w:pPr>
    </w:p>
    <w:p w14:paraId="6D0194D9" w14:textId="77777777" w:rsidR="004E72C4" w:rsidRDefault="004E72C4" w:rsidP="004E72C4">
      <w:pPr>
        <w:spacing w:line="360" w:lineRule="auto"/>
        <w:rPr>
          <w:rFonts w:ascii="Arial" w:hAnsi="Arial" w:cs="Arial"/>
        </w:rPr>
      </w:pPr>
    </w:p>
    <w:p w14:paraId="6738C2A3" w14:textId="77777777" w:rsidR="004E72C4" w:rsidRDefault="004E72C4" w:rsidP="004E72C4">
      <w:pPr>
        <w:spacing w:line="360" w:lineRule="auto"/>
        <w:rPr>
          <w:rFonts w:ascii="Arial" w:hAnsi="Arial" w:cs="Arial"/>
        </w:rPr>
      </w:pPr>
    </w:p>
    <w:p w14:paraId="64AB5076" w14:textId="70B83E3E" w:rsidR="00840D08" w:rsidRPr="004E72C4" w:rsidRDefault="00840D08" w:rsidP="004E72C4">
      <w:pPr>
        <w:spacing w:line="360" w:lineRule="auto"/>
        <w:rPr>
          <w:rFonts w:ascii="Arial" w:hAnsi="Arial" w:cs="Arial"/>
        </w:rPr>
      </w:pPr>
      <w:r w:rsidRPr="004E72C4">
        <w:rPr>
          <w:rFonts w:ascii="Arial" w:hAnsi="Arial" w:cs="Arial"/>
        </w:rPr>
        <w:t>Legislation</w:t>
      </w:r>
    </w:p>
    <w:p w14:paraId="1B3ABD46" w14:textId="77777777" w:rsidR="00840D08" w:rsidRPr="004E72C4" w:rsidRDefault="00840D08" w:rsidP="004E72C4">
      <w:pPr>
        <w:spacing w:line="360" w:lineRule="auto"/>
        <w:rPr>
          <w:rFonts w:ascii="Arial" w:hAnsi="Arial" w:cs="Arial"/>
          <w:i/>
          <w:iCs/>
        </w:rPr>
      </w:pPr>
      <w:r w:rsidRPr="004E72C4">
        <w:rPr>
          <w:rFonts w:ascii="Arial" w:hAnsi="Arial" w:cs="Arial"/>
          <w:i/>
          <w:iCs/>
        </w:rPr>
        <w:t>Bail Act 1976, c. 63</w:t>
      </w:r>
    </w:p>
    <w:p w14:paraId="377BEA51" w14:textId="77777777" w:rsidR="00840D08" w:rsidRPr="004E72C4" w:rsidRDefault="00840D08" w:rsidP="004E72C4">
      <w:pPr>
        <w:spacing w:line="360" w:lineRule="auto"/>
        <w:rPr>
          <w:rFonts w:ascii="Arial" w:hAnsi="Arial" w:cs="Arial"/>
        </w:rPr>
      </w:pPr>
      <w:r w:rsidRPr="004E72C4">
        <w:rPr>
          <w:rFonts w:ascii="Arial" w:hAnsi="Arial" w:cs="Arial"/>
        </w:rPr>
        <w:t>Available at: https://www.legislation.gov.uk/ukpga/1976/63/contents</w:t>
      </w:r>
    </w:p>
    <w:p w14:paraId="27D8EEA2" w14:textId="77777777" w:rsidR="00840D08" w:rsidRPr="004E72C4" w:rsidRDefault="00840D08" w:rsidP="004E72C4">
      <w:pPr>
        <w:spacing w:line="360" w:lineRule="auto"/>
        <w:rPr>
          <w:rFonts w:ascii="Arial" w:hAnsi="Arial" w:cs="Arial"/>
        </w:rPr>
      </w:pPr>
    </w:p>
    <w:p w14:paraId="48478216" w14:textId="77777777" w:rsidR="00840D08" w:rsidRPr="004E72C4" w:rsidRDefault="00840D08" w:rsidP="004E72C4">
      <w:pPr>
        <w:spacing w:line="360" w:lineRule="auto"/>
        <w:rPr>
          <w:rFonts w:ascii="Arial" w:hAnsi="Arial" w:cs="Arial"/>
          <w:i/>
          <w:iCs/>
        </w:rPr>
      </w:pPr>
      <w:r w:rsidRPr="004E72C4">
        <w:rPr>
          <w:rFonts w:ascii="Arial" w:hAnsi="Arial" w:cs="Arial"/>
          <w:i/>
          <w:iCs/>
        </w:rPr>
        <w:t>Criminal Justice Public Order Act 1994, c. 33</w:t>
      </w:r>
    </w:p>
    <w:p w14:paraId="7A565989" w14:textId="77777777" w:rsidR="00840D08" w:rsidRPr="004E72C4" w:rsidRDefault="00840D08" w:rsidP="004E72C4">
      <w:pPr>
        <w:spacing w:line="360" w:lineRule="auto"/>
        <w:rPr>
          <w:rFonts w:ascii="Arial" w:hAnsi="Arial" w:cs="Arial"/>
        </w:rPr>
      </w:pPr>
      <w:r w:rsidRPr="004E72C4">
        <w:rPr>
          <w:rFonts w:ascii="Arial" w:hAnsi="Arial" w:cs="Arial"/>
        </w:rPr>
        <w:t>Available at: https://www.legislation.gov.uk/ukpga/1994/33/section/25</w:t>
      </w:r>
    </w:p>
    <w:p w14:paraId="5DB5CAEA" w14:textId="77777777" w:rsidR="00840D08" w:rsidRPr="004E72C4" w:rsidRDefault="00840D08" w:rsidP="004E72C4">
      <w:pPr>
        <w:spacing w:line="360" w:lineRule="auto"/>
        <w:rPr>
          <w:rFonts w:ascii="Arial" w:hAnsi="Arial" w:cs="Arial"/>
        </w:rPr>
      </w:pPr>
    </w:p>
    <w:p w14:paraId="22364D73" w14:textId="77777777" w:rsidR="00840D08" w:rsidRPr="004E72C4" w:rsidRDefault="00840D08" w:rsidP="004E72C4">
      <w:pPr>
        <w:spacing w:line="360" w:lineRule="auto"/>
        <w:rPr>
          <w:rFonts w:ascii="Arial" w:hAnsi="Arial" w:cs="Arial"/>
          <w:i/>
          <w:iCs/>
        </w:rPr>
      </w:pPr>
      <w:r w:rsidRPr="004E72C4">
        <w:rPr>
          <w:rFonts w:ascii="Arial" w:hAnsi="Arial" w:cs="Arial"/>
          <w:i/>
          <w:iCs/>
        </w:rPr>
        <w:t>Human Rights Act 1998, c. 42</w:t>
      </w:r>
    </w:p>
    <w:p w14:paraId="1845F179" w14:textId="77777777" w:rsidR="00840D08" w:rsidRPr="004E72C4" w:rsidRDefault="00840D08" w:rsidP="004E72C4">
      <w:pPr>
        <w:spacing w:line="360" w:lineRule="auto"/>
        <w:rPr>
          <w:rFonts w:ascii="Arial" w:hAnsi="Arial" w:cs="Arial"/>
        </w:rPr>
      </w:pPr>
      <w:r w:rsidRPr="004E72C4">
        <w:rPr>
          <w:rFonts w:ascii="Arial" w:hAnsi="Arial" w:cs="Arial"/>
        </w:rPr>
        <w:t>Available at: https://www.legislation.gov.uk/ukpga/1998/42/schedule/1/part/I/chapter/4</w:t>
      </w:r>
    </w:p>
    <w:p w14:paraId="4E4D6761" w14:textId="77777777" w:rsidR="00840D08" w:rsidRPr="004E72C4" w:rsidRDefault="00840D08" w:rsidP="004E72C4">
      <w:pPr>
        <w:spacing w:line="360" w:lineRule="auto"/>
        <w:rPr>
          <w:rFonts w:ascii="Arial" w:hAnsi="Arial" w:cs="Arial"/>
        </w:rPr>
      </w:pPr>
    </w:p>
    <w:p w14:paraId="0A83C577" w14:textId="77777777" w:rsidR="00840D08" w:rsidRPr="004E72C4" w:rsidRDefault="00840D08" w:rsidP="004E72C4">
      <w:pPr>
        <w:spacing w:line="360" w:lineRule="auto"/>
        <w:rPr>
          <w:rFonts w:ascii="Arial" w:hAnsi="Arial" w:cs="Arial"/>
          <w:i/>
          <w:iCs/>
        </w:rPr>
      </w:pPr>
      <w:r w:rsidRPr="004E72C4">
        <w:rPr>
          <w:rFonts w:ascii="Arial" w:hAnsi="Arial" w:cs="Arial"/>
          <w:i/>
          <w:iCs/>
        </w:rPr>
        <w:t xml:space="preserve">Offences Against the Person Act 1861, c. 100 </w:t>
      </w:r>
    </w:p>
    <w:p w14:paraId="7C3B15CE" w14:textId="77777777" w:rsidR="00840D08" w:rsidRPr="004E72C4" w:rsidRDefault="00840D08" w:rsidP="004E72C4">
      <w:pPr>
        <w:spacing w:line="360" w:lineRule="auto"/>
        <w:rPr>
          <w:rFonts w:ascii="Arial" w:hAnsi="Arial" w:cs="Arial"/>
        </w:rPr>
      </w:pPr>
      <w:r w:rsidRPr="004E72C4">
        <w:rPr>
          <w:rFonts w:ascii="Arial" w:hAnsi="Arial" w:cs="Arial"/>
        </w:rPr>
        <w:t>Available at: https://www.legislation.gov.uk/ukpga/Vict/24-25/100/contents</w:t>
      </w:r>
    </w:p>
    <w:p w14:paraId="01C08D28" w14:textId="77777777" w:rsidR="00840D08" w:rsidRPr="004E72C4" w:rsidRDefault="00840D08" w:rsidP="004E72C4">
      <w:pPr>
        <w:spacing w:line="360" w:lineRule="auto"/>
        <w:rPr>
          <w:rFonts w:ascii="Arial" w:hAnsi="Arial" w:cs="Arial"/>
        </w:rPr>
      </w:pPr>
    </w:p>
    <w:p w14:paraId="52F3DAD2" w14:textId="77777777" w:rsidR="00840D08" w:rsidRPr="004E72C4" w:rsidRDefault="00840D08" w:rsidP="004E72C4">
      <w:pPr>
        <w:spacing w:line="360" w:lineRule="auto"/>
        <w:rPr>
          <w:rFonts w:ascii="Arial" w:hAnsi="Arial" w:cs="Arial"/>
        </w:rPr>
      </w:pPr>
    </w:p>
    <w:p w14:paraId="60ED4A10" w14:textId="77777777" w:rsidR="00840D08" w:rsidRPr="004E72C4" w:rsidRDefault="00840D08" w:rsidP="004E72C4">
      <w:pPr>
        <w:spacing w:line="360" w:lineRule="auto"/>
        <w:rPr>
          <w:rFonts w:ascii="Arial" w:hAnsi="Arial" w:cs="Arial"/>
        </w:rPr>
      </w:pPr>
      <w:r w:rsidRPr="004E72C4">
        <w:rPr>
          <w:rFonts w:ascii="Arial" w:hAnsi="Arial" w:cs="Arial"/>
        </w:rPr>
        <w:t>Cases</w:t>
      </w:r>
    </w:p>
    <w:p w14:paraId="0A3F2F24" w14:textId="77777777" w:rsidR="00840D08" w:rsidRPr="004E72C4" w:rsidRDefault="00840D08" w:rsidP="004E72C4">
      <w:pPr>
        <w:spacing w:line="360" w:lineRule="auto"/>
        <w:rPr>
          <w:rFonts w:ascii="Arial" w:hAnsi="Arial" w:cs="Arial"/>
        </w:rPr>
      </w:pPr>
      <w:r w:rsidRPr="004E72C4">
        <w:rPr>
          <w:rFonts w:ascii="Arial" w:hAnsi="Arial" w:cs="Arial"/>
        </w:rPr>
        <w:t>'R v Kwame' 1975, 60 Criminal Appeal Reports 65</w:t>
      </w:r>
    </w:p>
    <w:p w14:paraId="35003E10" w14:textId="77777777" w:rsidR="00840D08" w:rsidRPr="004E72C4" w:rsidRDefault="00840D08" w:rsidP="004E72C4">
      <w:pPr>
        <w:spacing w:line="360" w:lineRule="auto"/>
        <w:rPr>
          <w:rFonts w:ascii="Arial" w:hAnsi="Arial" w:cs="Arial"/>
        </w:rPr>
      </w:pPr>
      <w:r w:rsidRPr="004E72C4">
        <w:rPr>
          <w:rFonts w:ascii="Arial" w:hAnsi="Arial" w:cs="Arial"/>
        </w:rPr>
        <w:t>Available at: https://plus-lexis-com.uwtsd.idm.oclc.org/uk/cases-uk/r-v-kwame/?crid=c005f6a1-f7c6-4dde-b1f4-cf3a02ae5d00&amp;pddocumentnumber=1</w:t>
      </w:r>
    </w:p>
    <w:p w14:paraId="6559B850" w14:textId="77777777" w:rsidR="00840D08" w:rsidRPr="004E72C4" w:rsidRDefault="00840D08" w:rsidP="004E72C4">
      <w:pPr>
        <w:spacing w:line="360" w:lineRule="auto"/>
        <w:rPr>
          <w:rFonts w:ascii="Arial" w:hAnsi="Arial" w:cs="Arial"/>
        </w:rPr>
      </w:pPr>
    </w:p>
    <w:p w14:paraId="3E00C05C" w14:textId="77777777" w:rsidR="00840D08" w:rsidRPr="004E72C4" w:rsidRDefault="00840D08" w:rsidP="004E72C4">
      <w:pPr>
        <w:spacing w:line="360" w:lineRule="auto"/>
        <w:rPr>
          <w:rFonts w:ascii="Arial" w:hAnsi="Arial" w:cs="Arial"/>
        </w:rPr>
      </w:pPr>
      <w:r w:rsidRPr="004E72C4">
        <w:rPr>
          <w:rFonts w:ascii="Arial" w:hAnsi="Arial" w:cs="Arial"/>
        </w:rPr>
        <w:t xml:space="preserve">'R v Manchester Crown Court, ex parte McDonald' (1999) 1 WLR 841 </w:t>
      </w:r>
    </w:p>
    <w:p w14:paraId="3DE06775" w14:textId="77777777" w:rsidR="00840D08" w:rsidRPr="004E72C4" w:rsidRDefault="00840D08" w:rsidP="004E72C4">
      <w:pPr>
        <w:spacing w:line="360" w:lineRule="auto"/>
        <w:rPr>
          <w:rFonts w:ascii="Arial" w:hAnsi="Arial" w:cs="Arial"/>
        </w:rPr>
      </w:pPr>
      <w:r w:rsidRPr="004E72C4">
        <w:rPr>
          <w:rFonts w:ascii="Arial" w:hAnsi="Arial" w:cs="Arial"/>
        </w:rPr>
        <w:t>Available at: https://www.casemine.com/judgement/uk/5a8ff8d160d03e7f57ecdc82</w:t>
      </w:r>
    </w:p>
    <w:p w14:paraId="64EDCBC4" w14:textId="77777777" w:rsidR="00840D08" w:rsidRPr="004E72C4" w:rsidRDefault="00840D08" w:rsidP="004E72C4">
      <w:pPr>
        <w:spacing w:line="360" w:lineRule="auto"/>
        <w:rPr>
          <w:rFonts w:ascii="Arial" w:hAnsi="Arial" w:cs="Arial"/>
        </w:rPr>
      </w:pPr>
    </w:p>
    <w:p w14:paraId="11AF1D5C" w14:textId="77777777" w:rsidR="00840D08" w:rsidRPr="004E72C4" w:rsidRDefault="00840D08" w:rsidP="004E72C4">
      <w:pPr>
        <w:spacing w:line="360" w:lineRule="auto"/>
        <w:rPr>
          <w:rFonts w:ascii="Arial" w:hAnsi="Arial" w:cs="Arial"/>
        </w:rPr>
      </w:pPr>
      <w:r w:rsidRPr="004E72C4">
        <w:rPr>
          <w:rFonts w:ascii="Arial" w:hAnsi="Arial" w:cs="Arial"/>
        </w:rPr>
        <w:t>'R v Mansfield Justice, ex parte Sharkey' (1985) QB 613</w:t>
      </w:r>
    </w:p>
    <w:p w14:paraId="06060F44" w14:textId="77777777" w:rsidR="00840D08" w:rsidRPr="004E72C4" w:rsidRDefault="00840D08" w:rsidP="004E72C4">
      <w:pPr>
        <w:spacing w:line="360" w:lineRule="auto"/>
        <w:rPr>
          <w:rFonts w:ascii="Arial" w:hAnsi="Arial" w:cs="Arial"/>
        </w:rPr>
      </w:pPr>
      <w:r w:rsidRPr="004E72C4">
        <w:rPr>
          <w:rFonts w:ascii="Arial" w:hAnsi="Arial" w:cs="Arial"/>
        </w:rPr>
        <w:t>Available at: https://plus-lexis-com.uwtsd.idm.oclc.org/uk/cases-uk/r-v-mansfield-justices-ex-p-sharkey-and-other/?crid=6071ede7-5c9a-4cc4-a988-9d777fd2f175&amp;pddocumentnumber=1</w:t>
      </w:r>
    </w:p>
    <w:p w14:paraId="31846A10" w14:textId="77777777" w:rsidR="00840D08" w:rsidRPr="004E72C4" w:rsidRDefault="00840D08" w:rsidP="004E72C4">
      <w:pPr>
        <w:spacing w:line="360" w:lineRule="auto"/>
        <w:rPr>
          <w:rFonts w:ascii="Arial" w:hAnsi="Arial" w:cs="Arial"/>
        </w:rPr>
      </w:pPr>
    </w:p>
    <w:p w14:paraId="3FE5B0CB" w14:textId="77777777" w:rsidR="00840D08" w:rsidRPr="004E72C4" w:rsidRDefault="00840D08" w:rsidP="004E72C4">
      <w:pPr>
        <w:spacing w:line="360" w:lineRule="auto"/>
        <w:rPr>
          <w:rFonts w:ascii="Arial" w:hAnsi="Arial" w:cs="Arial"/>
        </w:rPr>
      </w:pPr>
      <w:r w:rsidRPr="004E72C4">
        <w:rPr>
          <w:rFonts w:ascii="Arial" w:hAnsi="Arial" w:cs="Arial"/>
        </w:rPr>
        <w:t>'R v Nottingham Justices, ex parte Davies' (1981) QB 38</w:t>
      </w:r>
    </w:p>
    <w:p w14:paraId="69BC3270" w14:textId="77777777" w:rsidR="00840D08" w:rsidRPr="004E72C4" w:rsidRDefault="00840D08" w:rsidP="004E72C4">
      <w:pPr>
        <w:spacing w:line="360" w:lineRule="auto"/>
        <w:rPr>
          <w:rFonts w:ascii="Arial" w:hAnsi="Arial" w:cs="Arial"/>
        </w:rPr>
      </w:pPr>
      <w:r w:rsidRPr="004E72C4">
        <w:rPr>
          <w:rFonts w:ascii="Arial" w:hAnsi="Arial" w:cs="Arial"/>
        </w:rPr>
        <w:t>Available at: https://plus-lexis-com.uwtsd.idm.oclc.org/uk/cases-uk/r-v-nottingham-justices-ex-p-davies/?crid=944d5707-d0b9-48ee-8205-e4c042a8be38&amp;pddocumentnumber=1</w:t>
      </w:r>
    </w:p>
    <w:p w14:paraId="73E7D298" w14:textId="77777777" w:rsidR="00840D08" w:rsidRPr="004E72C4" w:rsidRDefault="00840D08" w:rsidP="004E72C4">
      <w:pPr>
        <w:spacing w:line="360" w:lineRule="auto"/>
        <w:rPr>
          <w:rFonts w:ascii="Arial" w:hAnsi="Arial" w:cs="Arial"/>
        </w:rPr>
      </w:pPr>
    </w:p>
    <w:p w14:paraId="1F86FE3E" w14:textId="77777777" w:rsidR="00840D08" w:rsidRPr="004E72C4" w:rsidRDefault="00840D08" w:rsidP="004E72C4">
      <w:pPr>
        <w:spacing w:line="360" w:lineRule="auto"/>
        <w:rPr>
          <w:rFonts w:ascii="Arial" w:hAnsi="Arial" w:cs="Arial"/>
        </w:rPr>
      </w:pPr>
      <w:r w:rsidRPr="004E72C4">
        <w:rPr>
          <w:rFonts w:ascii="Arial" w:hAnsi="Arial" w:cs="Arial"/>
        </w:rPr>
        <w:t>'R v Savage and R V Parmenter' (1992) Criminal Appeal Reports 193</w:t>
      </w:r>
    </w:p>
    <w:p w14:paraId="18D44F17" w14:textId="77777777" w:rsidR="00840D08" w:rsidRPr="004E72C4" w:rsidRDefault="00840D08" w:rsidP="004E72C4">
      <w:pPr>
        <w:spacing w:line="360" w:lineRule="auto"/>
        <w:rPr>
          <w:rFonts w:ascii="Arial" w:hAnsi="Arial" w:cs="Arial"/>
        </w:rPr>
      </w:pPr>
      <w:r w:rsidRPr="004E72C4">
        <w:rPr>
          <w:rFonts w:ascii="Arial" w:hAnsi="Arial" w:cs="Arial"/>
        </w:rPr>
        <w:t>Available at: https://plus-lexis-com.uwtsd.idm.oclc.org/uk/cases-uk/r-v-savage-r-v-parmenter/?crid=0edf4a99-2ef1-4554-b882-eb3beaa03bbb&amp;pddocumentnumber=1</w:t>
      </w:r>
    </w:p>
    <w:p w14:paraId="23EAF289" w14:textId="77777777" w:rsidR="00840D08" w:rsidRPr="004E72C4" w:rsidRDefault="00840D08" w:rsidP="004E72C4">
      <w:pPr>
        <w:spacing w:line="360" w:lineRule="auto"/>
        <w:rPr>
          <w:rFonts w:ascii="Arial" w:hAnsi="Arial" w:cs="Arial"/>
        </w:rPr>
      </w:pPr>
    </w:p>
    <w:p w14:paraId="076728B2" w14:textId="77777777" w:rsidR="00840D08" w:rsidRPr="004E72C4" w:rsidRDefault="00840D08" w:rsidP="004E72C4">
      <w:pPr>
        <w:spacing w:line="360" w:lineRule="auto"/>
        <w:rPr>
          <w:rFonts w:ascii="Arial" w:hAnsi="Arial" w:cs="Arial"/>
        </w:rPr>
      </w:pPr>
    </w:p>
    <w:p w14:paraId="1B90ED9D" w14:textId="77777777" w:rsidR="00840D08" w:rsidRPr="004E72C4" w:rsidRDefault="00840D08" w:rsidP="004E72C4">
      <w:pPr>
        <w:spacing w:line="360" w:lineRule="auto"/>
        <w:rPr>
          <w:rFonts w:ascii="Arial" w:hAnsi="Arial" w:cs="Arial"/>
        </w:rPr>
      </w:pPr>
      <w:r w:rsidRPr="004E72C4">
        <w:rPr>
          <w:rFonts w:ascii="Arial" w:hAnsi="Arial" w:cs="Arial"/>
        </w:rPr>
        <w:t>Website</w:t>
      </w:r>
    </w:p>
    <w:p w14:paraId="21F85550" w14:textId="77777777" w:rsidR="00840D08" w:rsidRPr="004E72C4" w:rsidRDefault="00840D08" w:rsidP="004E72C4">
      <w:pPr>
        <w:spacing w:line="360" w:lineRule="auto"/>
        <w:rPr>
          <w:rFonts w:ascii="Arial" w:hAnsi="Arial" w:cs="Arial"/>
        </w:rPr>
      </w:pPr>
      <w:r w:rsidRPr="004E72C4">
        <w:rPr>
          <w:rFonts w:ascii="Arial" w:hAnsi="Arial" w:cs="Arial"/>
        </w:rPr>
        <w:t xml:space="preserve">CPS (2023) </w:t>
      </w:r>
      <w:r w:rsidRPr="004E72C4">
        <w:rPr>
          <w:rFonts w:ascii="Arial" w:hAnsi="Arial" w:cs="Arial"/>
          <w:i/>
          <w:iCs/>
        </w:rPr>
        <w:t>Bail</w:t>
      </w:r>
    </w:p>
    <w:p w14:paraId="295A1D14" w14:textId="4EED9728" w:rsidR="00421860" w:rsidRPr="004E72C4" w:rsidRDefault="00840D08" w:rsidP="004E72C4">
      <w:pPr>
        <w:spacing w:line="360" w:lineRule="auto"/>
        <w:rPr>
          <w:rFonts w:ascii="Arial" w:hAnsi="Arial" w:cs="Arial"/>
        </w:rPr>
      </w:pPr>
      <w:r w:rsidRPr="004E72C4">
        <w:rPr>
          <w:rFonts w:ascii="Arial" w:hAnsi="Arial" w:cs="Arial"/>
        </w:rPr>
        <w:t>Available at: https://www.cps.gov.uk/prosecution-guidance/bail</w:t>
      </w:r>
    </w:p>
    <w:sectPr w:rsidR="00421860" w:rsidRPr="004E72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D08"/>
    <w:rsid w:val="00421860"/>
    <w:rsid w:val="004E72C4"/>
    <w:rsid w:val="00700534"/>
    <w:rsid w:val="00840D08"/>
    <w:rsid w:val="00872A26"/>
    <w:rsid w:val="009D39F3"/>
    <w:rsid w:val="00D55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0CDB4"/>
  <w15:chartTrackingRefBased/>
  <w15:docId w15:val="{F688E63D-19DF-463F-B4AD-79352F530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D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40D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40D0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0D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40D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40D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D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D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D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D0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40D0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40D0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0D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40D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40D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D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D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D08"/>
    <w:rPr>
      <w:rFonts w:eastAsiaTheme="majorEastAsia" w:cstheme="majorBidi"/>
      <w:color w:val="272727" w:themeColor="text1" w:themeTint="D8"/>
    </w:rPr>
  </w:style>
  <w:style w:type="paragraph" w:styleId="Title">
    <w:name w:val="Title"/>
    <w:basedOn w:val="Normal"/>
    <w:next w:val="Normal"/>
    <w:link w:val="TitleChar"/>
    <w:uiPriority w:val="10"/>
    <w:qFormat/>
    <w:rsid w:val="00840D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D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D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D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D08"/>
    <w:pPr>
      <w:spacing w:before="160"/>
      <w:jc w:val="center"/>
    </w:pPr>
    <w:rPr>
      <w:i/>
      <w:iCs/>
      <w:color w:val="404040" w:themeColor="text1" w:themeTint="BF"/>
    </w:rPr>
  </w:style>
  <w:style w:type="character" w:customStyle="1" w:styleId="QuoteChar">
    <w:name w:val="Quote Char"/>
    <w:basedOn w:val="DefaultParagraphFont"/>
    <w:link w:val="Quote"/>
    <w:uiPriority w:val="29"/>
    <w:rsid w:val="00840D08"/>
    <w:rPr>
      <w:i/>
      <w:iCs/>
      <w:color w:val="404040" w:themeColor="text1" w:themeTint="BF"/>
    </w:rPr>
  </w:style>
  <w:style w:type="paragraph" w:styleId="ListParagraph">
    <w:name w:val="List Paragraph"/>
    <w:basedOn w:val="Normal"/>
    <w:uiPriority w:val="34"/>
    <w:qFormat/>
    <w:rsid w:val="00840D08"/>
    <w:pPr>
      <w:ind w:left="720"/>
      <w:contextualSpacing/>
    </w:pPr>
  </w:style>
  <w:style w:type="character" w:styleId="IntenseEmphasis">
    <w:name w:val="Intense Emphasis"/>
    <w:basedOn w:val="DefaultParagraphFont"/>
    <w:uiPriority w:val="21"/>
    <w:qFormat/>
    <w:rsid w:val="00840D08"/>
    <w:rPr>
      <w:i/>
      <w:iCs/>
      <w:color w:val="2F5496" w:themeColor="accent1" w:themeShade="BF"/>
    </w:rPr>
  </w:style>
  <w:style w:type="paragraph" w:styleId="IntenseQuote">
    <w:name w:val="Intense Quote"/>
    <w:basedOn w:val="Normal"/>
    <w:next w:val="Normal"/>
    <w:link w:val="IntenseQuoteChar"/>
    <w:uiPriority w:val="30"/>
    <w:qFormat/>
    <w:rsid w:val="00840D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0D08"/>
    <w:rPr>
      <w:i/>
      <w:iCs/>
      <w:color w:val="2F5496" w:themeColor="accent1" w:themeShade="BF"/>
    </w:rPr>
  </w:style>
  <w:style w:type="character" w:styleId="IntenseReference">
    <w:name w:val="Intense Reference"/>
    <w:basedOn w:val="DefaultParagraphFont"/>
    <w:uiPriority w:val="32"/>
    <w:qFormat/>
    <w:rsid w:val="00840D0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1938</Words>
  <Characters>11050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dc:creator>
  <cp:keywords/>
  <dc:description/>
  <cp:lastModifiedBy>Shannon Davies</cp:lastModifiedBy>
  <cp:revision>1</cp:revision>
  <dcterms:created xsi:type="dcterms:W3CDTF">2026-01-16T22:18:00Z</dcterms:created>
  <dcterms:modified xsi:type="dcterms:W3CDTF">2026-01-16T22:39:00Z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06b183c3-8cc6-427f-aee3-3c20eab3d820</vt:lpwstr>
  </property>
</Properties>
</file>