
<file path=[Content_Types].xml><?xml version="1.0" encoding="utf-8"?>
<Types xmlns="http://schemas.openxmlformats.org/package/2006/content-types">
  <Default Extension="xml" ContentType="application/xml"/>
  <Default Extension="png" ContentType="image/png"/>
  <Default Extension="jpeg" ContentType="image/jpeg"/>
  <Default Extension="JPG" ContentType="image/.jpg"/>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427B0064">
      <w:pPr>
        <w:jc w:val="center"/>
      </w:pPr>
      <w:r>
        <w:rPr>
          <w:lang w:eastAsia="en-GB"/>
        </w:rPr>
        <w:drawing>
          <wp:inline distT="0" distB="0" distL="0" distR="0">
            <wp:extent cx="2676525" cy="1066800"/>
            <wp:effectExtent l="0" t="0" r="952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a:xfrm>
                      <a:off x="0" y="0"/>
                      <a:ext cx="2676525" cy="1066800"/>
                    </a:xfrm>
                    <a:prstGeom prst="rect">
                      <a:avLst/>
                    </a:prstGeom>
                    <a:noFill/>
                  </pic:spPr>
                </pic:pic>
              </a:graphicData>
            </a:graphic>
          </wp:inline>
        </w:drawing>
      </w:r>
    </w:p>
    <w:p w14:paraId="37E50181">
      <w:pPr>
        <w:rPr>
          <w:rFonts w:hint="default" w:ascii="Arial" w:hAnsi="Arial" w:cs="Arial"/>
        </w:rPr>
      </w:pPr>
    </w:p>
    <w:p w14:paraId="22A1A15D">
      <w:pPr>
        <w:jc w:val="center"/>
        <w:rPr>
          <w:rFonts w:hint="default" w:ascii="Arial" w:hAnsi="Arial" w:cs="Arial"/>
          <w:b/>
          <w:bCs/>
          <w:sz w:val="32"/>
          <w:szCs w:val="32"/>
        </w:rPr>
      </w:pPr>
      <w:r>
        <w:rPr>
          <w:rFonts w:hint="default" w:ascii="Arial" w:hAnsi="Arial" w:cs="Arial"/>
          <w:b/>
          <w:bCs/>
          <w:sz w:val="32"/>
          <w:szCs w:val="32"/>
        </w:rPr>
        <w:t>Programme: Master of Business Administration</w:t>
      </w:r>
    </w:p>
    <w:p w14:paraId="161CE4E2">
      <w:pPr>
        <w:jc w:val="center"/>
        <w:rPr>
          <w:rFonts w:hint="default" w:ascii="Arial" w:hAnsi="Arial" w:cs="Arial"/>
          <w:sz w:val="32"/>
          <w:szCs w:val="32"/>
        </w:rPr>
      </w:pPr>
      <w:r>
        <w:rPr>
          <w:rFonts w:hint="default" w:ascii="Arial" w:hAnsi="Arial" w:cs="Arial"/>
          <w:b/>
          <w:bCs/>
          <w:sz w:val="32"/>
          <w:szCs w:val="32"/>
        </w:rPr>
        <w:t>Module: International Marketing: Principles and Practices</w:t>
      </w:r>
    </w:p>
    <w:p w14:paraId="7C99EE75">
      <w:pPr>
        <w:jc w:val="center"/>
        <w:rPr>
          <w:rFonts w:hint="default" w:ascii="Arial" w:hAnsi="Arial" w:cs="Arial"/>
          <w:b/>
          <w:bCs/>
          <w:sz w:val="32"/>
          <w:szCs w:val="32"/>
        </w:rPr>
      </w:pPr>
      <w:r>
        <w:rPr>
          <w:rFonts w:hint="default" w:ascii="Arial" w:hAnsi="Arial" w:cs="Arial"/>
          <w:b/>
          <w:sz w:val="32"/>
          <w:szCs w:val="32"/>
        </w:rPr>
        <w:t xml:space="preserve">Module: </w:t>
      </w:r>
      <w:r>
        <w:rPr>
          <w:rFonts w:hint="default" w:ascii="Arial" w:hAnsi="Arial" w:cs="Arial"/>
          <w:b/>
          <w:bCs/>
          <w:sz w:val="32"/>
          <w:szCs w:val="32"/>
        </w:rPr>
        <w:t>Strategic Management</w:t>
      </w:r>
    </w:p>
    <w:p w14:paraId="13A420A9">
      <w:pPr>
        <w:jc w:val="center"/>
        <w:rPr>
          <w:rFonts w:hint="default" w:ascii="Arial" w:hAnsi="Arial" w:cs="Arial"/>
          <w:b/>
          <w:bCs/>
          <w:sz w:val="32"/>
          <w:szCs w:val="32"/>
        </w:rPr>
      </w:pPr>
      <w:bookmarkStart w:id="28" w:name="_GoBack"/>
      <w:bookmarkEnd w:id="28"/>
      <w:r>
        <w:rPr>
          <w:rFonts w:hint="default" w:ascii="Arial" w:hAnsi="Arial" w:cs="Arial"/>
          <w:b/>
          <w:sz w:val="32"/>
          <w:szCs w:val="32"/>
        </w:rPr>
        <w:t>Module code:</w:t>
      </w:r>
      <w:r>
        <w:rPr>
          <w:rFonts w:hint="default" w:ascii="Arial" w:hAnsi="Arial" w:cs="Arial"/>
          <w:b/>
          <w:bCs/>
          <w:sz w:val="32"/>
          <w:szCs w:val="32"/>
        </w:rPr>
        <w:t xml:space="preserve"> LCMB7003</w:t>
      </w:r>
    </w:p>
    <w:p w14:paraId="7B866210">
      <w:pPr>
        <w:jc w:val="center"/>
        <w:rPr>
          <w:rFonts w:hint="default" w:ascii="Arial" w:hAnsi="Arial" w:cs="Arial"/>
          <w:b/>
          <w:bCs/>
          <w:sz w:val="32"/>
          <w:szCs w:val="32"/>
        </w:rPr>
      </w:pPr>
      <w:r>
        <w:rPr>
          <w:rFonts w:hint="default" w:ascii="Arial" w:hAnsi="Arial" w:cs="Arial"/>
          <w:b/>
          <w:bCs/>
          <w:sz w:val="32"/>
          <w:szCs w:val="32"/>
        </w:rPr>
        <w:t xml:space="preserve">Lecturer: </w:t>
      </w:r>
      <w:r>
        <w:rPr>
          <w:rStyle w:val="15"/>
          <w:rFonts w:hint="default" w:ascii="Arial" w:hAnsi="Arial" w:eastAsia="Segoe UI" w:cs="Arial"/>
          <w:b/>
          <w:bCs/>
          <w:i w:val="0"/>
          <w:iCs w:val="0"/>
          <w:caps w:val="0"/>
          <w:color w:val="1D2125"/>
          <w:spacing w:val="0"/>
          <w:sz w:val="32"/>
          <w:szCs w:val="32"/>
          <w:shd w:val="clear" w:fill="FFFFFF"/>
        </w:rPr>
        <w:t>Dr Zulfiqar Khan</w:t>
      </w:r>
    </w:p>
    <w:p w14:paraId="5623A4A8">
      <w:pPr>
        <w:jc w:val="center"/>
        <w:rPr>
          <w:rFonts w:hint="default" w:ascii="Arial" w:hAnsi="Arial" w:cs="Arial"/>
          <w:b/>
          <w:sz w:val="32"/>
          <w:szCs w:val="32"/>
          <w:lang w:val="en-US"/>
        </w:rPr>
      </w:pPr>
      <w:r>
        <w:rPr>
          <w:rFonts w:hint="default" w:ascii="Arial" w:hAnsi="Arial" w:cs="Arial"/>
          <w:b/>
          <w:sz w:val="32"/>
          <w:szCs w:val="32"/>
        </w:rPr>
        <w:t xml:space="preserve">Assignment Title: </w:t>
      </w:r>
      <w:r>
        <w:rPr>
          <w:rFonts w:hint="default" w:ascii="Arial" w:hAnsi="Arial" w:cs="Arial"/>
          <w:b/>
          <w:sz w:val="32"/>
          <w:szCs w:val="32"/>
          <w:lang w:val="en-US"/>
        </w:rPr>
        <w:t>Assessment component - Individual report</w:t>
      </w:r>
    </w:p>
    <w:p w14:paraId="5D1D9232">
      <w:pPr>
        <w:jc w:val="center"/>
        <w:rPr>
          <w:rFonts w:hint="default" w:ascii="Arial" w:hAnsi="Arial" w:cs="Arial"/>
          <w:b/>
          <w:bCs/>
          <w:sz w:val="32"/>
          <w:szCs w:val="32"/>
        </w:rPr>
      </w:pPr>
      <w:r>
        <w:rPr>
          <w:rFonts w:hint="default" w:ascii="Arial" w:hAnsi="Arial" w:cs="Arial"/>
          <w:b/>
          <w:bCs/>
          <w:sz w:val="32"/>
          <w:szCs w:val="32"/>
        </w:rPr>
        <w:t>Student Name: Sabbir Ahmed</w:t>
      </w:r>
    </w:p>
    <w:p w14:paraId="0314A2F9">
      <w:pPr>
        <w:jc w:val="center"/>
        <w:rPr>
          <w:rFonts w:hint="default" w:ascii="Arial" w:hAnsi="Arial" w:cs="Arial"/>
          <w:sz w:val="32"/>
          <w:szCs w:val="32"/>
          <w:lang w:val="en-US"/>
        </w:rPr>
      </w:pPr>
      <w:r>
        <w:rPr>
          <w:rFonts w:hint="default" w:ascii="Arial" w:hAnsi="Arial" w:cs="Arial"/>
          <w:b/>
          <w:bCs/>
          <w:sz w:val="32"/>
          <w:szCs w:val="32"/>
        </w:rPr>
        <w:t>Student ID: 2438312</w:t>
      </w:r>
    </w:p>
    <w:p w14:paraId="6BAB2705">
      <w:pPr>
        <w:jc w:val="center"/>
        <w:rPr>
          <w:rFonts w:hint="default" w:ascii="Arial" w:hAnsi="Arial" w:cs="Arial"/>
          <w:b/>
          <w:sz w:val="32"/>
          <w:szCs w:val="32"/>
        </w:rPr>
      </w:pPr>
      <w:r>
        <w:rPr>
          <w:rFonts w:hint="default" w:ascii="Arial" w:hAnsi="Arial" w:cs="Arial"/>
          <w:b/>
          <w:sz w:val="32"/>
          <w:szCs w:val="32"/>
        </w:rPr>
        <w:t xml:space="preserve">Word Count: </w:t>
      </w:r>
      <w:r>
        <w:rPr>
          <w:rFonts w:hint="default" w:ascii="Arial" w:hAnsi="Arial" w:cs="Arial"/>
          <w:b/>
          <w:bCs/>
          <w:sz w:val="32"/>
          <w:szCs w:val="32"/>
        </w:rPr>
        <w:t>5362</w:t>
      </w:r>
    </w:p>
    <w:p w14:paraId="718FF8DA">
      <w:pPr>
        <w:rPr>
          <w:lang w:val="en-US"/>
        </w:rPr>
      </w:pPr>
    </w:p>
    <w:p w14:paraId="36E065F8">
      <w:pPr>
        <w:rPr>
          <w:rFonts w:asciiTheme="majorHAnsi" w:hAnsiTheme="majorHAnsi" w:eastAsiaTheme="majorEastAsia" w:cstheme="majorBidi"/>
          <w:color w:val="104862" w:themeColor="accent1" w:themeShade="BF"/>
          <w:sz w:val="40"/>
          <w:szCs w:val="40"/>
          <w:lang w:val="en-US"/>
        </w:rPr>
      </w:pPr>
      <w:r>
        <w:rPr>
          <w:lang w:val="en-US"/>
        </w:rPr>
        <w:br w:type="page"/>
      </w:r>
    </w:p>
    <w:sdt>
      <w:sdtPr>
        <w:rPr>
          <w:rFonts w:ascii="Arial" w:hAnsi="Arial" w:eastAsiaTheme="minorHAnsi" w:cstheme="minorBidi"/>
          <w:color w:val="auto"/>
          <w:kern w:val="2"/>
          <w:sz w:val="24"/>
          <w:szCs w:val="24"/>
          <w:lang w:val="en-GB"/>
          <w14:ligatures w14:val="standardContextual"/>
        </w:rPr>
        <w:id w:val="411745043"/>
        <w:docPartObj>
          <w:docPartGallery w:val="Table of Contents"/>
          <w:docPartUnique/>
        </w:docPartObj>
      </w:sdtPr>
      <w:sdtEndPr>
        <w:rPr>
          <w:rFonts w:ascii="Arial" w:hAnsi="Arial" w:eastAsiaTheme="minorHAnsi" w:cstheme="minorBidi"/>
          <w:b/>
          <w:bCs/>
          <w:color w:val="auto"/>
          <w:kern w:val="2"/>
          <w:sz w:val="24"/>
          <w:szCs w:val="24"/>
          <w:lang w:val="en-GB"/>
          <w14:ligatures w14:val="standardContextual"/>
        </w:rPr>
      </w:sdtEndPr>
      <w:sdtContent>
        <w:p w14:paraId="3FBEBF4C">
          <w:pPr>
            <w:pStyle w:val="41"/>
          </w:pPr>
          <w:r>
            <w:t>Contents</w:t>
          </w:r>
        </w:p>
        <w:p w14:paraId="0AA381B1">
          <w:pPr>
            <w:pStyle w:val="19"/>
            <w:tabs>
              <w:tab w:val="right" w:leader="dot" w:pos="9350"/>
            </w:tabs>
            <w:rPr>
              <w:rFonts w:asciiTheme="minorHAnsi" w:hAnsiTheme="minorHAnsi" w:eastAsiaTheme="minorEastAsia"/>
              <w:kern w:val="0"/>
              <w:sz w:val="22"/>
              <w:szCs w:val="22"/>
              <w:lang w:eastAsia="en-GB"/>
              <w14:ligatures w14:val="none"/>
            </w:rPr>
          </w:pPr>
          <w:r>
            <w:fldChar w:fldCharType="begin"/>
          </w:r>
          <w:r>
            <w:instrText xml:space="preserve"> TOC \o "1-3" \h \z \u </w:instrText>
          </w:r>
          <w:r>
            <w:fldChar w:fldCharType="separate"/>
          </w:r>
          <w:r>
            <w:fldChar w:fldCharType="begin"/>
          </w:r>
          <w:r>
            <w:instrText xml:space="preserve"> HYPERLINK \l "_Toc225617253" </w:instrText>
          </w:r>
          <w:r>
            <w:fldChar w:fldCharType="separate"/>
          </w:r>
          <w:r>
            <w:rPr>
              <w:rStyle w:val="14"/>
              <w:lang w:val="en-US"/>
            </w:rPr>
            <w:t>1. Organizational Context and Overview</w:t>
          </w:r>
          <w:r>
            <w:tab/>
          </w:r>
          <w:r>
            <w:fldChar w:fldCharType="begin"/>
          </w:r>
          <w:r>
            <w:instrText xml:space="preserve"> PAGEREF _Toc225617253 \h </w:instrText>
          </w:r>
          <w:r>
            <w:fldChar w:fldCharType="separate"/>
          </w:r>
          <w:r>
            <w:t>4</w:t>
          </w:r>
          <w:r>
            <w:fldChar w:fldCharType="end"/>
          </w:r>
          <w:r>
            <w:fldChar w:fldCharType="end"/>
          </w:r>
        </w:p>
        <w:p w14:paraId="064BD287">
          <w:pPr>
            <w:pStyle w:val="19"/>
            <w:tabs>
              <w:tab w:val="right" w:leader="dot" w:pos="9350"/>
            </w:tabs>
            <w:rPr>
              <w:rFonts w:asciiTheme="minorHAnsi" w:hAnsiTheme="minorHAnsi" w:eastAsiaTheme="minorEastAsia"/>
              <w:kern w:val="0"/>
              <w:sz w:val="22"/>
              <w:szCs w:val="22"/>
              <w:lang w:eastAsia="en-GB"/>
              <w14:ligatures w14:val="none"/>
            </w:rPr>
          </w:pPr>
          <w:r>
            <w:fldChar w:fldCharType="begin"/>
          </w:r>
          <w:r>
            <w:instrText xml:space="preserve"> HYPERLINK \l "_Toc225617254" </w:instrText>
          </w:r>
          <w:r>
            <w:fldChar w:fldCharType="separate"/>
          </w:r>
          <w:r>
            <w:rPr>
              <w:rStyle w:val="14"/>
              <w:lang w:val="en-US"/>
            </w:rPr>
            <w:t>2. External and Internal Environment Analysis</w:t>
          </w:r>
          <w:r>
            <w:tab/>
          </w:r>
          <w:r>
            <w:fldChar w:fldCharType="begin"/>
          </w:r>
          <w:r>
            <w:instrText xml:space="preserve"> PAGEREF _Toc225617254 \h </w:instrText>
          </w:r>
          <w:r>
            <w:fldChar w:fldCharType="separate"/>
          </w:r>
          <w:r>
            <w:t>5</w:t>
          </w:r>
          <w:r>
            <w:fldChar w:fldCharType="end"/>
          </w:r>
          <w:r>
            <w:fldChar w:fldCharType="end"/>
          </w:r>
        </w:p>
        <w:p w14:paraId="4CAD0516">
          <w:pPr>
            <w:pStyle w:val="20"/>
            <w:tabs>
              <w:tab w:val="right" w:leader="dot" w:pos="9350"/>
            </w:tabs>
            <w:rPr>
              <w:rFonts w:asciiTheme="minorHAnsi" w:hAnsiTheme="minorHAnsi" w:eastAsiaTheme="minorEastAsia"/>
              <w:kern w:val="0"/>
              <w:sz w:val="22"/>
              <w:szCs w:val="22"/>
              <w:lang w:eastAsia="en-GB"/>
              <w14:ligatures w14:val="none"/>
            </w:rPr>
          </w:pPr>
          <w:r>
            <w:fldChar w:fldCharType="begin"/>
          </w:r>
          <w:r>
            <w:instrText xml:space="preserve"> HYPERLINK \l "_Toc225617255" </w:instrText>
          </w:r>
          <w:r>
            <w:fldChar w:fldCharType="separate"/>
          </w:r>
          <w:r>
            <w:rPr>
              <w:rStyle w:val="14"/>
              <w:lang w:val="en-US"/>
            </w:rPr>
            <w:t>2.1 External Environment: PESTEL Analysis</w:t>
          </w:r>
          <w:r>
            <w:tab/>
          </w:r>
          <w:r>
            <w:fldChar w:fldCharType="begin"/>
          </w:r>
          <w:r>
            <w:instrText xml:space="preserve"> PAGEREF _Toc225617255 \h </w:instrText>
          </w:r>
          <w:r>
            <w:fldChar w:fldCharType="separate"/>
          </w:r>
          <w:r>
            <w:t>5</w:t>
          </w:r>
          <w:r>
            <w:fldChar w:fldCharType="end"/>
          </w:r>
          <w:r>
            <w:fldChar w:fldCharType="end"/>
          </w:r>
        </w:p>
        <w:p w14:paraId="0FB712EC">
          <w:pPr>
            <w:pStyle w:val="20"/>
            <w:tabs>
              <w:tab w:val="right" w:leader="dot" w:pos="9350"/>
            </w:tabs>
            <w:rPr>
              <w:rFonts w:asciiTheme="minorHAnsi" w:hAnsiTheme="minorHAnsi" w:eastAsiaTheme="minorEastAsia"/>
              <w:kern w:val="0"/>
              <w:sz w:val="22"/>
              <w:szCs w:val="22"/>
              <w:lang w:eastAsia="en-GB"/>
              <w14:ligatures w14:val="none"/>
            </w:rPr>
          </w:pPr>
          <w:r>
            <w:fldChar w:fldCharType="begin"/>
          </w:r>
          <w:r>
            <w:instrText xml:space="preserve"> HYPERLINK \l "_Toc225617256" </w:instrText>
          </w:r>
          <w:r>
            <w:fldChar w:fldCharType="separate"/>
          </w:r>
          <w:r>
            <w:rPr>
              <w:rStyle w:val="14"/>
              <w:lang w:val="en-US"/>
            </w:rPr>
            <w:t>2.2 Strategic Challenges and Critical Success Factors (External Environment)</w:t>
          </w:r>
          <w:r>
            <w:tab/>
          </w:r>
          <w:r>
            <w:fldChar w:fldCharType="begin"/>
          </w:r>
          <w:r>
            <w:instrText xml:space="preserve"> PAGEREF _Toc225617256 \h </w:instrText>
          </w:r>
          <w:r>
            <w:fldChar w:fldCharType="separate"/>
          </w:r>
          <w:r>
            <w:t>7</w:t>
          </w:r>
          <w:r>
            <w:fldChar w:fldCharType="end"/>
          </w:r>
          <w:r>
            <w:fldChar w:fldCharType="end"/>
          </w:r>
        </w:p>
        <w:p w14:paraId="45FF9874">
          <w:pPr>
            <w:pStyle w:val="20"/>
            <w:tabs>
              <w:tab w:val="right" w:leader="dot" w:pos="9350"/>
            </w:tabs>
            <w:rPr>
              <w:rFonts w:asciiTheme="minorHAnsi" w:hAnsiTheme="minorHAnsi" w:eastAsiaTheme="minorEastAsia"/>
              <w:kern w:val="0"/>
              <w:sz w:val="22"/>
              <w:szCs w:val="22"/>
              <w:lang w:eastAsia="en-GB"/>
              <w14:ligatures w14:val="none"/>
            </w:rPr>
          </w:pPr>
          <w:r>
            <w:fldChar w:fldCharType="begin"/>
          </w:r>
          <w:r>
            <w:instrText xml:space="preserve"> HYPERLINK \l "_Toc225617257" </w:instrText>
          </w:r>
          <w:r>
            <w:fldChar w:fldCharType="separate"/>
          </w:r>
          <w:r>
            <w:rPr>
              <w:rStyle w:val="14"/>
              <w:lang w:val="en-US"/>
            </w:rPr>
            <w:t>2.3 Internal Environment: Resources, Capabilities and Core Competencies</w:t>
          </w:r>
          <w:r>
            <w:tab/>
          </w:r>
          <w:r>
            <w:fldChar w:fldCharType="begin"/>
          </w:r>
          <w:r>
            <w:instrText xml:space="preserve"> PAGEREF _Toc225617257 \h </w:instrText>
          </w:r>
          <w:r>
            <w:fldChar w:fldCharType="separate"/>
          </w:r>
          <w:r>
            <w:t>8</w:t>
          </w:r>
          <w:r>
            <w:fldChar w:fldCharType="end"/>
          </w:r>
          <w:r>
            <w:fldChar w:fldCharType="end"/>
          </w:r>
        </w:p>
        <w:p w14:paraId="56C2FAA6">
          <w:pPr>
            <w:pStyle w:val="20"/>
            <w:tabs>
              <w:tab w:val="right" w:leader="dot" w:pos="9350"/>
            </w:tabs>
            <w:rPr>
              <w:rFonts w:asciiTheme="minorHAnsi" w:hAnsiTheme="minorHAnsi" w:eastAsiaTheme="minorEastAsia"/>
              <w:kern w:val="0"/>
              <w:sz w:val="22"/>
              <w:szCs w:val="22"/>
              <w:lang w:eastAsia="en-GB"/>
              <w14:ligatures w14:val="none"/>
            </w:rPr>
          </w:pPr>
          <w:r>
            <w:fldChar w:fldCharType="begin"/>
          </w:r>
          <w:r>
            <w:instrText xml:space="preserve"> HYPERLINK \l "_Toc225617258" </w:instrText>
          </w:r>
          <w:r>
            <w:fldChar w:fldCharType="separate"/>
          </w:r>
          <w:r>
            <w:rPr>
              <w:rStyle w:val="14"/>
              <w:lang w:val="en-US"/>
            </w:rPr>
            <w:t>2.4 VRIO Analysis of Strategic Capabilities</w:t>
          </w:r>
          <w:r>
            <w:tab/>
          </w:r>
          <w:r>
            <w:fldChar w:fldCharType="begin"/>
          </w:r>
          <w:r>
            <w:instrText xml:space="preserve"> PAGEREF _Toc225617258 \h </w:instrText>
          </w:r>
          <w:r>
            <w:fldChar w:fldCharType="separate"/>
          </w:r>
          <w:r>
            <w:t>9</w:t>
          </w:r>
          <w:r>
            <w:fldChar w:fldCharType="end"/>
          </w:r>
          <w:r>
            <w:fldChar w:fldCharType="end"/>
          </w:r>
        </w:p>
        <w:p w14:paraId="5BB2FB0E">
          <w:pPr>
            <w:pStyle w:val="20"/>
            <w:tabs>
              <w:tab w:val="right" w:leader="dot" w:pos="9350"/>
            </w:tabs>
            <w:rPr>
              <w:rFonts w:asciiTheme="minorHAnsi" w:hAnsiTheme="minorHAnsi" w:eastAsiaTheme="minorEastAsia"/>
              <w:kern w:val="0"/>
              <w:sz w:val="22"/>
              <w:szCs w:val="22"/>
              <w:lang w:eastAsia="en-GB"/>
              <w14:ligatures w14:val="none"/>
            </w:rPr>
          </w:pPr>
          <w:r>
            <w:fldChar w:fldCharType="begin"/>
          </w:r>
          <w:r>
            <w:instrText xml:space="preserve"> HYPERLINK \l "_Toc225617259" </w:instrText>
          </w:r>
          <w:r>
            <w:fldChar w:fldCharType="separate"/>
          </w:r>
          <w:r>
            <w:rPr>
              <w:rStyle w:val="14"/>
              <w:lang w:val="en-US"/>
            </w:rPr>
            <w:t>2.5 Competitive Advantage and Strengths</w:t>
          </w:r>
          <w:r>
            <w:tab/>
          </w:r>
          <w:r>
            <w:fldChar w:fldCharType="begin"/>
          </w:r>
          <w:r>
            <w:instrText xml:space="preserve"> PAGEREF _Toc225617259 \h </w:instrText>
          </w:r>
          <w:r>
            <w:fldChar w:fldCharType="separate"/>
          </w:r>
          <w:r>
            <w:t>10</w:t>
          </w:r>
          <w:r>
            <w:fldChar w:fldCharType="end"/>
          </w:r>
          <w:r>
            <w:fldChar w:fldCharType="end"/>
          </w:r>
        </w:p>
        <w:p w14:paraId="3902C609">
          <w:pPr>
            <w:pStyle w:val="19"/>
            <w:tabs>
              <w:tab w:val="right" w:leader="dot" w:pos="9350"/>
            </w:tabs>
            <w:rPr>
              <w:rFonts w:asciiTheme="minorHAnsi" w:hAnsiTheme="minorHAnsi" w:eastAsiaTheme="minorEastAsia"/>
              <w:kern w:val="0"/>
              <w:sz w:val="22"/>
              <w:szCs w:val="22"/>
              <w:lang w:eastAsia="en-GB"/>
              <w14:ligatures w14:val="none"/>
            </w:rPr>
          </w:pPr>
          <w:r>
            <w:fldChar w:fldCharType="begin"/>
          </w:r>
          <w:r>
            <w:instrText xml:space="preserve"> HYPERLINK \l "_Toc225617260" </w:instrText>
          </w:r>
          <w:r>
            <w:fldChar w:fldCharType="separate"/>
          </w:r>
          <w:r>
            <w:rPr>
              <w:rStyle w:val="14"/>
              <w:lang w:val="en-US"/>
            </w:rPr>
            <w:t>3. CSR and Sustainability Objectives</w:t>
          </w:r>
          <w:r>
            <w:tab/>
          </w:r>
          <w:r>
            <w:fldChar w:fldCharType="begin"/>
          </w:r>
          <w:r>
            <w:instrText xml:space="preserve"> PAGEREF _Toc225617260 \h </w:instrText>
          </w:r>
          <w:r>
            <w:fldChar w:fldCharType="separate"/>
          </w:r>
          <w:r>
            <w:t>11</w:t>
          </w:r>
          <w:r>
            <w:fldChar w:fldCharType="end"/>
          </w:r>
          <w:r>
            <w:fldChar w:fldCharType="end"/>
          </w:r>
        </w:p>
        <w:p w14:paraId="72C920C3">
          <w:pPr>
            <w:pStyle w:val="19"/>
            <w:tabs>
              <w:tab w:val="right" w:leader="dot" w:pos="9350"/>
            </w:tabs>
            <w:rPr>
              <w:rFonts w:asciiTheme="minorHAnsi" w:hAnsiTheme="minorHAnsi" w:eastAsiaTheme="minorEastAsia"/>
              <w:kern w:val="0"/>
              <w:sz w:val="22"/>
              <w:szCs w:val="22"/>
              <w:lang w:eastAsia="en-GB"/>
              <w14:ligatures w14:val="none"/>
            </w:rPr>
          </w:pPr>
          <w:r>
            <w:fldChar w:fldCharType="begin"/>
          </w:r>
          <w:r>
            <w:instrText xml:space="preserve"> HYPERLINK \l "_Toc225617261" </w:instrText>
          </w:r>
          <w:r>
            <w:fldChar w:fldCharType="separate"/>
          </w:r>
          <w:r>
            <w:rPr>
              <w:rStyle w:val="14"/>
              <w:lang w:val="en-US"/>
            </w:rPr>
            <w:t>4. Balanced Scorecard - Holistic Organizational View</w:t>
          </w:r>
          <w:r>
            <w:tab/>
          </w:r>
          <w:r>
            <w:fldChar w:fldCharType="begin"/>
          </w:r>
          <w:r>
            <w:instrText xml:space="preserve"> PAGEREF _Toc225617261 \h </w:instrText>
          </w:r>
          <w:r>
            <w:fldChar w:fldCharType="separate"/>
          </w:r>
          <w:r>
            <w:t>12</w:t>
          </w:r>
          <w:r>
            <w:fldChar w:fldCharType="end"/>
          </w:r>
          <w:r>
            <w:fldChar w:fldCharType="end"/>
          </w:r>
        </w:p>
        <w:p w14:paraId="40EB95A2">
          <w:pPr>
            <w:pStyle w:val="19"/>
            <w:tabs>
              <w:tab w:val="right" w:leader="dot" w:pos="9350"/>
            </w:tabs>
            <w:rPr>
              <w:rFonts w:asciiTheme="minorHAnsi" w:hAnsiTheme="minorHAnsi" w:eastAsiaTheme="minorEastAsia"/>
              <w:kern w:val="0"/>
              <w:sz w:val="22"/>
              <w:szCs w:val="22"/>
              <w:lang w:eastAsia="en-GB"/>
              <w14:ligatures w14:val="none"/>
            </w:rPr>
          </w:pPr>
          <w:r>
            <w:fldChar w:fldCharType="begin"/>
          </w:r>
          <w:r>
            <w:instrText xml:space="preserve"> HYPERLINK \l "_Toc225617262" </w:instrText>
          </w:r>
          <w:r>
            <w:fldChar w:fldCharType="separate"/>
          </w:r>
          <w:r>
            <w:rPr>
              <w:rStyle w:val="14"/>
              <w:lang w:val="en-US"/>
            </w:rPr>
            <w:t>5. Strategic Decisions and Direction.</w:t>
          </w:r>
          <w:r>
            <w:tab/>
          </w:r>
          <w:r>
            <w:fldChar w:fldCharType="begin"/>
          </w:r>
          <w:r>
            <w:instrText xml:space="preserve"> PAGEREF _Toc225617262 \h </w:instrText>
          </w:r>
          <w:r>
            <w:fldChar w:fldCharType="separate"/>
          </w:r>
          <w:r>
            <w:t>15</w:t>
          </w:r>
          <w:r>
            <w:fldChar w:fldCharType="end"/>
          </w:r>
          <w:r>
            <w:fldChar w:fldCharType="end"/>
          </w:r>
        </w:p>
        <w:p w14:paraId="0C1C3B17">
          <w:pPr>
            <w:pStyle w:val="20"/>
            <w:tabs>
              <w:tab w:val="right" w:leader="dot" w:pos="9350"/>
            </w:tabs>
            <w:rPr>
              <w:rFonts w:asciiTheme="minorHAnsi" w:hAnsiTheme="minorHAnsi" w:eastAsiaTheme="minorEastAsia"/>
              <w:kern w:val="0"/>
              <w:sz w:val="22"/>
              <w:szCs w:val="22"/>
              <w:lang w:eastAsia="en-GB"/>
              <w14:ligatures w14:val="none"/>
            </w:rPr>
          </w:pPr>
          <w:r>
            <w:fldChar w:fldCharType="begin"/>
          </w:r>
          <w:r>
            <w:instrText xml:space="preserve"> HYPERLINK \l "_Toc225617263" </w:instrText>
          </w:r>
          <w:r>
            <w:fldChar w:fldCharType="separate"/>
          </w:r>
          <w:r>
            <w:rPr>
              <w:rStyle w:val="14"/>
              <w:lang w:val="en-US"/>
            </w:rPr>
            <w:t>5.1 Business-Level Strategy Decisions</w:t>
          </w:r>
          <w:r>
            <w:tab/>
          </w:r>
          <w:r>
            <w:fldChar w:fldCharType="begin"/>
          </w:r>
          <w:r>
            <w:instrText xml:space="preserve"> PAGEREF _Toc225617263 \h </w:instrText>
          </w:r>
          <w:r>
            <w:fldChar w:fldCharType="separate"/>
          </w:r>
          <w:r>
            <w:t>15</w:t>
          </w:r>
          <w:r>
            <w:fldChar w:fldCharType="end"/>
          </w:r>
          <w:r>
            <w:fldChar w:fldCharType="end"/>
          </w:r>
        </w:p>
        <w:p w14:paraId="781FF385">
          <w:pPr>
            <w:pStyle w:val="20"/>
            <w:tabs>
              <w:tab w:val="right" w:leader="dot" w:pos="9350"/>
            </w:tabs>
            <w:rPr>
              <w:rFonts w:asciiTheme="minorHAnsi" w:hAnsiTheme="minorHAnsi" w:eastAsiaTheme="minorEastAsia"/>
              <w:kern w:val="0"/>
              <w:sz w:val="22"/>
              <w:szCs w:val="22"/>
              <w:lang w:eastAsia="en-GB"/>
              <w14:ligatures w14:val="none"/>
            </w:rPr>
          </w:pPr>
          <w:r>
            <w:fldChar w:fldCharType="begin"/>
          </w:r>
          <w:r>
            <w:instrText xml:space="preserve"> HYPERLINK \l "_Toc225617264" </w:instrText>
          </w:r>
          <w:r>
            <w:fldChar w:fldCharType="separate"/>
          </w:r>
          <w:r>
            <w:rPr>
              <w:rStyle w:val="14"/>
              <w:lang w:val="en-US"/>
            </w:rPr>
            <w:t>5.2 Corporate Level Strategic Decisions.</w:t>
          </w:r>
          <w:r>
            <w:tab/>
          </w:r>
          <w:r>
            <w:fldChar w:fldCharType="begin"/>
          </w:r>
          <w:r>
            <w:instrText xml:space="preserve"> PAGEREF _Toc225617264 \h </w:instrText>
          </w:r>
          <w:r>
            <w:fldChar w:fldCharType="separate"/>
          </w:r>
          <w:r>
            <w:t>16</w:t>
          </w:r>
          <w:r>
            <w:fldChar w:fldCharType="end"/>
          </w:r>
          <w:r>
            <w:fldChar w:fldCharType="end"/>
          </w:r>
        </w:p>
        <w:p w14:paraId="5C430565">
          <w:pPr>
            <w:pStyle w:val="20"/>
            <w:tabs>
              <w:tab w:val="right" w:leader="dot" w:pos="9350"/>
            </w:tabs>
            <w:rPr>
              <w:rFonts w:asciiTheme="minorHAnsi" w:hAnsiTheme="minorHAnsi" w:eastAsiaTheme="minorEastAsia"/>
              <w:kern w:val="0"/>
              <w:sz w:val="22"/>
              <w:szCs w:val="22"/>
              <w:lang w:eastAsia="en-GB"/>
              <w14:ligatures w14:val="none"/>
            </w:rPr>
          </w:pPr>
          <w:r>
            <w:fldChar w:fldCharType="begin"/>
          </w:r>
          <w:r>
            <w:instrText xml:space="preserve"> HYPERLINK \l "_Toc225617265" </w:instrText>
          </w:r>
          <w:r>
            <w:fldChar w:fldCharType="separate"/>
          </w:r>
          <w:r>
            <w:rPr>
              <w:rStyle w:val="14"/>
              <w:lang w:val="en-US"/>
            </w:rPr>
            <w:t>5.3 Strategic Approach Recommended.</w:t>
          </w:r>
          <w:r>
            <w:tab/>
          </w:r>
          <w:r>
            <w:fldChar w:fldCharType="begin"/>
          </w:r>
          <w:r>
            <w:instrText xml:space="preserve"> PAGEREF _Toc225617265 \h </w:instrText>
          </w:r>
          <w:r>
            <w:fldChar w:fldCharType="separate"/>
          </w:r>
          <w:r>
            <w:t>17</w:t>
          </w:r>
          <w:r>
            <w:fldChar w:fldCharType="end"/>
          </w:r>
          <w:r>
            <w:fldChar w:fldCharType="end"/>
          </w:r>
        </w:p>
        <w:p w14:paraId="6E35DCDF">
          <w:pPr>
            <w:pStyle w:val="20"/>
            <w:tabs>
              <w:tab w:val="right" w:leader="dot" w:pos="9350"/>
            </w:tabs>
            <w:rPr>
              <w:rFonts w:asciiTheme="minorHAnsi" w:hAnsiTheme="minorHAnsi" w:eastAsiaTheme="minorEastAsia"/>
              <w:kern w:val="0"/>
              <w:sz w:val="22"/>
              <w:szCs w:val="22"/>
              <w:lang w:eastAsia="en-GB"/>
              <w14:ligatures w14:val="none"/>
            </w:rPr>
          </w:pPr>
          <w:r>
            <w:fldChar w:fldCharType="begin"/>
          </w:r>
          <w:r>
            <w:instrText xml:space="preserve"> HYPERLINK \l "_Toc225617266" </w:instrText>
          </w:r>
          <w:r>
            <w:fldChar w:fldCharType="separate"/>
          </w:r>
          <w:r>
            <w:rPr>
              <w:rStyle w:val="14"/>
              <w:lang w:val="en-US"/>
            </w:rPr>
            <w:t>5.4 Management and Strategic Implementation Change</w:t>
          </w:r>
          <w:r>
            <w:tab/>
          </w:r>
          <w:r>
            <w:fldChar w:fldCharType="begin"/>
          </w:r>
          <w:r>
            <w:instrText xml:space="preserve"> PAGEREF _Toc225617266 \h </w:instrText>
          </w:r>
          <w:r>
            <w:fldChar w:fldCharType="separate"/>
          </w:r>
          <w:r>
            <w:t>17</w:t>
          </w:r>
          <w:r>
            <w:fldChar w:fldCharType="end"/>
          </w:r>
          <w:r>
            <w:fldChar w:fldCharType="end"/>
          </w:r>
        </w:p>
        <w:p w14:paraId="1E1E3BFD">
          <w:pPr>
            <w:pStyle w:val="19"/>
            <w:tabs>
              <w:tab w:val="right" w:leader="dot" w:pos="9350"/>
            </w:tabs>
            <w:rPr>
              <w:rFonts w:asciiTheme="minorHAnsi" w:hAnsiTheme="minorHAnsi" w:eastAsiaTheme="minorEastAsia"/>
              <w:kern w:val="0"/>
              <w:sz w:val="22"/>
              <w:szCs w:val="22"/>
              <w:lang w:eastAsia="en-GB"/>
              <w14:ligatures w14:val="none"/>
            </w:rPr>
          </w:pPr>
          <w:r>
            <w:fldChar w:fldCharType="begin"/>
          </w:r>
          <w:r>
            <w:instrText xml:space="preserve"> HYPERLINK \l "_Toc225617267" </w:instrText>
          </w:r>
          <w:r>
            <w:fldChar w:fldCharType="separate"/>
          </w:r>
          <w:r>
            <w:rPr>
              <w:rStyle w:val="14"/>
              <w:lang w:val="en-US"/>
            </w:rPr>
            <w:t>6. Strategic Evaluation and Recommendations</w:t>
          </w:r>
          <w:r>
            <w:tab/>
          </w:r>
          <w:r>
            <w:fldChar w:fldCharType="begin"/>
          </w:r>
          <w:r>
            <w:instrText xml:space="preserve"> PAGEREF _Toc225617267 \h </w:instrText>
          </w:r>
          <w:r>
            <w:fldChar w:fldCharType="separate"/>
          </w:r>
          <w:r>
            <w:t>18</w:t>
          </w:r>
          <w:r>
            <w:fldChar w:fldCharType="end"/>
          </w:r>
          <w:r>
            <w:fldChar w:fldCharType="end"/>
          </w:r>
        </w:p>
        <w:p w14:paraId="60EB62A0">
          <w:pPr>
            <w:pStyle w:val="20"/>
            <w:tabs>
              <w:tab w:val="right" w:leader="dot" w:pos="9350"/>
            </w:tabs>
            <w:rPr>
              <w:rFonts w:asciiTheme="minorHAnsi" w:hAnsiTheme="minorHAnsi" w:eastAsiaTheme="minorEastAsia"/>
              <w:kern w:val="0"/>
              <w:sz w:val="22"/>
              <w:szCs w:val="22"/>
              <w:lang w:eastAsia="en-GB"/>
              <w14:ligatures w14:val="none"/>
            </w:rPr>
          </w:pPr>
          <w:r>
            <w:fldChar w:fldCharType="begin"/>
          </w:r>
          <w:r>
            <w:instrText xml:space="preserve"> HYPERLINK \l "_Toc225617268" </w:instrText>
          </w:r>
          <w:r>
            <w:fldChar w:fldCharType="separate"/>
          </w:r>
          <w:r>
            <w:rPr>
              <w:rStyle w:val="14"/>
              <w:lang w:val="en-US"/>
            </w:rPr>
            <w:t>6.1 SWOT Analysis</w:t>
          </w:r>
          <w:r>
            <w:tab/>
          </w:r>
          <w:r>
            <w:fldChar w:fldCharType="begin"/>
          </w:r>
          <w:r>
            <w:instrText xml:space="preserve"> PAGEREF _Toc225617268 \h </w:instrText>
          </w:r>
          <w:r>
            <w:fldChar w:fldCharType="separate"/>
          </w:r>
          <w:r>
            <w:t>18</w:t>
          </w:r>
          <w:r>
            <w:fldChar w:fldCharType="end"/>
          </w:r>
          <w:r>
            <w:fldChar w:fldCharType="end"/>
          </w:r>
        </w:p>
        <w:p w14:paraId="7E202E8B">
          <w:pPr>
            <w:pStyle w:val="20"/>
            <w:tabs>
              <w:tab w:val="right" w:leader="dot" w:pos="9350"/>
            </w:tabs>
            <w:rPr>
              <w:rFonts w:asciiTheme="minorHAnsi" w:hAnsiTheme="minorHAnsi" w:eastAsiaTheme="minorEastAsia"/>
              <w:kern w:val="0"/>
              <w:sz w:val="22"/>
              <w:szCs w:val="22"/>
              <w:lang w:eastAsia="en-GB"/>
              <w14:ligatures w14:val="none"/>
            </w:rPr>
          </w:pPr>
          <w:r>
            <w:fldChar w:fldCharType="begin"/>
          </w:r>
          <w:r>
            <w:instrText xml:space="preserve"> HYPERLINK \l "_Toc225617269" </w:instrText>
          </w:r>
          <w:r>
            <w:fldChar w:fldCharType="separate"/>
          </w:r>
          <w:r>
            <w:rPr>
              <w:rStyle w:val="14"/>
              <w:lang w:val="en-US"/>
            </w:rPr>
            <w:t>6.2 Ansoff’s Matrix Evaluation</w:t>
          </w:r>
          <w:r>
            <w:tab/>
          </w:r>
          <w:r>
            <w:fldChar w:fldCharType="begin"/>
          </w:r>
          <w:r>
            <w:instrText xml:space="preserve"> PAGEREF _Toc225617269 \h </w:instrText>
          </w:r>
          <w:r>
            <w:fldChar w:fldCharType="separate"/>
          </w:r>
          <w:r>
            <w:t>19</w:t>
          </w:r>
          <w:r>
            <w:fldChar w:fldCharType="end"/>
          </w:r>
          <w:r>
            <w:fldChar w:fldCharType="end"/>
          </w:r>
        </w:p>
        <w:p w14:paraId="21758D68">
          <w:pPr>
            <w:pStyle w:val="20"/>
            <w:tabs>
              <w:tab w:val="right" w:leader="dot" w:pos="9350"/>
            </w:tabs>
            <w:rPr>
              <w:rFonts w:asciiTheme="minorHAnsi" w:hAnsiTheme="minorHAnsi" w:eastAsiaTheme="minorEastAsia"/>
              <w:kern w:val="0"/>
              <w:sz w:val="22"/>
              <w:szCs w:val="22"/>
              <w:lang w:eastAsia="en-GB"/>
              <w14:ligatures w14:val="none"/>
            </w:rPr>
          </w:pPr>
          <w:r>
            <w:fldChar w:fldCharType="begin"/>
          </w:r>
          <w:r>
            <w:instrText xml:space="preserve"> HYPERLINK \l "_Toc225617270" </w:instrText>
          </w:r>
          <w:r>
            <w:fldChar w:fldCharType="separate"/>
          </w:r>
          <w:r>
            <w:rPr>
              <w:rStyle w:val="14"/>
              <w:lang w:val="en-US"/>
            </w:rPr>
            <w:t>6.3 Strategic Recommendations</w:t>
          </w:r>
          <w:r>
            <w:tab/>
          </w:r>
          <w:r>
            <w:fldChar w:fldCharType="begin"/>
          </w:r>
          <w:r>
            <w:instrText xml:space="preserve"> PAGEREF _Toc225617270 \h </w:instrText>
          </w:r>
          <w:r>
            <w:fldChar w:fldCharType="separate"/>
          </w:r>
          <w:r>
            <w:t>20</w:t>
          </w:r>
          <w:r>
            <w:fldChar w:fldCharType="end"/>
          </w:r>
          <w:r>
            <w:fldChar w:fldCharType="end"/>
          </w:r>
        </w:p>
        <w:p w14:paraId="1896C84A">
          <w:pPr>
            <w:pStyle w:val="20"/>
            <w:tabs>
              <w:tab w:val="right" w:leader="dot" w:pos="9350"/>
            </w:tabs>
            <w:rPr>
              <w:rFonts w:asciiTheme="minorHAnsi" w:hAnsiTheme="minorHAnsi" w:eastAsiaTheme="minorEastAsia"/>
              <w:kern w:val="0"/>
              <w:sz w:val="22"/>
              <w:szCs w:val="22"/>
              <w:lang w:eastAsia="en-GB"/>
              <w14:ligatures w14:val="none"/>
            </w:rPr>
          </w:pPr>
          <w:r>
            <w:fldChar w:fldCharType="begin"/>
          </w:r>
          <w:r>
            <w:instrText xml:space="preserve"> HYPERLINK \l "_Toc225617271" </w:instrText>
          </w:r>
          <w:r>
            <w:fldChar w:fldCharType="separate"/>
          </w:r>
          <w:r>
            <w:rPr>
              <w:rStyle w:val="14"/>
              <w:lang w:val="en-US"/>
            </w:rPr>
            <w:t>6.4 Recommendations Justification</w:t>
          </w:r>
          <w:r>
            <w:tab/>
          </w:r>
          <w:r>
            <w:fldChar w:fldCharType="begin"/>
          </w:r>
          <w:r>
            <w:instrText xml:space="preserve"> PAGEREF _Toc225617271 \h </w:instrText>
          </w:r>
          <w:r>
            <w:fldChar w:fldCharType="separate"/>
          </w:r>
          <w:r>
            <w:t>21</w:t>
          </w:r>
          <w:r>
            <w:fldChar w:fldCharType="end"/>
          </w:r>
          <w:r>
            <w:fldChar w:fldCharType="end"/>
          </w:r>
        </w:p>
        <w:p w14:paraId="6F29A781">
          <w:pPr>
            <w:pStyle w:val="20"/>
            <w:tabs>
              <w:tab w:val="right" w:leader="dot" w:pos="9350"/>
            </w:tabs>
            <w:rPr>
              <w:rFonts w:asciiTheme="minorHAnsi" w:hAnsiTheme="minorHAnsi" w:eastAsiaTheme="minorEastAsia"/>
              <w:kern w:val="0"/>
              <w:sz w:val="22"/>
              <w:szCs w:val="22"/>
              <w:lang w:eastAsia="en-GB"/>
              <w14:ligatures w14:val="none"/>
            </w:rPr>
          </w:pPr>
          <w:r>
            <w:fldChar w:fldCharType="begin"/>
          </w:r>
          <w:r>
            <w:instrText xml:space="preserve"> HYPERLINK \l "_Toc225617272" </w:instrText>
          </w:r>
          <w:r>
            <w:fldChar w:fldCharType="separate"/>
          </w:r>
          <w:r>
            <w:rPr>
              <w:rStyle w:val="14"/>
              <w:lang w:val="en-US"/>
            </w:rPr>
            <w:t>6.5 Conclusion</w:t>
          </w:r>
          <w:r>
            <w:tab/>
          </w:r>
          <w:r>
            <w:fldChar w:fldCharType="begin"/>
          </w:r>
          <w:r>
            <w:instrText xml:space="preserve"> PAGEREF _Toc225617272 \h </w:instrText>
          </w:r>
          <w:r>
            <w:fldChar w:fldCharType="separate"/>
          </w:r>
          <w:r>
            <w:t>21</w:t>
          </w:r>
          <w:r>
            <w:fldChar w:fldCharType="end"/>
          </w:r>
          <w:r>
            <w:fldChar w:fldCharType="end"/>
          </w:r>
        </w:p>
        <w:p w14:paraId="1D08865B">
          <w:pPr>
            <w:pStyle w:val="19"/>
            <w:tabs>
              <w:tab w:val="right" w:leader="dot" w:pos="9350"/>
            </w:tabs>
            <w:rPr>
              <w:rFonts w:asciiTheme="minorHAnsi" w:hAnsiTheme="minorHAnsi" w:eastAsiaTheme="minorEastAsia"/>
              <w:kern w:val="0"/>
              <w:sz w:val="22"/>
              <w:szCs w:val="22"/>
              <w:lang w:eastAsia="en-GB"/>
              <w14:ligatures w14:val="none"/>
            </w:rPr>
          </w:pPr>
          <w:r>
            <w:fldChar w:fldCharType="begin"/>
          </w:r>
          <w:r>
            <w:instrText xml:space="preserve"> HYPERLINK \l "_Toc225617273" </w:instrText>
          </w:r>
          <w:r>
            <w:fldChar w:fldCharType="separate"/>
          </w:r>
          <w:r>
            <w:rPr>
              <w:rStyle w:val="14"/>
            </w:rPr>
            <w:t>Reflection</w:t>
          </w:r>
          <w:r>
            <w:tab/>
          </w:r>
          <w:r>
            <w:fldChar w:fldCharType="begin"/>
          </w:r>
          <w:r>
            <w:instrText xml:space="preserve"> PAGEREF _Toc225617273 \h </w:instrText>
          </w:r>
          <w:r>
            <w:fldChar w:fldCharType="separate"/>
          </w:r>
          <w:r>
            <w:t>22</w:t>
          </w:r>
          <w:r>
            <w:fldChar w:fldCharType="end"/>
          </w:r>
          <w:r>
            <w:fldChar w:fldCharType="end"/>
          </w:r>
        </w:p>
        <w:p w14:paraId="5887788D">
          <w:pPr>
            <w:pStyle w:val="20"/>
            <w:tabs>
              <w:tab w:val="right" w:leader="dot" w:pos="9350"/>
            </w:tabs>
            <w:rPr>
              <w:rFonts w:asciiTheme="minorHAnsi" w:hAnsiTheme="minorHAnsi" w:eastAsiaTheme="minorEastAsia"/>
              <w:kern w:val="0"/>
              <w:sz w:val="22"/>
              <w:szCs w:val="22"/>
              <w:lang w:eastAsia="en-GB"/>
              <w14:ligatures w14:val="none"/>
            </w:rPr>
          </w:pPr>
          <w:r>
            <w:fldChar w:fldCharType="begin"/>
          </w:r>
          <w:r>
            <w:instrText xml:space="preserve"> HYPERLINK \l "_Toc225617274" </w:instrText>
          </w:r>
          <w:r>
            <w:fldChar w:fldCharType="separate"/>
          </w:r>
          <w:r>
            <w:rPr>
              <w:rStyle w:val="14"/>
              <w:lang w:val="en-US"/>
            </w:rPr>
            <w:t>Experience description</w:t>
          </w:r>
          <w:r>
            <w:tab/>
          </w:r>
          <w:r>
            <w:fldChar w:fldCharType="begin"/>
          </w:r>
          <w:r>
            <w:instrText xml:space="preserve"> PAGEREF _Toc225617274 \h </w:instrText>
          </w:r>
          <w:r>
            <w:fldChar w:fldCharType="separate"/>
          </w:r>
          <w:r>
            <w:t>22</w:t>
          </w:r>
          <w:r>
            <w:fldChar w:fldCharType="end"/>
          </w:r>
          <w:r>
            <w:fldChar w:fldCharType="end"/>
          </w:r>
        </w:p>
        <w:p w14:paraId="0FE22DE6">
          <w:pPr>
            <w:pStyle w:val="20"/>
            <w:tabs>
              <w:tab w:val="right" w:leader="dot" w:pos="9350"/>
            </w:tabs>
            <w:rPr>
              <w:rFonts w:asciiTheme="minorHAnsi" w:hAnsiTheme="minorHAnsi" w:eastAsiaTheme="minorEastAsia"/>
              <w:kern w:val="0"/>
              <w:sz w:val="22"/>
              <w:szCs w:val="22"/>
              <w:lang w:eastAsia="en-GB"/>
              <w14:ligatures w14:val="none"/>
            </w:rPr>
          </w:pPr>
          <w:r>
            <w:fldChar w:fldCharType="begin"/>
          </w:r>
          <w:r>
            <w:instrText xml:space="preserve"> HYPERLINK \l "_Toc225617275" </w:instrText>
          </w:r>
          <w:r>
            <w:fldChar w:fldCharType="separate"/>
          </w:r>
          <w:r>
            <w:rPr>
              <w:rStyle w:val="14"/>
              <w:lang w:val="en-US"/>
            </w:rPr>
            <w:t>Feelings during the Process</w:t>
          </w:r>
          <w:r>
            <w:tab/>
          </w:r>
          <w:r>
            <w:fldChar w:fldCharType="begin"/>
          </w:r>
          <w:r>
            <w:instrText xml:space="preserve"> PAGEREF _Toc225617275 \h </w:instrText>
          </w:r>
          <w:r>
            <w:fldChar w:fldCharType="separate"/>
          </w:r>
          <w:r>
            <w:t>23</w:t>
          </w:r>
          <w:r>
            <w:fldChar w:fldCharType="end"/>
          </w:r>
          <w:r>
            <w:fldChar w:fldCharType="end"/>
          </w:r>
        </w:p>
        <w:p w14:paraId="3E539DB0">
          <w:pPr>
            <w:pStyle w:val="20"/>
            <w:tabs>
              <w:tab w:val="right" w:leader="dot" w:pos="9350"/>
            </w:tabs>
            <w:rPr>
              <w:rFonts w:asciiTheme="minorHAnsi" w:hAnsiTheme="minorHAnsi" w:eastAsiaTheme="minorEastAsia"/>
              <w:kern w:val="0"/>
              <w:sz w:val="22"/>
              <w:szCs w:val="22"/>
              <w:lang w:eastAsia="en-GB"/>
              <w14:ligatures w14:val="none"/>
            </w:rPr>
          </w:pPr>
          <w:r>
            <w:fldChar w:fldCharType="begin"/>
          </w:r>
          <w:r>
            <w:instrText xml:space="preserve"> HYPERLINK \l "_Toc225617276" </w:instrText>
          </w:r>
          <w:r>
            <w:fldChar w:fldCharType="separate"/>
          </w:r>
          <w:r>
            <w:rPr>
              <w:rStyle w:val="14"/>
              <w:lang w:val="en-US"/>
            </w:rPr>
            <w:t>Evaluation of the Experience</w:t>
          </w:r>
          <w:r>
            <w:tab/>
          </w:r>
          <w:r>
            <w:fldChar w:fldCharType="begin"/>
          </w:r>
          <w:r>
            <w:instrText xml:space="preserve"> PAGEREF _Toc225617276 \h </w:instrText>
          </w:r>
          <w:r>
            <w:fldChar w:fldCharType="separate"/>
          </w:r>
          <w:r>
            <w:t>23</w:t>
          </w:r>
          <w:r>
            <w:fldChar w:fldCharType="end"/>
          </w:r>
          <w:r>
            <w:fldChar w:fldCharType="end"/>
          </w:r>
        </w:p>
        <w:p w14:paraId="3F2A9278">
          <w:pPr>
            <w:pStyle w:val="20"/>
            <w:tabs>
              <w:tab w:val="right" w:leader="dot" w:pos="9350"/>
            </w:tabs>
            <w:rPr>
              <w:rFonts w:asciiTheme="minorHAnsi" w:hAnsiTheme="minorHAnsi" w:eastAsiaTheme="minorEastAsia"/>
              <w:kern w:val="0"/>
              <w:sz w:val="22"/>
              <w:szCs w:val="22"/>
              <w:lang w:eastAsia="en-GB"/>
              <w14:ligatures w14:val="none"/>
            </w:rPr>
          </w:pPr>
          <w:r>
            <w:fldChar w:fldCharType="begin"/>
          </w:r>
          <w:r>
            <w:instrText xml:space="preserve"> HYPERLINK \l "_Toc225617277" </w:instrText>
          </w:r>
          <w:r>
            <w:fldChar w:fldCharType="separate"/>
          </w:r>
          <w:r>
            <w:rPr>
              <w:rStyle w:val="14"/>
              <w:lang w:val="en-US"/>
            </w:rPr>
            <w:t>Analysis.</w:t>
          </w:r>
          <w:r>
            <w:tab/>
          </w:r>
          <w:r>
            <w:fldChar w:fldCharType="begin"/>
          </w:r>
          <w:r>
            <w:instrText xml:space="preserve"> PAGEREF _Toc225617277 \h </w:instrText>
          </w:r>
          <w:r>
            <w:fldChar w:fldCharType="separate"/>
          </w:r>
          <w:r>
            <w:t>23</w:t>
          </w:r>
          <w:r>
            <w:fldChar w:fldCharType="end"/>
          </w:r>
          <w:r>
            <w:fldChar w:fldCharType="end"/>
          </w:r>
        </w:p>
        <w:p w14:paraId="1F7488BC">
          <w:pPr>
            <w:pStyle w:val="20"/>
            <w:tabs>
              <w:tab w:val="right" w:leader="dot" w:pos="9350"/>
            </w:tabs>
            <w:rPr>
              <w:rFonts w:asciiTheme="minorHAnsi" w:hAnsiTheme="minorHAnsi" w:eastAsiaTheme="minorEastAsia"/>
              <w:kern w:val="0"/>
              <w:sz w:val="22"/>
              <w:szCs w:val="22"/>
              <w:lang w:eastAsia="en-GB"/>
              <w14:ligatures w14:val="none"/>
            </w:rPr>
          </w:pPr>
          <w:r>
            <w:fldChar w:fldCharType="begin"/>
          </w:r>
          <w:r>
            <w:instrText xml:space="preserve"> HYPERLINK \l "_Toc225617278" </w:instrText>
          </w:r>
          <w:r>
            <w:fldChar w:fldCharType="separate"/>
          </w:r>
          <w:r>
            <w:rPr>
              <w:rStyle w:val="14"/>
              <w:lang w:val="en-US"/>
            </w:rPr>
            <w:t>Conclusion</w:t>
          </w:r>
          <w:r>
            <w:tab/>
          </w:r>
          <w:r>
            <w:fldChar w:fldCharType="begin"/>
          </w:r>
          <w:r>
            <w:instrText xml:space="preserve"> PAGEREF _Toc225617278 \h </w:instrText>
          </w:r>
          <w:r>
            <w:fldChar w:fldCharType="separate"/>
          </w:r>
          <w:r>
            <w:t>24</w:t>
          </w:r>
          <w:r>
            <w:fldChar w:fldCharType="end"/>
          </w:r>
          <w:r>
            <w:fldChar w:fldCharType="end"/>
          </w:r>
        </w:p>
        <w:p w14:paraId="6557FD6D">
          <w:pPr>
            <w:pStyle w:val="20"/>
            <w:tabs>
              <w:tab w:val="right" w:leader="dot" w:pos="9350"/>
            </w:tabs>
            <w:rPr>
              <w:rFonts w:asciiTheme="minorHAnsi" w:hAnsiTheme="minorHAnsi" w:eastAsiaTheme="minorEastAsia"/>
              <w:kern w:val="0"/>
              <w:sz w:val="22"/>
              <w:szCs w:val="22"/>
              <w:lang w:eastAsia="en-GB"/>
              <w14:ligatures w14:val="none"/>
            </w:rPr>
          </w:pPr>
          <w:r>
            <w:fldChar w:fldCharType="begin"/>
          </w:r>
          <w:r>
            <w:instrText xml:space="preserve"> HYPERLINK \l "_Toc225617279" </w:instrText>
          </w:r>
          <w:r>
            <w:fldChar w:fldCharType="separate"/>
          </w:r>
          <w:r>
            <w:rPr>
              <w:rStyle w:val="14"/>
              <w:lang w:val="en-US"/>
            </w:rPr>
            <w:t>Future Improvement Action Plan.</w:t>
          </w:r>
          <w:r>
            <w:tab/>
          </w:r>
          <w:r>
            <w:fldChar w:fldCharType="begin"/>
          </w:r>
          <w:r>
            <w:instrText xml:space="preserve"> PAGEREF _Toc225617279 \h </w:instrText>
          </w:r>
          <w:r>
            <w:fldChar w:fldCharType="separate"/>
          </w:r>
          <w:r>
            <w:t>24</w:t>
          </w:r>
          <w:r>
            <w:fldChar w:fldCharType="end"/>
          </w:r>
          <w:r>
            <w:fldChar w:fldCharType="end"/>
          </w:r>
        </w:p>
        <w:p w14:paraId="55A8D3CB">
          <w:pPr>
            <w:pStyle w:val="19"/>
            <w:tabs>
              <w:tab w:val="right" w:leader="dot" w:pos="9350"/>
            </w:tabs>
            <w:rPr>
              <w:rFonts w:asciiTheme="minorHAnsi" w:hAnsiTheme="minorHAnsi" w:eastAsiaTheme="minorEastAsia"/>
              <w:kern w:val="0"/>
              <w:sz w:val="22"/>
              <w:szCs w:val="22"/>
              <w:lang w:eastAsia="en-GB"/>
              <w14:ligatures w14:val="none"/>
            </w:rPr>
          </w:pPr>
          <w:r>
            <w:fldChar w:fldCharType="begin"/>
          </w:r>
          <w:r>
            <w:instrText xml:space="preserve"> HYPERLINK \l "_Toc225617280" </w:instrText>
          </w:r>
          <w:r>
            <w:fldChar w:fldCharType="separate"/>
          </w:r>
          <w:r>
            <w:rPr>
              <w:rStyle w:val="14"/>
              <w:lang w:val="en-US"/>
            </w:rPr>
            <w:t>References</w:t>
          </w:r>
          <w:r>
            <w:tab/>
          </w:r>
          <w:r>
            <w:fldChar w:fldCharType="begin"/>
          </w:r>
          <w:r>
            <w:instrText xml:space="preserve"> PAGEREF _Toc225617280 \h </w:instrText>
          </w:r>
          <w:r>
            <w:fldChar w:fldCharType="separate"/>
          </w:r>
          <w:r>
            <w:t>26</w:t>
          </w:r>
          <w:r>
            <w:fldChar w:fldCharType="end"/>
          </w:r>
          <w:r>
            <w:fldChar w:fldCharType="end"/>
          </w:r>
        </w:p>
        <w:p w14:paraId="0729CBCC">
          <w:r>
            <w:rPr>
              <w:b/>
              <w:bCs/>
            </w:rPr>
            <w:fldChar w:fldCharType="end"/>
          </w:r>
        </w:p>
      </w:sdtContent>
    </w:sdt>
    <w:p w14:paraId="584B8AA5">
      <w:pPr>
        <w:rPr>
          <w:lang w:val="en-US"/>
        </w:rPr>
      </w:pPr>
    </w:p>
    <w:p w14:paraId="7639221D">
      <w:pPr>
        <w:rPr>
          <w:rFonts w:asciiTheme="majorHAnsi" w:hAnsiTheme="majorHAnsi" w:eastAsiaTheme="majorEastAsia" w:cstheme="majorBidi"/>
          <w:color w:val="104862" w:themeColor="accent1" w:themeShade="BF"/>
          <w:sz w:val="40"/>
          <w:szCs w:val="40"/>
          <w:lang w:val="en-US"/>
        </w:rPr>
      </w:pPr>
      <w:r>
        <w:rPr>
          <w:lang w:val="en-US"/>
        </w:rPr>
        <w:br w:type="page"/>
      </w:r>
    </w:p>
    <w:p w14:paraId="0C4287C2">
      <w:pPr>
        <w:pStyle w:val="2"/>
        <w:rPr>
          <w:lang w:val="en-US"/>
        </w:rPr>
      </w:pPr>
      <w:bookmarkStart w:id="0" w:name="_Toc225617253"/>
      <w:r>
        <w:rPr>
          <w:lang w:val="en-US"/>
        </w:rPr>
        <w:t>1. Organizational Context and Overview</w:t>
      </w:r>
      <w:bookmarkEnd w:id="0"/>
      <w:r>
        <w:rPr>
          <w:lang w:val="en-US"/>
        </w:rPr>
        <w:t xml:space="preserve"> </w:t>
      </w:r>
    </w:p>
    <w:p w14:paraId="65F84B69">
      <w:r>
        <w:t>Burberry is a British luxury fashion company which is known around the world and was established in 1856 by a man Thomas Burberry (Burberry, 2025). Burberry started as an outerwear label, but it became popular following the development of a waterproof but breathable material dubbed gabardine that made the brand a pioneer in functional fashion. The organisation has over time become a luxury brand of the highest quality which deals with apparel, accessories, and fragrances and still has a close association with the British heritage.</w:t>
      </w:r>
    </w:p>
    <w:p w14:paraId="6B1F4F83">
      <w:r>
        <w:t>The mission statement of Burberry focuses on the provision of modern British luxury by means of innovation, craftsmanship and creativity, whereas the strategic vision is focused on the long-term value creation in terms of raising brand, sustainability, and digital leadership. Over the past few years, the company has been engaged in a repositioning strategy that seeks to reinforce its position in the high-luxury segment, drop mass accessibility and shift to exclusivity and premiumisation (Connor-Crabb et al., 2025).</w:t>
      </w:r>
    </w:p>
    <w:p w14:paraId="3630964E">
      <w:pPr>
        <w:keepNext/>
        <w:spacing w:line="278" w:lineRule="auto"/>
        <w:jc w:val="center"/>
      </w:pPr>
      <w:r>
        <w:rPr>
          <w:lang w:eastAsia="en-GB"/>
        </w:rPr>
        <w:drawing>
          <wp:inline distT="0" distB="0" distL="0" distR="0">
            <wp:extent cx="2505075" cy="2080895"/>
            <wp:effectExtent l="0" t="0" r="0" b="0"/>
            <wp:docPr id="1" name="Picture 1" descr="Burberry has a 'new' logo. A leap backwards for a brand tha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Burberry has a 'new' logo. A leap backwards for a brand that ..."/>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a:xfrm>
                      <a:off x="0" y="0"/>
                      <a:ext cx="2531472" cy="2103356"/>
                    </a:xfrm>
                    <a:prstGeom prst="rect">
                      <a:avLst/>
                    </a:prstGeom>
                    <a:noFill/>
                    <a:ln>
                      <a:noFill/>
                    </a:ln>
                  </pic:spPr>
                </pic:pic>
              </a:graphicData>
            </a:graphic>
          </wp:inline>
        </w:drawing>
      </w:r>
    </w:p>
    <w:p w14:paraId="37931C2E">
      <w:pPr>
        <w:pStyle w:val="13"/>
        <w:jc w:val="center"/>
        <w:rPr>
          <w:sz w:val="20"/>
        </w:rPr>
      </w:pPr>
      <w:r>
        <w:rPr>
          <w:sz w:val="20"/>
        </w:rPr>
        <w:t xml:space="preserve">Figure </w:t>
      </w:r>
      <w:r>
        <w:rPr>
          <w:sz w:val="20"/>
        </w:rPr>
        <w:fldChar w:fldCharType="begin"/>
      </w:r>
      <w:r>
        <w:rPr>
          <w:sz w:val="20"/>
        </w:rPr>
        <w:instrText xml:space="preserve"> SEQ Figure \* ARABIC </w:instrText>
      </w:r>
      <w:r>
        <w:rPr>
          <w:sz w:val="20"/>
        </w:rPr>
        <w:fldChar w:fldCharType="separate"/>
      </w:r>
      <w:r>
        <w:rPr>
          <w:sz w:val="20"/>
        </w:rPr>
        <w:t>1</w:t>
      </w:r>
      <w:r>
        <w:rPr>
          <w:sz w:val="20"/>
        </w:rPr>
        <w:fldChar w:fldCharType="end"/>
      </w:r>
      <w:r>
        <w:rPr>
          <w:sz w:val="20"/>
        </w:rPr>
        <w:t>: Burberry Logo (Burberry Website)</w:t>
      </w:r>
    </w:p>
    <w:p w14:paraId="6CA84508">
      <w:r>
        <w:t>The company has a vertically integrated business model that manages its major value chain activities such as design, product development, marketing, and retail distribution. Through this model, Burberry can have a tight grip over the brand image, pricing and customer experience. It has direct operated stores, online-based stores as well as selective wholesale partnerships thus covering the whole world without compromising its brand isolatedness.</w:t>
      </w:r>
    </w:p>
    <w:p w14:paraId="26702D64">
      <w:r>
        <w:t>Burberry is in an industry segment that is the luxury fashion business globally, highly characterised by high margins, brand dependence, and intense competition due to differentiation as opposed to price. The key rivals are Gucci, Louis Vuitton, and Prada, to which they compete by means of innovation, brand narrative, and customer experience. (Alokshe et al., 2025) The position of Burberry can be defined as a heritage luxury brand that is going through strategic transformation and taps into the British identity and adjusts to the requirements of the modern market.</w:t>
      </w:r>
    </w:p>
    <w:p w14:paraId="2B567D44">
      <w:r>
        <w:t>Although Burberry has a great history, it has struggled to ensure its brand positioning and exclusivity especially when there is too much exposure during the early 2000s (Arraya, 2024). In reaction to this the company has adopted strategic initiatives aiming at product innovation, digital engagement and sustainability. Its existing positioning indicates that it is a compromise between tradition and modernity and can attract both the traditional luxury customer and the younger digitally active demographic.</w:t>
      </w:r>
    </w:p>
    <w:p w14:paraId="2F102603">
      <w:pPr>
        <w:pStyle w:val="2"/>
        <w:rPr>
          <w:lang w:val="en-US"/>
        </w:rPr>
      </w:pPr>
      <w:bookmarkStart w:id="1" w:name="_Toc225617254"/>
      <w:r>
        <w:rPr>
          <w:lang w:val="en-US"/>
        </w:rPr>
        <w:t>2. External and Internal Environment Analysis</w:t>
      </w:r>
      <w:bookmarkEnd w:id="1"/>
    </w:p>
    <w:p w14:paraId="79B4B647">
      <w:pPr>
        <w:pStyle w:val="3"/>
        <w:rPr>
          <w:lang w:val="en-US"/>
        </w:rPr>
      </w:pPr>
      <w:bookmarkStart w:id="2" w:name="_Toc225617255"/>
      <w:r>
        <w:rPr>
          <w:lang w:val="en-US"/>
        </w:rPr>
        <w:t>2.1 External Environment: PESTEL Analysis</w:t>
      </w:r>
      <w:bookmarkEnd w:id="2"/>
    </w:p>
    <w:p w14:paraId="220D065F">
      <w:pPr>
        <w:keepNext/>
        <w:spacing w:line="278" w:lineRule="auto"/>
        <w:jc w:val="center"/>
      </w:pPr>
      <w:r>
        <w:rPr>
          <w:b/>
          <w:bCs/>
          <w:lang w:eastAsia="en-GB"/>
        </w:rPr>
        <w:drawing>
          <wp:inline distT="0" distB="0" distL="0" distR="0">
            <wp:extent cx="3810000" cy="2143125"/>
            <wp:effectExtent l="0" t="0" r="0" b="9525"/>
            <wp:docPr id="3" name="Picture 3" descr="https://i0.wp.com/www.business-to-you.com/wp-content/uploads/2016/12/PESTEL-analysis-update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https://i0.wp.com/www.business-to-you.com/wp-content/uploads/2016/12/PESTEL-analysis-updated.pn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a:xfrm>
                      <a:off x="0" y="0"/>
                      <a:ext cx="3818643" cy="2147987"/>
                    </a:xfrm>
                    <a:prstGeom prst="rect">
                      <a:avLst/>
                    </a:prstGeom>
                    <a:noFill/>
                    <a:ln>
                      <a:noFill/>
                    </a:ln>
                  </pic:spPr>
                </pic:pic>
              </a:graphicData>
            </a:graphic>
          </wp:inline>
        </w:drawing>
      </w:r>
    </w:p>
    <w:p w14:paraId="277CB9FA">
      <w:pPr>
        <w:pStyle w:val="13"/>
        <w:jc w:val="center"/>
        <w:rPr>
          <w:b/>
          <w:bCs/>
          <w:sz w:val="22"/>
          <w:lang w:val="en-US"/>
        </w:rPr>
      </w:pPr>
      <w:r>
        <w:rPr>
          <w:sz w:val="22"/>
        </w:rPr>
        <w:t xml:space="preserve">Figure </w:t>
      </w:r>
      <w:r>
        <w:rPr>
          <w:sz w:val="22"/>
        </w:rPr>
        <w:fldChar w:fldCharType="begin"/>
      </w:r>
      <w:r>
        <w:rPr>
          <w:sz w:val="22"/>
        </w:rPr>
        <w:instrText xml:space="preserve"> SEQ Figure \* ARABIC </w:instrText>
      </w:r>
      <w:r>
        <w:rPr>
          <w:sz w:val="22"/>
        </w:rPr>
        <w:fldChar w:fldCharType="separate"/>
      </w:r>
      <w:r>
        <w:rPr>
          <w:sz w:val="22"/>
        </w:rPr>
        <w:t>2</w:t>
      </w:r>
      <w:r>
        <w:rPr>
          <w:sz w:val="22"/>
        </w:rPr>
        <w:fldChar w:fldCharType="end"/>
      </w:r>
      <w:r>
        <w:rPr>
          <w:sz w:val="22"/>
        </w:rPr>
        <w:t>: PESTLE Analysis Framework</w:t>
      </w:r>
    </w:p>
    <w:p w14:paraId="61701102">
      <w:r>
        <w:rPr>
          <w:b/>
          <w:bCs/>
        </w:rPr>
        <w:t>Political:</w:t>
      </w:r>
      <w:r>
        <w:t xml:space="preserve"> The world operations of Burberry are greatly affected by political factors. The Brexit effect has brought trade barriers and regulatory complexities, which have added more operation costs and had a certain influence on the supply chain efficiency. Also, having a presence in several overseas markets makes Burberry vulnerable to geopolitical risks, where strategic flexibility is needed in the sourcing and distribution decisions (Macchion, 2024).</w:t>
      </w:r>
    </w:p>
    <w:p w14:paraId="2BE4290F">
      <w:pPr>
        <w:rPr>
          <w:lang w:val="en-US"/>
        </w:rPr>
      </w:pPr>
      <w:r>
        <w:rPr>
          <w:b/>
          <w:bCs/>
          <w:lang w:val="en-US"/>
        </w:rPr>
        <w:t>Economical:</w:t>
      </w:r>
      <w:r>
        <w:rPr>
          <w:lang w:val="en-US"/>
        </w:rPr>
        <w:t xml:space="preserve"> In the luxury fashion, economic factors are especially important. The global economic conditions are closely tied to the performance of Burberry since luxury goods are luxury purchases. Consumer spending may be decreased by economic recessions, inflation, and currency fluctuations in such crucial markets like China and the United States (Kaur et al., 2024). Nevertheless, when the economic growth is high Burberry enjoys high profit margins and high pricing power.</w:t>
      </w:r>
    </w:p>
    <w:p w14:paraId="566814E1">
      <w:pPr>
        <w:rPr>
          <w:lang w:val="en-US"/>
        </w:rPr>
      </w:pPr>
      <w:r>
        <w:rPr>
          <w:b/>
          <w:bCs/>
          <w:lang w:val="en-US"/>
        </w:rPr>
        <w:t>Social:</w:t>
      </w:r>
      <w:r>
        <w:rPr>
          <w:lang w:val="en-US"/>
        </w:rPr>
        <w:t xml:space="preserve"> There is a changing trend of consumer behaviour in the luxury market. Contemporary customers are more eager to use the brands that share their values, such as sustainability, diversity, and authenticity. This change has forced Burberry to include ethical practices in its brand strategy (Zhang and Hao, 2024). The difficulty is though, in keeping exclusivity and attracting the wider more socially conscious viewer.</w:t>
      </w:r>
    </w:p>
    <w:p w14:paraId="184B1E5D">
      <w:pPr>
        <w:rPr>
          <w:lang w:val="en-US"/>
        </w:rPr>
      </w:pPr>
      <w:r>
        <w:rPr>
          <w:b/>
          <w:bCs/>
          <w:lang w:val="en-US"/>
        </w:rPr>
        <w:t>Technological:</w:t>
      </w:r>
      <w:r>
        <w:rPr>
          <w:lang w:val="en-US"/>
        </w:rPr>
        <w:t xml:space="preserve"> The luxury fashion scene has been changed through technological factors. Burberry has led the way when it comes to digital innovation, such as live-streamed fashion shows, and sophisticated e-commerce platforms (Sedovs and Volkova, 2024). Such efforts increase customer interaction and international coverage. Nevertheless, the pace of technological change puts cost pressure and adds competition due to the necessity of constant investment.</w:t>
      </w:r>
    </w:p>
    <w:p w14:paraId="44483699">
      <w:pPr>
        <w:rPr>
          <w:lang w:val="en-US"/>
        </w:rPr>
      </w:pPr>
      <w:r>
        <w:rPr>
          <w:b/>
          <w:bCs/>
          <w:lang w:val="en-US"/>
        </w:rPr>
        <w:t>Environmental:</w:t>
      </w:r>
      <w:r>
        <w:rPr>
          <w:lang w:val="en-US"/>
        </w:rPr>
        <w:t xml:space="preserve"> The environmental factors are gaining more importance. There is a criticism that fashion industry is harmful to the environment, especially in the area of wastes and carbon emission. Burberry has acted in response and gone on a sustainability journey such as carbon neutrality and responsible sourcing (Zhou, 2025). However, the attainment of these goals as well as sustaining the luxury quality comes with a constant strategic challenge.</w:t>
      </w:r>
    </w:p>
    <w:p w14:paraId="00BD58A1">
      <w:pPr>
        <w:rPr>
          <w:lang w:val="en-US"/>
        </w:rPr>
      </w:pPr>
      <w:r>
        <w:rPr>
          <w:b/>
          <w:bCs/>
          <w:lang w:val="en-US"/>
        </w:rPr>
        <w:t>Legal:</w:t>
      </w:r>
      <w:r>
        <w:rPr>
          <w:lang w:val="en-US"/>
        </w:rPr>
        <w:t xml:space="preserve"> Legal drivers encompass the protection of intellectual property that is paramount in ensuring that luxury brands are not counterfeited. Also, it is necessary to adhere to the labour laws and environmental standards to prevent the loss of reputation and fines.</w:t>
      </w:r>
    </w:p>
    <w:p w14:paraId="4FD191F2">
      <w:pPr>
        <w:pStyle w:val="13"/>
        <w:keepNext/>
      </w:pPr>
      <w:r>
        <w:t xml:space="preserve">Table </w:t>
      </w:r>
      <w:r>
        <w:fldChar w:fldCharType="begin"/>
      </w:r>
      <w:r>
        <w:instrText xml:space="preserve"> SEQ Table \* ARABIC </w:instrText>
      </w:r>
      <w:r>
        <w:fldChar w:fldCharType="separate"/>
      </w:r>
      <w:r>
        <w:t>1</w:t>
      </w:r>
      <w:r>
        <w:fldChar w:fldCharType="end"/>
      </w:r>
      <w:r>
        <w:rPr>
          <w:b/>
          <w:bCs/>
          <w:lang w:val="en-US"/>
        </w:rPr>
        <w:t>: PESTEL Analysis of Burberry</w:t>
      </w:r>
    </w:p>
    <w:tbl>
      <w:tblPr>
        <w:tblStyle w:val="17"/>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751"/>
        <w:gridCol w:w="3870"/>
        <w:gridCol w:w="3955"/>
      </w:tblGrid>
      <w:tr w14:paraId="4AC27FA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0" w:type="auto"/>
          </w:tcPr>
          <w:p w14:paraId="66B26FD5">
            <w:pPr>
              <w:spacing w:after="0"/>
              <w:rPr>
                <w:b/>
                <w:bCs/>
                <w:lang w:val="en-US"/>
              </w:rPr>
            </w:pPr>
            <w:r>
              <w:rPr>
                <w:b/>
                <w:bCs/>
                <w:lang w:val="en-US"/>
              </w:rPr>
              <w:t>Factor</w:t>
            </w:r>
          </w:p>
        </w:tc>
        <w:tc>
          <w:tcPr>
            <w:tcW w:w="0" w:type="auto"/>
          </w:tcPr>
          <w:p w14:paraId="50E7C518">
            <w:pPr>
              <w:spacing w:after="0"/>
              <w:rPr>
                <w:b/>
                <w:bCs/>
                <w:lang w:val="en-US"/>
              </w:rPr>
            </w:pPr>
            <w:r>
              <w:rPr>
                <w:b/>
                <w:bCs/>
                <w:lang w:val="en-US"/>
              </w:rPr>
              <w:t>Key Issues</w:t>
            </w:r>
          </w:p>
        </w:tc>
        <w:tc>
          <w:tcPr>
            <w:tcW w:w="0" w:type="auto"/>
          </w:tcPr>
          <w:p w14:paraId="072D7EFE">
            <w:pPr>
              <w:spacing w:after="0"/>
              <w:rPr>
                <w:b/>
                <w:bCs/>
                <w:lang w:val="en-US"/>
              </w:rPr>
            </w:pPr>
            <w:r>
              <w:rPr>
                <w:b/>
                <w:bCs/>
                <w:lang w:val="en-US"/>
              </w:rPr>
              <w:t>Strategic Impact</w:t>
            </w:r>
          </w:p>
        </w:tc>
      </w:tr>
      <w:tr w14:paraId="42DEF20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0" w:type="auto"/>
          </w:tcPr>
          <w:p w14:paraId="1A02CE59">
            <w:pPr>
              <w:spacing w:after="0"/>
              <w:rPr>
                <w:lang w:val="en-US"/>
              </w:rPr>
            </w:pPr>
            <w:r>
              <w:rPr>
                <w:lang w:val="en-US"/>
              </w:rPr>
              <w:t>Political</w:t>
            </w:r>
          </w:p>
        </w:tc>
        <w:tc>
          <w:tcPr>
            <w:tcW w:w="0" w:type="auto"/>
          </w:tcPr>
          <w:p w14:paraId="2A6EEEBC">
            <w:pPr>
              <w:spacing w:after="0"/>
              <w:jc w:val="left"/>
              <w:rPr>
                <w:lang w:val="en-US"/>
              </w:rPr>
            </w:pPr>
            <w:r>
              <w:rPr>
                <w:lang w:val="en-US"/>
              </w:rPr>
              <w:t>Brexit, trade tariffs, global regulations</w:t>
            </w:r>
          </w:p>
        </w:tc>
        <w:tc>
          <w:tcPr>
            <w:tcW w:w="0" w:type="auto"/>
          </w:tcPr>
          <w:p w14:paraId="10404749">
            <w:pPr>
              <w:spacing w:after="0"/>
              <w:jc w:val="left"/>
              <w:rPr>
                <w:lang w:val="en-US"/>
              </w:rPr>
            </w:pPr>
            <w:r>
              <w:rPr>
                <w:lang w:val="en-US"/>
              </w:rPr>
              <w:t>Increased costs, supply chain adjustments</w:t>
            </w:r>
          </w:p>
        </w:tc>
      </w:tr>
      <w:tr w14:paraId="0A36E02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0" w:type="auto"/>
          </w:tcPr>
          <w:p w14:paraId="50DF4510">
            <w:pPr>
              <w:spacing w:after="0"/>
              <w:rPr>
                <w:lang w:val="en-US"/>
              </w:rPr>
            </w:pPr>
            <w:r>
              <w:rPr>
                <w:lang w:val="en-US"/>
              </w:rPr>
              <w:t>Economic</w:t>
            </w:r>
          </w:p>
        </w:tc>
        <w:tc>
          <w:tcPr>
            <w:tcW w:w="0" w:type="auto"/>
          </w:tcPr>
          <w:p w14:paraId="66332D3F">
            <w:pPr>
              <w:spacing w:after="0"/>
              <w:jc w:val="left"/>
              <w:rPr>
                <w:lang w:val="en-US"/>
              </w:rPr>
            </w:pPr>
            <w:r>
              <w:rPr>
                <w:lang w:val="en-US"/>
              </w:rPr>
              <w:t>Global recession risk, inflation, currency fluctuations</w:t>
            </w:r>
          </w:p>
        </w:tc>
        <w:tc>
          <w:tcPr>
            <w:tcW w:w="0" w:type="auto"/>
          </w:tcPr>
          <w:p w14:paraId="77B8FCA9">
            <w:pPr>
              <w:spacing w:after="0"/>
              <w:jc w:val="left"/>
              <w:rPr>
                <w:lang w:val="en-US"/>
              </w:rPr>
            </w:pPr>
            <w:r>
              <w:rPr>
                <w:lang w:val="en-US"/>
              </w:rPr>
              <w:t>Affects luxury demand and pricing</w:t>
            </w:r>
          </w:p>
        </w:tc>
      </w:tr>
      <w:tr w14:paraId="6AA83B7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0" w:type="auto"/>
          </w:tcPr>
          <w:p w14:paraId="402CC5EF">
            <w:pPr>
              <w:spacing w:after="0"/>
              <w:rPr>
                <w:lang w:val="en-US"/>
              </w:rPr>
            </w:pPr>
            <w:r>
              <w:rPr>
                <w:lang w:val="en-US"/>
              </w:rPr>
              <w:t>Social</w:t>
            </w:r>
          </w:p>
        </w:tc>
        <w:tc>
          <w:tcPr>
            <w:tcW w:w="0" w:type="auto"/>
          </w:tcPr>
          <w:p w14:paraId="107171A8">
            <w:pPr>
              <w:spacing w:after="0"/>
              <w:jc w:val="left"/>
              <w:rPr>
                <w:lang w:val="en-US"/>
              </w:rPr>
            </w:pPr>
            <w:r>
              <w:rPr>
                <w:lang w:val="en-US"/>
              </w:rPr>
              <w:t>Demand for sustainability, identity-driven consumption</w:t>
            </w:r>
          </w:p>
        </w:tc>
        <w:tc>
          <w:tcPr>
            <w:tcW w:w="0" w:type="auto"/>
          </w:tcPr>
          <w:p w14:paraId="7480C933">
            <w:pPr>
              <w:spacing w:after="0"/>
              <w:jc w:val="left"/>
              <w:rPr>
                <w:lang w:val="en-US"/>
              </w:rPr>
            </w:pPr>
            <w:r>
              <w:rPr>
                <w:lang w:val="en-US"/>
              </w:rPr>
              <w:t>Drives brand repositioning and CSR focus</w:t>
            </w:r>
          </w:p>
        </w:tc>
      </w:tr>
      <w:tr w14:paraId="2281C56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0" w:type="auto"/>
          </w:tcPr>
          <w:p w14:paraId="1B1B702E">
            <w:pPr>
              <w:spacing w:after="0"/>
              <w:rPr>
                <w:lang w:val="en-US"/>
              </w:rPr>
            </w:pPr>
            <w:r>
              <w:rPr>
                <w:lang w:val="en-US"/>
              </w:rPr>
              <w:t>Technological</w:t>
            </w:r>
          </w:p>
        </w:tc>
        <w:tc>
          <w:tcPr>
            <w:tcW w:w="0" w:type="auto"/>
          </w:tcPr>
          <w:p w14:paraId="26E43CE9">
            <w:pPr>
              <w:spacing w:after="0"/>
              <w:jc w:val="left"/>
              <w:rPr>
                <w:lang w:val="en-US"/>
              </w:rPr>
            </w:pPr>
            <w:r>
              <w:rPr>
                <w:lang w:val="en-US"/>
              </w:rPr>
              <w:t>E-commerce, digital marketing, AI</w:t>
            </w:r>
          </w:p>
        </w:tc>
        <w:tc>
          <w:tcPr>
            <w:tcW w:w="0" w:type="auto"/>
          </w:tcPr>
          <w:p w14:paraId="095D1BE8">
            <w:pPr>
              <w:spacing w:after="0"/>
              <w:jc w:val="left"/>
              <w:rPr>
                <w:lang w:val="en-US"/>
              </w:rPr>
            </w:pPr>
            <w:r>
              <w:rPr>
                <w:lang w:val="en-US"/>
              </w:rPr>
              <w:t>Enhances customer experience and competitiveness</w:t>
            </w:r>
          </w:p>
        </w:tc>
      </w:tr>
      <w:tr w14:paraId="23A83A1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0" w:type="auto"/>
          </w:tcPr>
          <w:p w14:paraId="03A68252">
            <w:pPr>
              <w:spacing w:after="0"/>
              <w:rPr>
                <w:lang w:val="en-US"/>
              </w:rPr>
            </w:pPr>
            <w:r>
              <w:rPr>
                <w:lang w:val="en-US"/>
              </w:rPr>
              <w:t>Environmental</w:t>
            </w:r>
          </w:p>
        </w:tc>
        <w:tc>
          <w:tcPr>
            <w:tcW w:w="0" w:type="auto"/>
          </w:tcPr>
          <w:p w14:paraId="53B61FC6">
            <w:pPr>
              <w:spacing w:after="0"/>
              <w:jc w:val="left"/>
              <w:rPr>
                <w:lang w:val="en-US"/>
              </w:rPr>
            </w:pPr>
            <w:r>
              <w:rPr>
                <w:lang w:val="en-US"/>
              </w:rPr>
              <w:t>Climate change, ethical sourcing pressure</w:t>
            </w:r>
          </w:p>
        </w:tc>
        <w:tc>
          <w:tcPr>
            <w:tcW w:w="0" w:type="auto"/>
          </w:tcPr>
          <w:p w14:paraId="3559122A">
            <w:pPr>
              <w:spacing w:after="0"/>
              <w:jc w:val="left"/>
              <w:rPr>
                <w:lang w:val="en-US"/>
              </w:rPr>
            </w:pPr>
            <w:r>
              <w:rPr>
                <w:lang w:val="en-US"/>
              </w:rPr>
              <w:t>Forces sustainable production practices</w:t>
            </w:r>
          </w:p>
        </w:tc>
      </w:tr>
      <w:tr w14:paraId="7433F60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0" w:type="auto"/>
          </w:tcPr>
          <w:p w14:paraId="3DAE3C4F">
            <w:pPr>
              <w:spacing w:after="0"/>
              <w:rPr>
                <w:lang w:val="en-US"/>
              </w:rPr>
            </w:pPr>
            <w:r>
              <w:rPr>
                <w:lang w:val="en-US"/>
              </w:rPr>
              <w:t>Legal</w:t>
            </w:r>
          </w:p>
        </w:tc>
        <w:tc>
          <w:tcPr>
            <w:tcW w:w="0" w:type="auto"/>
          </w:tcPr>
          <w:p w14:paraId="5B29F917">
            <w:pPr>
              <w:spacing w:after="0"/>
              <w:jc w:val="left"/>
              <w:rPr>
                <w:lang w:val="en-US"/>
              </w:rPr>
            </w:pPr>
            <w:r>
              <w:rPr>
                <w:lang w:val="en-US"/>
              </w:rPr>
              <w:t>IP protection, labour laws, compliance</w:t>
            </w:r>
          </w:p>
        </w:tc>
        <w:tc>
          <w:tcPr>
            <w:tcW w:w="0" w:type="auto"/>
          </w:tcPr>
          <w:p w14:paraId="05C7BCFB">
            <w:pPr>
              <w:spacing w:after="0"/>
              <w:jc w:val="left"/>
              <w:rPr>
                <w:lang w:val="en-US"/>
              </w:rPr>
            </w:pPr>
            <w:r>
              <w:rPr>
                <w:lang w:val="en-US"/>
              </w:rPr>
              <w:t>Ensures brand protection and ethical operations</w:t>
            </w:r>
          </w:p>
        </w:tc>
      </w:tr>
    </w:tbl>
    <w:p w14:paraId="4DE4C281">
      <w:pPr>
        <w:rPr>
          <w:lang w:val="en-US"/>
        </w:rPr>
      </w:pPr>
    </w:p>
    <w:p w14:paraId="3AB9E3B1">
      <w:pPr>
        <w:pStyle w:val="3"/>
        <w:rPr>
          <w:lang w:val="en-US"/>
        </w:rPr>
      </w:pPr>
      <w:bookmarkStart w:id="3" w:name="_Toc225617256"/>
      <w:r>
        <w:rPr>
          <w:lang w:val="en-US"/>
        </w:rPr>
        <w:t>2.2 Strategic Challenges and Critical Success Factors (External Environment)</w:t>
      </w:r>
      <w:bookmarkEnd w:id="3"/>
    </w:p>
    <w:p w14:paraId="15806FA1">
      <w:pPr>
        <w:pStyle w:val="13"/>
        <w:rPr>
          <w:sz w:val="22"/>
          <w:lang w:val="en-US"/>
        </w:rPr>
      </w:pPr>
      <w:r>
        <w:rPr>
          <w:sz w:val="22"/>
        </w:rPr>
        <w:t xml:space="preserve">Table </w:t>
      </w:r>
      <w:r>
        <w:rPr>
          <w:sz w:val="22"/>
        </w:rPr>
        <w:fldChar w:fldCharType="begin"/>
      </w:r>
      <w:r>
        <w:rPr>
          <w:sz w:val="22"/>
        </w:rPr>
        <w:instrText xml:space="preserve"> SEQ Table \* ARABIC </w:instrText>
      </w:r>
      <w:r>
        <w:rPr>
          <w:sz w:val="22"/>
        </w:rPr>
        <w:fldChar w:fldCharType="separate"/>
      </w:r>
      <w:r>
        <w:rPr>
          <w:sz w:val="22"/>
        </w:rPr>
        <w:t>2</w:t>
      </w:r>
      <w:r>
        <w:rPr>
          <w:sz w:val="22"/>
        </w:rPr>
        <w:fldChar w:fldCharType="end"/>
      </w:r>
      <w:r>
        <w:rPr>
          <w:sz w:val="22"/>
        </w:rPr>
        <w:t>: Critical Success Factors</w:t>
      </w:r>
    </w:p>
    <w:tbl>
      <w:tblPr>
        <w:tblStyle w:val="17"/>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2871"/>
        <w:gridCol w:w="6033"/>
      </w:tblGrid>
      <w:tr w14:paraId="0C2C4D6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0" w:type="auto"/>
          </w:tcPr>
          <w:p w14:paraId="472549A4">
            <w:pPr>
              <w:spacing w:after="0"/>
              <w:rPr>
                <w:b/>
                <w:bCs/>
                <w:lang w:val="en-US"/>
              </w:rPr>
            </w:pPr>
            <w:r>
              <w:rPr>
                <w:b/>
                <w:bCs/>
                <w:lang w:val="en-US"/>
              </w:rPr>
              <w:t>Critical Success Factor</w:t>
            </w:r>
          </w:p>
        </w:tc>
        <w:tc>
          <w:tcPr>
            <w:tcW w:w="0" w:type="auto"/>
          </w:tcPr>
          <w:p w14:paraId="7BD9897C">
            <w:pPr>
              <w:spacing w:after="0"/>
              <w:rPr>
                <w:b/>
                <w:bCs/>
                <w:lang w:val="en-US"/>
              </w:rPr>
            </w:pPr>
            <w:r>
              <w:rPr>
                <w:b/>
                <w:bCs/>
                <w:lang w:val="en-US"/>
              </w:rPr>
              <w:t>External Strategic Challenge</w:t>
            </w:r>
          </w:p>
        </w:tc>
      </w:tr>
      <w:tr w14:paraId="3DFC669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0" w:type="auto"/>
          </w:tcPr>
          <w:p w14:paraId="29645BC2">
            <w:pPr>
              <w:spacing w:after="0"/>
              <w:rPr>
                <w:lang w:val="en-US"/>
              </w:rPr>
            </w:pPr>
            <w:r>
              <w:rPr>
                <w:lang w:val="en-US"/>
              </w:rPr>
              <w:t>Brand exclusivity</w:t>
            </w:r>
          </w:p>
        </w:tc>
        <w:tc>
          <w:tcPr>
            <w:tcW w:w="0" w:type="auto"/>
          </w:tcPr>
          <w:p w14:paraId="47478DDA">
            <w:pPr>
              <w:spacing w:after="0"/>
              <w:jc w:val="left"/>
              <w:rPr>
                <w:lang w:val="en-US"/>
              </w:rPr>
            </w:pPr>
            <w:r>
              <w:rPr>
                <w:lang w:val="en-US"/>
              </w:rPr>
              <w:t>Risk of overexposure and dilution of luxury image</w:t>
            </w:r>
          </w:p>
        </w:tc>
      </w:tr>
      <w:tr w14:paraId="7B6D82F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0" w:type="auto"/>
          </w:tcPr>
          <w:p w14:paraId="70846C7F">
            <w:pPr>
              <w:spacing w:after="0"/>
              <w:rPr>
                <w:lang w:val="en-US"/>
              </w:rPr>
            </w:pPr>
            <w:r>
              <w:rPr>
                <w:lang w:val="en-US"/>
              </w:rPr>
              <w:t>Innovation capability</w:t>
            </w:r>
          </w:p>
        </w:tc>
        <w:tc>
          <w:tcPr>
            <w:tcW w:w="0" w:type="auto"/>
          </w:tcPr>
          <w:p w14:paraId="00539B5F">
            <w:pPr>
              <w:spacing w:after="0"/>
              <w:jc w:val="left"/>
              <w:rPr>
                <w:lang w:val="en-US"/>
              </w:rPr>
            </w:pPr>
            <w:r>
              <w:rPr>
                <w:lang w:val="en-US"/>
              </w:rPr>
              <w:t>Rapidly changing fashion trends and high competition</w:t>
            </w:r>
          </w:p>
        </w:tc>
      </w:tr>
      <w:tr w14:paraId="2724EC1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0" w:type="auto"/>
          </w:tcPr>
          <w:p w14:paraId="0E24521D">
            <w:pPr>
              <w:spacing w:after="0"/>
              <w:rPr>
                <w:lang w:val="en-US"/>
              </w:rPr>
            </w:pPr>
            <w:r>
              <w:rPr>
                <w:lang w:val="en-US"/>
              </w:rPr>
              <w:t>Global expansion</w:t>
            </w:r>
          </w:p>
        </w:tc>
        <w:tc>
          <w:tcPr>
            <w:tcW w:w="0" w:type="auto"/>
          </w:tcPr>
          <w:p w14:paraId="0E06B38A">
            <w:pPr>
              <w:spacing w:after="0"/>
              <w:jc w:val="left"/>
              <w:rPr>
                <w:lang w:val="en-US"/>
              </w:rPr>
            </w:pPr>
            <w:r>
              <w:rPr>
                <w:lang w:val="en-US"/>
              </w:rPr>
              <w:t>Cultural differences and geopolitical uncertainty</w:t>
            </w:r>
          </w:p>
        </w:tc>
      </w:tr>
      <w:tr w14:paraId="7D80A54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0" w:type="auto"/>
          </w:tcPr>
          <w:p w14:paraId="1EA58A17">
            <w:pPr>
              <w:spacing w:after="0"/>
              <w:rPr>
                <w:lang w:val="en-US"/>
              </w:rPr>
            </w:pPr>
            <w:r>
              <w:rPr>
                <w:lang w:val="en-US"/>
              </w:rPr>
              <w:t>Digital engagement</w:t>
            </w:r>
          </w:p>
        </w:tc>
        <w:tc>
          <w:tcPr>
            <w:tcW w:w="0" w:type="auto"/>
          </w:tcPr>
          <w:p w14:paraId="1883AAA4">
            <w:pPr>
              <w:spacing w:after="0"/>
              <w:jc w:val="left"/>
              <w:rPr>
                <w:lang w:val="en-US"/>
              </w:rPr>
            </w:pPr>
            <w:r>
              <w:rPr>
                <w:lang w:val="en-US"/>
              </w:rPr>
              <w:t>Fast technological disruption and platform dependency</w:t>
            </w:r>
          </w:p>
        </w:tc>
      </w:tr>
      <w:tr w14:paraId="4063B82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0" w:type="auto"/>
          </w:tcPr>
          <w:p w14:paraId="72DC5C02">
            <w:pPr>
              <w:spacing w:after="0"/>
              <w:rPr>
                <w:lang w:val="en-US"/>
              </w:rPr>
            </w:pPr>
            <w:r>
              <w:rPr>
                <w:lang w:val="en-US"/>
              </w:rPr>
              <w:t>Sustainability positioning</w:t>
            </w:r>
          </w:p>
        </w:tc>
        <w:tc>
          <w:tcPr>
            <w:tcW w:w="0" w:type="auto"/>
          </w:tcPr>
          <w:p w14:paraId="7F471FFA">
            <w:pPr>
              <w:spacing w:after="0"/>
              <w:jc w:val="left"/>
              <w:rPr>
                <w:lang w:val="en-US"/>
              </w:rPr>
            </w:pPr>
            <w:r>
              <w:rPr>
                <w:lang w:val="en-US"/>
              </w:rPr>
              <w:t>Increasing regulatory and consumer pressure</w:t>
            </w:r>
          </w:p>
        </w:tc>
      </w:tr>
    </w:tbl>
    <w:p w14:paraId="40C7DC7F">
      <w:pPr>
        <w:rPr>
          <w:lang w:val="en-US"/>
        </w:rPr>
      </w:pPr>
    </w:p>
    <w:p w14:paraId="7FA60C9C">
      <w:pPr>
        <w:rPr>
          <w:lang w:val="en-US"/>
        </w:rPr>
      </w:pPr>
      <w:r>
        <w:rPr>
          <w:lang w:val="en-US"/>
        </w:rPr>
        <w:t xml:space="preserve">Burberry is a brand that is highly affected by a number of </w:t>
      </w:r>
      <w:r>
        <w:t>critical</w:t>
      </w:r>
      <w:r>
        <w:rPr>
          <w:lang w:val="en-US"/>
        </w:rPr>
        <w:t xml:space="preserve"> success factors (CSFs) that emanate out of the external luxury fashion environment (Cattaneo, 2023). The capabilities of these CSFs to keep the organization competitive within a highly dynamic and brand-driven industry are determined.</w:t>
      </w:r>
    </w:p>
    <w:p w14:paraId="23A370B5">
      <w:pPr>
        <w:rPr>
          <w:lang w:val="en-US"/>
        </w:rPr>
      </w:pPr>
      <w:r>
        <w:rPr>
          <w:lang w:val="en-US"/>
        </w:rPr>
        <w:t>The strength of the brand and exclusivity is a basic critical success factor. Consumer buying behaviors in the luxury industry are highly dependent on perceived status, identity and emotional values and not functional utility. British heritage and affordable status of Burberry is thus a major demand sustaining factor. Nonetheless, exclusivity is a challenging task that involves maintaining distribution and pricing policies.</w:t>
      </w:r>
    </w:p>
    <w:p w14:paraId="375F7DB2">
      <w:pPr>
        <w:rPr>
          <w:lang w:val="en-US"/>
        </w:rPr>
      </w:pPr>
      <w:r>
        <w:rPr>
          <w:lang w:val="en-US"/>
        </w:rPr>
        <w:t>Design and marketing innovativeness is another important success factor. The luxury fashion business is a trend-driven business that demands companies to keep the product-lines and brand narration fresh. The digital fashion shows, social media and personalised customer experiences that Burberry has been able to incorporate are critical in ensuring that the company stays relevant in the eyes of the younger generation (Kang and Sung, 2022).</w:t>
      </w:r>
    </w:p>
    <w:p w14:paraId="79A0E186">
      <w:pPr>
        <w:rPr>
          <w:lang w:val="en-US"/>
        </w:rPr>
      </w:pPr>
      <w:r>
        <w:rPr>
          <w:lang w:val="en-US"/>
        </w:rPr>
        <w:t>Another CSF is the expansion of the market globally and especially in high growth areas like Asia-Pacific. These markets also are major sources of revenue expansion, yet improvement is necessary to fit the culture, regulatory climate, and economic status in the locality.</w:t>
      </w:r>
    </w:p>
    <w:p w14:paraId="177FA4D2">
      <w:pPr>
        <w:rPr>
          <w:lang w:val="en-US"/>
        </w:rPr>
      </w:pPr>
      <w:r>
        <w:rPr>
          <w:lang w:val="en-US"/>
        </w:rPr>
        <w:t>Burberry has major external challenges even with these CSFs. The rivalry with other luxury houses in the world like Gucci adds tension to the pricing power, creativity and brand differentiation (MacGregor Pelikánová and Sani, 2023). Also, the macroeconomic uncertainty, inflationary pressures, and changing consumer confidence have a direct impact on the luxury spending patterns and hence the revenue performance is very cyclical.</w:t>
      </w:r>
    </w:p>
    <w:p w14:paraId="7331A3B3">
      <w:pPr>
        <w:pStyle w:val="3"/>
        <w:rPr>
          <w:lang w:val="en-US"/>
        </w:rPr>
      </w:pPr>
      <w:bookmarkStart w:id="4" w:name="_Toc225617257"/>
      <w:r>
        <w:rPr>
          <w:lang w:val="en-US"/>
        </w:rPr>
        <w:t>2.3 Internal Environment: Resources, Capabilities and Core Competencies</w:t>
      </w:r>
      <w:bookmarkEnd w:id="4"/>
    </w:p>
    <w:p w14:paraId="5BED62B6">
      <w:pPr>
        <w:rPr>
          <w:lang w:val="en-US"/>
        </w:rPr>
      </w:pPr>
      <w:r>
        <w:rPr>
          <w:lang w:val="en-US"/>
        </w:rPr>
        <w:t>The internal environment of Burberry is distinguished by both tangible and intangible resources, which help to support the competitive position of this company. These are the resources in which the organization bases its strategic capabilities (Morais, 2020).</w:t>
      </w:r>
    </w:p>
    <w:p w14:paraId="665E1E11">
      <w:pPr>
        <w:rPr>
          <w:lang w:val="en-US"/>
        </w:rPr>
      </w:pPr>
      <w:r>
        <w:rPr>
          <w:lang w:val="en-US"/>
        </w:rPr>
        <w:t>Primary material assets are a network of retail outlets across the globe, sophisticated digital frameworks, and in-built supply chain activities. These will help Burberry to provide a uniform customer experience both in the physical and electronic channels.</w:t>
      </w:r>
    </w:p>
    <w:p w14:paraId="6987150F">
      <w:pPr>
        <w:rPr>
          <w:lang w:val="en-US"/>
        </w:rPr>
      </w:pPr>
      <w:r>
        <w:rPr>
          <w:lang w:val="en-US"/>
        </w:rPr>
        <w:t>What is more important is that Burberry has good intangibles most especially its brand heritage, reputation and intellectual property (Grant, 2021). Burberry trench coat, check pattern, and British identity are potentially good symbolic assets that help to create brand recognition and emotional appeal.</w:t>
      </w:r>
    </w:p>
    <w:p w14:paraId="6C6F616A">
      <w:pPr>
        <w:rPr>
          <w:lang w:val="en-US"/>
        </w:rPr>
      </w:pPr>
      <w:r>
        <w:rPr>
          <w:lang w:val="en-US"/>
        </w:rPr>
        <w:t>Burberry is strong in terms of capabilities in:</w:t>
      </w:r>
    </w:p>
    <w:p w14:paraId="47CAE24E">
      <w:pPr>
        <w:pStyle w:val="34"/>
        <w:numPr>
          <w:ilvl w:val="0"/>
          <w:numId w:val="1"/>
        </w:numPr>
        <w:rPr>
          <w:lang w:val="en-US"/>
        </w:rPr>
      </w:pPr>
      <w:r>
        <w:rPr>
          <w:lang w:val="en-US"/>
        </w:rPr>
        <w:t>Product design and creative development.</w:t>
      </w:r>
    </w:p>
    <w:p w14:paraId="4CED97D8">
      <w:pPr>
        <w:pStyle w:val="34"/>
        <w:numPr>
          <w:ilvl w:val="0"/>
          <w:numId w:val="1"/>
        </w:numPr>
        <w:rPr>
          <w:lang w:val="en-US"/>
        </w:rPr>
      </w:pPr>
      <w:r>
        <w:rPr>
          <w:lang w:val="en-US"/>
        </w:rPr>
        <w:t>Online marketing and customer interaction.</w:t>
      </w:r>
    </w:p>
    <w:p w14:paraId="6B09A529">
      <w:pPr>
        <w:pStyle w:val="34"/>
        <w:numPr>
          <w:ilvl w:val="0"/>
          <w:numId w:val="1"/>
        </w:numPr>
        <w:rPr>
          <w:lang w:val="en-US"/>
        </w:rPr>
      </w:pPr>
      <w:r>
        <w:rPr>
          <w:lang w:val="en-US"/>
        </w:rPr>
        <w:t>Omni-channel retail integration.</w:t>
      </w:r>
    </w:p>
    <w:p w14:paraId="16B0DE1F">
      <w:pPr>
        <w:pStyle w:val="34"/>
        <w:numPr>
          <w:ilvl w:val="0"/>
          <w:numId w:val="1"/>
        </w:numPr>
        <w:rPr>
          <w:lang w:val="en-US"/>
        </w:rPr>
      </w:pPr>
      <w:r>
        <w:rPr>
          <w:lang w:val="en-US"/>
        </w:rPr>
        <w:t>Brand management strategies repositioning.</w:t>
      </w:r>
    </w:p>
    <w:p w14:paraId="5F167985">
      <w:pPr>
        <w:rPr>
          <w:lang w:val="en-US"/>
        </w:rPr>
      </w:pPr>
      <w:r>
        <w:rPr>
          <w:lang w:val="en-US"/>
        </w:rPr>
        <w:t>Such capabilities can enable the firm to react to the evolving consumer expectations effectively, yet remain consistent in the brands.</w:t>
      </w:r>
    </w:p>
    <w:p w14:paraId="76C02A17">
      <w:pPr>
        <w:pStyle w:val="3"/>
        <w:rPr>
          <w:lang w:val="en-US"/>
        </w:rPr>
      </w:pPr>
      <w:bookmarkStart w:id="5" w:name="_Toc225617258"/>
      <w:r>
        <w:rPr>
          <w:lang w:val="en-US"/>
        </w:rPr>
        <w:t>2.4 VRIO Analysis of Strategic Capabilities</w:t>
      </w:r>
      <w:bookmarkEnd w:id="5"/>
    </w:p>
    <w:p w14:paraId="627D101A">
      <w:pPr>
        <w:pStyle w:val="13"/>
        <w:rPr>
          <w:b/>
          <w:bCs/>
          <w:lang w:val="en-US"/>
        </w:rPr>
      </w:pPr>
      <w:r>
        <w:t xml:space="preserve">Table </w:t>
      </w:r>
      <w:r>
        <w:fldChar w:fldCharType="begin"/>
      </w:r>
      <w:r>
        <w:instrText xml:space="preserve"> SEQ Table \* ARABIC </w:instrText>
      </w:r>
      <w:r>
        <w:fldChar w:fldCharType="separate"/>
      </w:r>
      <w:r>
        <w:t>3</w:t>
      </w:r>
      <w:r>
        <w:fldChar w:fldCharType="end"/>
      </w:r>
      <w:r>
        <w:rPr>
          <w:b/>
          <w:bCs/>
          <w:lang w:val="en-US"/>
        </w:rPr>
        <w:t>: VRIO Analysis of Burberry</w:t>
      </w:r>
    </w:p>
    <w:tbl>
      <w:tblPr>
        <w:tblStyle w:val="17"/>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2640"/>
        <w:gridCol w:w="844"/>
        <w:gridCol w:w="1230"/>
        <w:gridCol w:w="1370"/>
        <w:gridCol w:w="1683"/>
        <w:gridCol w:w="1809"/>
      </w:tblGrid>
      <w:tr w14:paraId="368B52A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0" w:type="auto"/>
          </w:tcPr>
          <w:p w14:paraId="5F292E42">
            <w:pPr>
              <w:spacing w:after="0"/>
              <w:rPr>
                <w:b/>
                <w:bCs/>
                <w:lang w:val="en-US"/>
              </w:rPr>
            </w:pPr>
            <w:r>
              <w:rPr>
                <w:b/>
                <w:bCs/>
                <w:lang w:val="en-US"/>
              </w:rPr>
              <w:t>Resource/Capability</w:t>
            </w:r>
          </w:p>
        </w:tc>
        <w:tc>
          <w:tcPr>
            <w:tcW w:w="0" w:type="auto"/>
          </w:tcPr>
          <w:p w14:paraId="17474C46">
            <w:pPr>
              <w:spacing w:after="0"/>
              <w:rPr>
                <w:b/>
                <w:bCs/>
                <w:lang w:val="en-US"/>
              </w:rPr>
            </w:pPr>
            <w:r>
              <w:rPr>
                <w:b/>
                <w:bCs/>
                <w:lang w:val="en-US"/>
              </w:rPr>
              <w:t>Value</w:t>
            </w:r>
          </w:p>
        </w:tc>
        <w:tc>
          <w:tcPr>
            <w:tcW w:w="0" w:type="auto"/>
          </w:tcPr>
          <w:p w14:paraId="384A5D05">
            <w:pPr>
              <w:spacing w:after="0"/>
              <w:rPr>
                <w:b/>
                <w:bCs/>
                <w:lang w:val="en-US"/>
              </w:rPr>
            </w:pPr>
            <w:r>
              <w:rPr>
                <w:b/>
                <w:bCs/>
                <w:lang w:val="en-US"/>
              </w:rPr>
              <w:t>Rarity</w:t>
            </w:r>
          </w:p>
        </w:tc>
        <w:tc>
          <w:tcPr>
            <w:tcW w:w="0" w:type="auto"/>
          </w:tcPr>
          <w:p w14:paraId="3839886F">
            <w:pPr>
              <w:spacing w:after="0"/>
              <w:rPr>
                <w:b/>
                <w:bCs/>
                <w:lang w:val="en-US"/>
              </w:rPr>
            </w:pPr>
            <w:r>
              <w:rPr>
                <w:b/>
                <w:bCs/>
                <w:lang w:val="en-US"/>
              </w:rPr>
              <w:t>Imitability</w:t>
            </w:r>
          </w:p>
        </w:tc>
        <w:tc>
          <w:tcPr>
            <w:tcW w:w="0" w:type="auto"/>
          </w:tcPr>
          <w:p w14:paraId="70C83DC9">
            <w:pPr>
              <w:spacing w:after="0"/>
              <w:rPr>
                <w:b/>
                <w:bCs/>
                <w:lang w:val="en-US"/>
              </w:rPr>
            </w:pPr>
            <w:r>
              <w:rPr>
                <w:b/>
                <w:bCs/>
                <w:lang w:val="en-US"/>
              </w:rPr>
              <w:t>Organization</w:t>
            </w:r>
          </w:p>
        </w:tc>
        <w:tc>
          <w:tcPr>
            <w:tcW w:w="0" w:type="auto"/>
          </w:tcPr>
          <w:p w14:paraId="05078BAC">
            <w:pPr>
              <w:spacing w:after="0"/>
              <w:rPr>
                <w:b/>
                <w:bCs/>
                <w:lang w:val="en-US"/>
              </w:rPr>
            </w:pPr>
            <w:r>
              <w:rPr>
                <w:b/>
                <w:bCs/>
                <w:lang w:val="en-US"/>
              </w:rPr>
              <w:t>Competitive Outcome</w:t>
            </w:r>
          </w:p>
        </w:tc>
      </w:tr>
      <w:tr w14:paraId="39AD22F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0" w:type="auto"/>
          </w:tcPr>
          <w:p w14:paraId="6E4F70ED">
            <w:pPr>
              <w:spacing w:after="0"/>
              <w:jc w:val="left"/>
              <w:rPr>
                <w:lang w:val="en-US"/>
              </w:rPr>
            </w:pPr>
            <w:r>
              <w:rPr>
                <w:lang w:val="en-US"/>
              </w:rPr>
              <w:t>Brand heritage</w:t>
            </w:r>
          </w:p>
        </w:tc>
        <w:tc>
          <w:tcPr>
            <w:tcW w:w="0" w:type="auto"/>
          </w:tcPr>
          <w:p w14:paraId="733B3762">
            <w:pPr>
              <w:spacing w:after="0"/>
              <w:jc w:val="center"/>
              <w:rPr>
                <w:lang w:val="en-US"/>
              </w:rPr>
            </w:pPr>
            <w:r>
              <w:rPr>
                <w:lang w:val="en-US"/>
              </w:rPr>
              <w:t>Yes</w:t>
            </w:r>
          </w:p>
        </w:tc>
        <w:tc>
          <w:tcPr>
            <w:tcW w:w="0" w:type="auto"/>
          </w:tcPr>
          <w:p w14:paraId="237785CC">
            <w:pPr>
              <w:spacing w:after="0"/>
              <w:jc w:val="center"/>
              <w:rPr>
                <w:lang w:val="en-US"/>
              </w:rPr>
            </w:pPr>
            <w:r>
              <w:rPr>
                <w:lang w:val="en-US"/>
              </w:rPr>
              <w:t>High</w:t>
            </w:r>
          </w:p>
        </w:tc>
        <w:tc>
          <w:tcPr>
            <w:tcW w:w="0" w:type="auto"/>
          </w:tcPr>
          <w:p w14:paraId="5F3CA0A8">
            <w:pPr>
              <w:spacing w:after="0"/>
              <w:jc w:val="center"/>
              <w:rPr>
                <w:lang w:val="en-US"/>
              </w:rPr>
            </w:pPr>
            <w:r>
              <w:rPr>
                <w:lang w:val="en-US"/>
              </w:rPr>
              <w:t>Very difficult</w:t>
            </w:r>
          </w:p>
        </w:tc>
        <w:tc>
          <w:tcPr>
            <w:tcW w:w="0" w:type="auto"/>
          </w:tcPr>
          <w:p w14:paraId="3EA43CBA">
            <w:pPr>
              <w:spacing w:after="0"/>
              <w:jc w:val="center"/>
              <w:rPr>
                <w:lang w:val="en-US"/>
              </w:rPr>
            </w:pPr>
            <w:r>
              <w:rPr>
                <w:lang w:val="en-US"/>
              </w:rPr>
              <w:t>Yes</w:t>
            </w:r>
          </w:p>
        </w:tc>
        <w:tc>
          <w:tcPr>
            <w:tcW w:w="0" w:type="auto"/>
          </w:tcPr>
          <w:p w14:paraId="448FC02C">
            <w:pPr>
              <w:spacing w:after="0"/>
              <w:jc w:val="center"/>
              <w:rPr>
                <w:lang w:val="en-US"/>
              </w:rPr>
            </w:pPr>
            <w:r>
              <w:rPr>
                <w:lang w:val="en-US"/>
              </w:rPr>
              <w:t>Sustained advantage</w:t>
            </w:r>
          </w:p>
        </w:tc>
      </w:tr>
      <w:tr w14:paraId="6F76F14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0" w:type="auto"/>
          </w:tcPr>
          <w:p w14:paraId="6DD98A6A">
            <w:pPr>
              <w:spacing w:after="0"/>
              <w:jc w:val="left"/>
              <w:rPr>
                <w:lang w:val="en-US"/>
              </w:rPr>
            </w:pPr>
            <w:r>
              <w:rPr>
                <w:lang w:val="en-US"/>
              </w:rPr>
              <w:t>Luxury brand reputation</w:t>
            </w:r>
          </w:p>
        </w:tc>
        <w:tc>
          <w:tcPr>
            <w:tcW w:w="0" w:type="auto"/>
          </w:tcPr>
          <w:p w14:paraId="06E0936E">
            <w:pPr>
              <w:spacing w:after="0"/>
              <w:jc w:val="center"/>
              <w:rPr>
                <w:lang w:val="en-US"/>
              </w:rPr>
            </w:pPr>
            <w:r>
              <w:rPr>
                <w:lang w:val="en-US"/>
              </w:rPr>
              <w:t>Yes</w:t>
            </w:r>
          </w:p>
        </w:tc>
        <w:tc>
          <w:tcPr>
            <w:tcW w:w="0" w:type="auto"/>
          </w:tcPr>
          <w:p w14:paraId="12C8090F">
            <w:pPr>
              <w:spacing w:after="0"/>
              <w:jc w:val="center"/>
              <w:rPr>
                <w:lang w:val="en-US"/>
              </w:rPr>
            </w:pPr>
            <w:r>
              <w:rPr>
                <w:lang w:val="en-US"/>
              </w:rPr>
              <w:t>High</w:t>
            </w:r>
          </w:p>
        </w:tc>
        <w:tc>
          <w:tcPr>
            <w:tcW w:w="0" w:type="auto"/>
          </w:tcPr>
          <w:p w14:paraId="4434FF6B">
            <w:pPr>
              <w:spacing w:after="0"/>
              <w:jc w:val="center"/>
              <w:rPr>
                <w:lang w:val="en-US"/>
              </w:rPr>
            </w:pPr>
            <w:r>
              <w:rPr>
                <w:lang w:val="en-US"/>
              </w:rPr>
              <w:t>Difficult</w:t>
            </w:r>
          </w:p>
        </w:tc>
        <w:tc>
          <w:tcPr>
            <w:tcW w:w="0" w:type="auto"/>
          </w:tcPr>
          <w:p w14:paraId="6726C6F5">
            <w:pPr>
              <w:spacing w:after="0"/>
              <w:jc w:val="center"/>
              <w:rPr>
                <w:lang w:val="en-US"/>
              </w:rPr>
            </w:pPr>
            <w:r>
              <w:rPr>
                <w:lang w:val="en-US"/>
              </w:rPr>
              <w:t>Yes</w:t>
            </w:r>
          </w:p>
        </w:tc>
        <w:tc>
          <w:tcPr>
            <w:tcW w:w="0" w:type="auto"/>
          </w:tcPr>
          <w:p w14:paraId="381E1BCD">
            <w:pPr>
              <w:spacing w:after="0"/>
              <w:jc w:val="center"/>
              <w:rPr>
                <w:lang w:val="en-US"/>
              </w:rPr>
            </w:pPr>
            <w:r>
              <w:rPr>
                <w:lang w:val="en-US"/>
              </w:rPr>
              <w:t>Sustained advantage</w:t>
            </w:r>
          </w:p>
        </w:tc>
      </w:tr>
      <w:tr w14:paraId="2BBF3F7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0" w:type="auto"/>
          </w:tcPr>
          <w:p w14:paraId="16F90C86">
            <w:pPr>
              <w:spacing w:after="0"/>
              <w:jc w:val="left"/>
              <w:rPr>
                <w:lang w:val="en-US"/>
              </w:rPr>
            </w:pPr>
            <w:r>
              <w:rPr>
                <w:lang w:val="en-US"/>
              </w:rPr>
              <w:t>Digital innovation capability</w:t>
            </w:r>
          </w:p>
        </w:tc>
        <w:tc>
          <w:tcPr>
            <w:tcW w:w="0" w:type="auto"/>
          </w:tcPr>
          <w:p w14:paraId="54CB397C">
            <w:pPr>
              <w:spacing w:after="0"/>
              <w:jc w:val="center"/>
              <w:rPr>
                <w:lang w:val="en-US"/>
              </w:rPr>
            </w:pPr>
            <w:r>
              <w:rPr>
                <w:lang w:val="en-US"/>
              </w:rPr>
              <w:t>Yes</w:t>
            </w:r>
          </w:p>
        </w:tc>
        <w:tc>
          <w:tcPr>
            <w:tcW w:w="0" w:type="auto"/>
          </w:tcPr>
          <w:p w14:paraId="291DC2E1">
            <w:pPr>
              <w:spacing w:after="0"/>
              <w:jc w:val="center"/>
              <w:rPr>
                <w:lang w:val="en-US"/>
              </w:rPr>
            </w:pPr>
            <w:r>
              <w:rPr>
                <w:lang w:val="en-US"/>
              </w:rPr>
              <w:t>Moderate</w:t>
            </w:r>
          </w:p>
        </w:tc>
        <w:tc>
          <w:tcPr>
            <w:tcW w:w="0" w:type="auto"/>
          </w:tcPr>
          <w:p w14:paraId="2A3A0796">
            <w:pPr>
              <w:spacing w:after="0"/>
              <w:jc w:val="center"/>
              <w:rPr>
                <w:lang w:val="en-US"/>
              </w:rPr>
            </w:pPr>
            <w:r>
              <w:rPr>
                <w:lang w:val="en-US"/>
              </w:rPr>
              <w:t>Moderate</w:t>
            </w:r>
          </w:p>
        </w:tc>
        <w:tc>
          <w:tcPr>
            <w:tcW w:w="0" w:type="auto"/>
          </w:tcPr>
          <w:p w14:paraId="3843ACD5">
            <w:pPr>
              <w:spacing w:after="0"/>
              <w:jc w:val="center"/>
              <w:rPr>
                <w:lang w:val="en-US"/>
              </w:rPr>
            </w:pPr>
            <w:r>
              <w:rPr>
                <w:lang w:val="en-US"/>
              </w:rPr>
              <w:t>Yes</w:t>
            </w:r>
          </w:p>
        </w:tc>
        <w:tc>
          <w:tcPr>
            <w:tcW w:w="0" w:type="auto"/>
          </w:tcPr>
          <w:p w14:paraId="498543AC">
            <w:pPr>
              <w:spacing w:after="0"/>
              <w:jc w:val="center"/>
              <w:rPr>
                <w:lang w:val="en-US"/>
              </w:rPr>
            </w:pPr>
            <w:r>
              <w:rPr>
                <w:lang w:val="en-US"/>
              </w:rPr>
              <w:t>Temporary advantage</w:t>
            </w:r>
          </w:p>
        </w:tc>
      </w:tr>
      <w:tr w14:paraId="1770D48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0" w:type="auto"/>
          </w:tcPr>
          <w:p w14:paraId="45FA4D16">
            <w:pPr>
              <w:spacing w:after="0"/>
              <w:jc w:val="left"/>
              <w:rPr>
                <w:lang w:val="en-US"/>
              </w:rPr>
            </w:pPr>
            <w:r>
              <w:rPr>
                <w:lang w:val="en-US"/>
              </w:rPr>
              <w:t>Global retail network</w:t>
            </w:r>
          </w:p>
        </w:tc>
        <w:tc>
          <w:tcPr>
            <w:tcW w:w="0" w:type="auto"/>
          </w:tcPr>
          <w:p w14:paraId="1C607F42">
            <w:pPr>
              <w:spacing w:after="0"/>
              <w:jc w:val="center"/>
              <w:rPr>
                <w:lang w:val="en-US"/>
              </w:rPr>
            </w:pPr>
            <w:r>
              <w:rPr>
                <w:lang w:val="en-US"/>
              </w:rPr>
              <w:t>Yes</w:t>
            </w:r>
          </w:p>
        </w:tc>
        <w:tc>
          <w:tcPr>
            <w:tcW w:w="0" w:type="auto"/>
          </w:tcPr>
          <w:p w14:paraId="098A6718">
            <w:pPr>
              <w:spacing w:after="0"/>
              <w:jc w:val="center"/>
              <w:rPr>
                <w:lang w:val="en-US"/>
              </w:rPr>
            </w:pPr>
            <w:r>
              <w:rPr>
                <w:lang w:val="en-US"/>
              </w:rPr>
              <w:t>Low</w:t>
            </w:r>
          </w:p>
        </w:tc>
        <w:tc>
          <w:tcPr>
            <w:tcW w:w="0" w:type="auto"/>
          </w:tcPr>
          <w:p w14:paraId="44457DF1">
            <w:pPr>
              <w:spacing w:after="0"/>
              <w:jc w:val="center"/>
              <w:rPr>
                <w:lang w:val="en-US"/>
              </w:rPr>
            </w:pPr>
            <w:r>
              <w:rPr>
                <w:lang w:val="en-US"/>
              </w:rPr>
              <w:t>Easy</w:t>
            </w:r>
          </w:p>
        </w:tc>
        <w:tc>
          <w:tcPr>
            <w:tcW w:w="0" w:type="auto"/>
          </w:tcPr>
          <w:p w14:paraId="681C125E">
            <w:pPr>
              <w:spacing w:after="0"/>
              <w:jc w:val="center"/>
              <w:rPr>
                <w:lang w:val="en-US"/>
              </w:rPr>
            </w:pPr>
            <w:r>
              <w:rPr>
                <w:lang w:val="en-US"/>
              </w:rPr>
              <w:t>Yes</w:t>
            </w:r>
          </w:p>
        </w:tc>
        <w:tc>
          <w:tcPr>
            <w:tcW w:w="0" w:type="auto"/>
          </w:tcPr>
          <w:p w14:paraId="155D2064">
            <w:pPr>
              <w:spacing w:after="0"/>
              <w:jc w:val="center"/>
              <w:rPr>
                <w:lang w:val="en-US"/>
              </w:rPr>
            </w:pPr>
            <w:r>
              <w:rPr>
                <w:lang w:val="en-US"/>
              </w:rPr>
              <w:t>Competitive parity</w:t>
            </w:r>
          </w:p>
        </w:tc>
      </w:tr>
      <w:tr w14:paraId="6C902E9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0" w:type="auto"/>
          </w:tcPr>
          <w:p w14:paraId="7698F9D0">
            <w:pPr>
              <w:spacing w:after="0"/>
              <w:jc w:val="left"/>
              <w:rPr>
                <w:lang w:val="en-US"/>
              </w:rPr>
            </w:pPr>
            <w:r>
              <w:rPr>
                <w:lang w:val="en-US"/>
              </w:rPr>
              <w:t>Design and craftsmanship</w:t>
            </w:r>
          </w:p>
        </w:tc>
        <w:tc>
          <w:tcPr>
            <w:tcW w:w="0" w:type="auto"/>
          </w:tcPr>
          <w:p w14:paraId="3025F8CE">
            <w:pPr>
              <w:spacing w:after="0"/>
              <w:jc w:val="center"/>
              <w:rPr>
                <w:lang w:val="en-US"/>
              </w:rPr>
            </w:pPr>
            <w:r>
              <w:rPr>
                <w:lang w:val="en-US"/>
              </w:rPr>
              <w:t>Yes</w:t>
            </w:r>
          </w:p>
        </w:tc>
        <w:tc>
          <w:tcPr>
            <w:tcW w:w="0" w:type="auto"/>
          </w:tcPr>
          <w:p w14:paraId="2C9A865C">
            <w:pPr>
              <w:spacing w:after="0"/>
              <w:jc w:val="center"/>
              <w:rPr>
                <w:lang w:val="en-US"/>
              </w:rPr>
            </w:pPr>
            <w:r>
              <w:rPr>
                <w:lang w:val="en-US"/>
              </w:rPr>
              <w:t>High</w:t>
            </w:r>
          </w:p>
        </w:tc>
        <w:tc>
          <w:tcPr>
            <w:tcW w:w="0" w:type="auto"/>
          </w:tcPr>
          <w:p w14:paraId="3F1A3CEC">
            <w:pPr>
              <w:spacing w:after="0"/>
              <w:jc w:val="center"/>
              <w:rPr>
                <w:lang w:val="en-US"/>
              </w:rPr>
            </w:pPr>
            <w:r>
              <w:rPr>
                <w:lang w:val="en-US"/>
              </w:rPr>
              <w:t>Difficult</w:t>
            </w:r>
          </w:p>
        </w:tc>
        <w:tc>
          <w:tcPr>
            <w:tcW w:w="0" w:type="auto"/>
          </w:tcPr>
          <w:p w14:paraId="5485F3BC">
            <w:pPr>
              <w:spacing w:after="0"/>
              <w:jc w:val="center"/>
              <w:rPr>
                <w:lang w:val="en-US"/>
              </w:rPr>
            </w:pPr>
            <w:r>
              <w:rPr>
                <w:lang w:val="en-US"/>
              </w:rPr>
              <w:t>Yes</w:t>
            </w:r>
          </w:p>
        </w:tc>
        <w:tc>
          <w:tcPr>
            <w:tcW w:w="0" w:type="auto"/>
          </w:tcPr>
          <w:p w14:paraId="0819ADAD">
            <w:pPr>
              <w:spacing w:after="0"/>
              <w:jc w:val="center"/>
              <w:rPr>
                <w:lang w:val="en-US"/>
              </w:rPr>
            </w:pPr>
            <w:r>
              <w:rPr>
                <w:lang w:val="en-US"/>
              </w:rPr>
              <w:t>Sustained advantage</w:t>
            </w:r>
          </w:p>
        </w:tc>
      </w:tr>
    </w:tbl>
    <w:p w14:paraId="3888A8C1">
      <w:pPr>
        <w:rPr>
          <w:lang w:val="en-US"/>
        </w:rPr>
      </w:pPr>
      <w:r>
        <w:rPr>
          <w:lang w:val="en-US"/>
        </w:rPr>
        <w:t>The discussion reveals that Burberry has the greatest sources of sustained competitive advantage in its brand heritage, reputation, and design capabilities because they are valuable, rare, and difficult to emulate. Such aspects are ingrained in the history and identity of the organization and therefore, they are hard to copy by the competitors (Dhlamini, 2022). Nonetheless, some of its abilities like digital innovation and international retail operation, although important, are becoming more widespread among the competitors of the luxury, which decreases their possibilities to differentiate in the long term.</w:t>
      </w:r>
    </w:p>
    <w:p w14:paraId="38F6E821">
      <w:pPr>
        <w:pStyle w:val="3"/>
        <w:rPr>
          <w:lang w:val="en-US"/>
        </w:rPr>
      </w:pPr>
      <w:bookmarkStart w:id="6" w:name="_Toc225617259"/>
      <w:r>
        <w:rPr>
          <w:lang w:val="en-US"/>
        </w:rPr>
        <w:t>2.5 Competitive Advantage and Strengths</w:t>
      </w:r>
      <w:bookmarkEnd w:id="6"/>
    </w:p>
    <w:p w14:paraId="4654FA80">
      <w:pPr>
        <w:rPr>
          <w:lang w:val="en-US"/>
        </w:rPr>
      </w:pPr>
      <w:r>
        <w:rPr>
          <w:lang w:val="en-US"/>
        </w:rPr>
        <w:t>The main strength behind Burberry competitive advantage is its high brand equity, heritage positioning and creative ability. These are the strengths that allow the organization to retain premium price and customer loyalty in a very competitive market.</w:t>
      </w:r>
    </w:p>
    <w:p w14:paraId="4CEB12BC">
      <w:pPr>
        <w:rPr>
          <w:lang w:val="en-US"/>
        </w:rPr>
      </w:pPr>
      <w:r>
        <w:rPr>
          <w:lang w:val="en-US"/>
        </w:rPr>
        <w:t>The Britishness of the brand also offers a certain differentiation aspect, especially when compared to other brands like Gucci that are more dependent on striking fashion-oriented brand and trend-based approaches (Silvano, 2020). By contrast, the focus on heritage and classic design by the Burberry Company is conducive to the continuity of the brand.</w:t>
      </w:r>
    </w:p>
    <w:p w14:paraId="7F6A0189">
      <w:pPr>
        <w:rPr>
          <w:lang w:val="en-US"/>
        </w:rPr>
      </w:pPr>
      <w:r>
        <w:rPr>
          <w:lang w:val="en-US"/>
        </w:rPr>
        <w:t>Moreover, the fact that Burberry invested in digital transformation enhances its capacity to reach out to the modern luxury customer by offering personalized and immersive experiences. This improves customer loyalty and the worldwide coverage which strengthens its market presence.</w:t>
      </w:r>
    </w:p>
    <w:p w14:paraId="478F4D8C">
      <w:pPr>
        <w:rPr>
          <w:lang w:val="en-US"/>
        </w:rPr>
      </w:pPr>
      <w:r>
        <w:rPr>
          <w:lang w:val="en-US"/>
        </w:rPr>
        <w:t>These advantages, however, have to be constantly controlled. The luxury fashion business is very dynamic, and competitive power may be lost soon in case of stagnation in innovation or unstable brand positioning (Mandelli et al., 2021). Thus, the competitive advantage of Burberry depends on its internal strengths that are reinvented, the brand identity is controlled, and aligned with the constantly changing expectations of consumers.</w:t>
      </w:r>
    </w:p>
    <w:p w14:paraId="1D098071">
      <w:pPr>
        <w:pStyle w:val="2"/>
        <w:rPr>
          <w:lang w:val="en-US"/>
        </w:rPr>
      </w:pPr>
      <w:bookmarkStart w:id="7" w:name="_Toc225617260"/>
      <w:r>
        <w:rPr>
          <w:lang w:val="en-US"/>
        </w:rPr>
        <w:t>3. CSR and Sustainability Objectives</w:t>
      </w:r>
      <w:bookmarkEnd w:id="7"/>
    </w:p>
    <w:p w14:paraId="4F4BFE3E">
      <w:pPr>
        <w:rPr>
          <w:lang w:val="en-US"/>
        </w:rPr>
      </w:pPr>
      <w:r>
        <w:rPr>
          <w:lang w:val="en-US"/>
        </w:rPr>
        <w:t>Corporate Social Responsibility (CSR) strategy of Burberry is becoming more and more the part of the long-term strategic strategy compared to the peripheral reputation tool. Within the framework of the global luxury fashion market, CSR has a two-fold purpose: it contributes to increasing the brand credibility and addresses the growing demands of the stakeholders in terms of ethical and environmental responsibility (Al-Jaberi, 2022).</w:t>
      </w:r>
    </w:p>
    <w:p w14:paraId="4481A832">
      <w:pPr>
        <w:rPr>
          <w:lang w:val="en-US"/>
        </w:rPr>
      </w:pPr>
      <w:r>
        <w:rPr>
          <w:lang w:eastAsia="en-GB"/>
        </w:rPr>
        <mc:AlternateContent>
          <mc:Choice Requires="wps">
            <w:drawing>
              <wp:anchor distT="0" distB="0" distL="114300" distR="114300" simplePos="0" relativeHeight="251661312" behindDoc="0" locked="0" layoutInCell="1" allowOverlap="1">
                <wp:simplePos x="0" y="0"/>
                <wp:positionH relativeFrom="column">
                  <wp:posOffset>1152525</wp:posOffset>
                </wp:positionH>
                <wp:positionV relativeFrom="paragraph">
                  <wp:posOffset>3600450</wp:posOffset>
                </wp:positionV>
                <wp:extent cx="3924300" cy="389890"/>
                <wp:effectExtent l="0" t="0" r="0" b="0"/>
                <wp:wrapTopAndBottom/>
                <wp:docPr id="4" name="Text Box 4"/>
                <wp:cNvGraphicFramePr/>
                <a:graphic xmlns:a="http://schemas.openxmlformats.org/drawingml/2006/main">
                  <a:graphicData uri="http://schemas.microsoft.com/office/word/2010/wordprocessingShape">
                    <wps:wsp>
                      <wps:cNvSpPr txBox="1"/>
                      <wps:spPr>
                        <a:xfrm>
                          <a:off x="0" y="0"/>
                          <a:ext cx="3924300" cy="389890"/>
                        </a:xfrm>
                        <a:prstGeom prst="rect">
                          <a:avLst/>
                        </a:prstGeom>
                        <a:solidFill>
                          <a:prstClr val="white"/>
                        </a:solidFill>
                        <a:ln>
                          <a:noFill/>
                        </a:ln>
                        <a:effectLst/>
                      </wps:spPr>
                      <wps:txbx>
                        <w:txbxContent>
                          <w:p w14:paraId="4FF04F71">
                            <w:pPr>
                              <w:pStyle w:val="13"/>
                              <w:rPr>
                                <w:sz w:val="32"/>
                                <w:szCs w:val="24"/>
                              </w:rPr>
                            </w:pPr>
                            <w:r>
                              <w:rPr>
                                <w:sz w:val="22"/>
                              </w:rPr>
                              <w:t xml:space="preserve">Figure </w:t>
                            </w:r>
                            <w:r>
                              <w:rPr>
                                <w:sz w:val="22"/>
                              </w:rPr>
                              <w:fldChar w:fldCharType="begin"/>
                            </w:r>
                            <w:r>
                              <w:rPr>
                                <w:sz w:val="22"/>
                              </w:rPr>
                              <w:instrText xml:space="preserve"> SEQ Figure \* ARABIC </w:instrText>
                            </w:r>
                            <w:r>
                              <w:rPr>
                                <w:sz w:val="22"/>
                              </w:rPr>
                              <w:fldChar w:fldCharType="separate"/>
                            </w:r>
                            <w:r>
                              <w:rPr>
                                <w:sz w:val="22"/>
                              </w:rPr>
                              <w:t>3</w:t>
                            </w:r>
                            <w:r>
                              <w:rPr>
                                <w:sz w:val="22"/>
                              </w:rPr>
                              <w:fldChar w:fldCharType="end"/>
                            </w:r>
                            <w:r>
                              <w:rPr>
                                <w:sz w:val="22"/>
                              </w:rPr>
                              <w:t>: Three pillars of CSR (Source: Kang and Sung, 2022)</w:t>
                            </w:r>
                          </w:p>
                        </w:txbxContent>
                      </wps:txbx>
                      <wps:bodyPr rot="0" spcFirstLastPara="0" vertOverflow="overflow" horzOverflow="overflow" vert="horz" wrap="square" lIns="0" tIns="0" rIns="0" bIns="0" numCol="1" spcCol="0" rtlCol="0" fromWordArt="0" anchor="t" anchorCtr="0" forceAA="0" compatLnSpc="1">
                        <a:spAutoFit/>
                      </wps:bodyPr>
                    </wps:wsp>
                  </a:graphicData>
                </a:graphic>
              </wp:anchor>
            </w:drawing>
          </mc:Choice>
          <mc:Fallback>
            <w:pict>
              <v:shape id="_x0000_s1026" o:spid="_x0000_s1026" o:spt="202" type="#_x0000_t202" style="position:absolute;left:0pt;margin-left:90.75pt;margin-top:283.5pt;height:30.7pt;width:309pt;mso-wrap-distance-bottom:0pt;mso-wrap-distance-top:0pt;z-index:251661312;mso-width-relative:page;mso-height-relative:page;" fillcolor="#FFFFFF" filled="t" stroked="f" coordsize="21600,21600" o:gfxdata="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">
                <v:fill on="t" focussize="0,0"/>
                <v:stroke on="f"/>
                <v:imagedata o:title=""/>
                <o:lock v:ext="edit" aspectratio="f"/>
                <v:textbox inset="0mm,0mm,0mm,0mm" style="mso-fit-shape-to-text:t;">
                  <w:txbxContent>
                    <w:p w14:paraId="4FF04F71">
                      <w:pPr>
                        <w:pStyle w:val="13"/>
                        <w:rPr>
                          <w:sz w:val="32"/>
                          <w:szCs w:val="24"/>
                        </w:rPr>
                      </w:pPr>
                      <w:r>
                        <w:rPr>
                          <w:sz w:val="22"/>
                        </w:rPr>
                        <w:t xml:space="preserve">Figure </w:t>
                      </w:r>
                      <w:r>
                        <w:rPr>
                          <w:sz w:val="22"/>
                        </w:rPr>
                        <w:fldChar w:fldCharType="begin"/>
                      </w:r>
                      <w:r>
                        <w:rPr>
                          <w:sz w:val="22"/>
                        </w:rPr>
                        <w:instrText xml:space="preserve"> SEQ Figure \* ARABIC </w:instrText>
                      </w:r>
                      <w:r>
                        <w:rPr>
                          <w:sz w:val="22"/>
                        </w:rPr>
                        <w:fldChar w:fldCharType="separate"/>
                      </w:r>
                      <w:r>
                        <w:rPr>
                          <w:sz w:val="22"/>
                        </w:rPr>
                        <w:t>3</w:t>
                      </w:r>
                      <w:r>
                        <w:rPr>
                          <w:sz w:val="22"/>
                        </w:rPr>
                        <w:fldChar w:fldCharType="end"/>
                      </w:r>
                      <w:r>
                        <w:rPr>
                          <w:sz w:val="22"/>
                        </w:rPr>
                        <w:t>: Three pillars of CSR (Source: Kang and Sung, 2022)</w:t>
                      </w:r>
                    </w:p>
                  </w:txbxContent>
                </v:textbox>
                <w10:wrap type="topAndBottom"/>
              </v:shape>
            </w:pict>
          </mc:Fallback>
        </mc:AlternateContent>
      </w:r>
      <w:r>
        <w:rPr>
          <w:lang w:eastAsia="en-GB"/>
        </w:rPr>
        <w:drawing>
          <wp:anchor distT="0" distB="0" distL="114300" distR="114300" simplePos="0" relativeHeight="251659264" behindDoc="0" locked="0" layoutInCell="1" allowOverlap="1">
            <wp:simplePos x="0" y="0"/>
            <wp:positionH relativeFrom="column">
              <wp:posOffset>1800225</wp:posOffset>
            </wp:positionH>
            <wp:positionV relativeFrom="paragraph">
              <wp:posOffset>1363980</wp:posOffset>
            </wp:positionV>
            <wp:extent cx="2275840" cy="2195830"/>
            <wp:effectExtent l="0" t="0" r="0" b="0"/>
            <wp:wrapTopAndBottom/>
            <wp:docPr id="24234765" name="Picture 2" descr="The pillars of corporate social responsibility. Source: self-produced.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234765" name="Picture 2" descr="The pillars of corporate social responsibility. Source: self-produced. |  Download Scientific Diagram"/>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a:xfrm>
                      <a:off x="0" y="0"/>
                      <a:ext cx="2275840" cy="2195830"/>
                    </a:xfrm>
                    <a:prstGeom prst="rect">
                      <a:avLst/>
                    </a:prstGeom>
                    <a:noFill/>
                    <a:ln>
                      <a:noFill/>
                    </a:ln>
                  </pic:spPr>
                </pic:pic>
              </a:graphicData>
            </a:graphic>
          </wp:anchor>
        </w:drawing>
      </w:r>
      <w:r>
        <w:rPr>
          <w:lang w:val="en-US"/>
        </w:rPr>
        <w:t>The CSR strategy of Burberry is developed based on three combined pillars, such as environmental sustainability, social responsibility, and responsible governance. These pillars are directly related to the wider vision of the company of maintaining the high-end luxury reputation without losing it to the changing standards of the global market environment.</w:t>
      </w:r>
    </w:p>
    <w:p w14:paraId="1BF8C5F4">
      <w:pPr>
        <w:rPr>
          <w:lang w:val="en-US"/>
        </w:rPr>
      </w:pPr>
      <w:r>
        <w:rPr>
          <w:lang w:val="en-US"/>
        </w:rPr>
        <w:t>On the environmental front, Burberry has made the commitment of going net-zero on its carbon emissions both in their direct operation as well as in their indirect operation through their suppliers. Another program that has been launched by the company is to minimize waste, enhance the use of energy and use more sustainable and less impactful materials. Of interest are these endeavors especially in the fashion industry where it is commonly criticized due to its environmental footprint (MacGregor Pelikánová and Sani, 2023). Nevertheless, one major obstacle is to maintain sustainability and luxury quality of products, because the luxury and quality materials and crafts do not agree with the low-impact production technologies.</w:t>
      </w:r>
    </w:p>
    <w:p w14:paraId="4CF98A3C">
      <w:pPr>
        <w:rPr>
          <w:lang w:val="en-US"/>
        </w:rPr>
      </w:pPr>
      <w:r>
        <w:rPr>
          <w:lang w:val="en-US"/>
        </w:rPr>
        <w:t>Burberry is socially responsible, and in this respect, it strives to promote diversity, equity, inclusion, and engagement with the community. To improve workforce diversity and develop an inclusive corporate culture, there are internal organizational policies that have been adopted by the organization (Alokshe et al., 2025). It also invests in programs that sponsor young creatives and those with underrepresented talent in the fashion industry. This strategy is also strategic in respect to the expectation of younger consumers, which are becoming more and more concerned with ethical and socially conscious brands.</w:t>
      </w:r>
    </w:p>
    <w:p w14:paraId="210D5EB5">
      <w:pPr>
        <w:rPr>
          <w:lang w:val="en-US"/>
        </w:rPr>
      </w:pPr>
      <w:r>
        <w:rPr>
          <w:lang w:val="en-US"/>
        </w:rPr>
        <w:t xml:space="preserve">Regarding governance, Burberry focuses on transparency, economic sourcing and adherence to international </w:t>
      </w:r>
      <w:r>
        <w:t>labour</w:t>
      </w:r>
      <w:r>
        <w:rPr>
          <w:lang w:val="en-US"/>
        </w:rPr>
        <w:t xml:space="preserve"> standards. Considering that global supply chains are complex, governance is essential in curbing risks associated with labour exploitation, reputational and regulatory non-conformity.</w:t>
      </w:r>
    </w:p>
    <w:p w14:paraId="1AD31014">
      <w:pPr>
        <w:rPr>
          <w:lang w:val="en-US"/>
        </w:rPr>
      </w:pPr>
      <w:r>
        <w:rPr>
          <w:lang w:val="en-US"/>
        </w:rPr>
        <w:t>With these undertakings, there is a major strategic conflict between CSR goals and profitability. Sustainable sourcing, ethical manufacturing and compliance systems have a tendency of raising the costs of operations which may affect the margins (Morais, 2020). Moreover, it is still a challenge to make sure that CSR initiatives are well incorporated into core strategic decisions and not considered as marketing-based programs.</w:t>
      </w:r>
    </w:p>
    <w:p w14:paraId="1BB5DB1E">
      <w:pPr>
        <w:rPr>
          <w:lang w:val="en-US"/>
        </w:rPr>
      </w:pPr>
      <w:r>
        <w:rPr>
          <w:lang w:val="en-US"/>
        </w:rPr>
        <w:t>In general, the CSR strategy of Burberry is closely complemented by the repositioning of the brand as a contemporary luxury brand (Arraya, 2024). Nevertheless, it can be effective only with the regular implementation of its activities across operations in the global market and the proficiency to reconcile the sustainability promises with the commercial performance.</w:t>
      </w:r>
    </w:p>
    <w:p w14:paraId="6B9FFF51">
      <w:pPr>
        <w:pStyle w:val="2"/>
        <w:rPr>
          <w:lang w:val="en-US"/>
        </w:rPr>
      </w:pPr>
      <w:bookmarkStart w:id="8" w:name="_Toc225617261"/>
      <w:r>
        <w:rPr>
          <w:lang w:val="en-US"/>
        </w:rPr>
        <w:t>4. Balanced Scorecard - Holistic Organizational View</w:t>
      </w:r>
      <w:bookmarkEnd w:id="8"/>
    </w:p>
    <w:p w14:paraId="63981C97">
      <w:pPr>
        <w:rPr>
          <w:lang w:val="en-US"/>
        </w:rPr>
      </w:pPr>
      <w:r>
        <w:rPr>
          <w:lang w:val="en-US"/>
        </w:rPr>
        <w:t>The implementation of the Balanced Scorecard will allow Burberry to convert its strategic vision based on modern luxury, digital innovation, and sustainability into the operational deliverables are measured based on four perspectives (Kaplan, 2009).</w:t>
      </w:r>
    </w:p>
    <w:p w14:paraId="00CDE165">
      <w:pPr>
        <w:rPr>
          <w:lang w:val="en-US"/>
        </w:rPr>
      </w:pPr>
    </w:p>
    <w:p w14:paraId="7E0F428C">
      <w:pPr>
        <w:rPr>
          <w:lang w:val="en-US"/>
        </w:rPr>
      </w:pPr>
    </w:p>
    <w:p w14:paraId="5DDB4BB9">
      <w:pPr>
        <w:pStyle w:val="13"/>
        <w:rPr>
          <w:sz w:val="22"/>
          <w:lang w:val="en-US"/>
        </w:rPr>
      </w:pPr>
      <w:r>
        <w:rPr>
          <w:sz w:val="22"/>
        </w:rPr>
        <w:t xml:space="preserve">Table </w:t>
      </w:r>
      <w:r>
        <w:rPr>
          <w:sz w:val="22"/>
        </w:rPr>
        <w:fldChar w:fldCharType="begin"/>
      </w:r>
      <w:r>
        <w:rPr>
          <w:sz w:val="22"/>
        </w:rPr>
        <w:instrText xml:space="preserve"> SEQ Table \* ARABIC </w:instrText>
      </w:r>
      <w:r>
        <w:rPr>
          <w:sz w:val="22"/>
        </w:rPr>
        <w:fldChar w:fldCharType="separate"/>
      </w:r>
      <w:r>
        <w:rPr>
          <w:sz w:val="22"/>
        </w:rPr>
        <w:t>4</w:t>
      </w:r>
      <w:r>
        <w:rPr>
          <w:sz w:val="22"/>
        </w:rPr>
        <w:fldChar w:fldCharType="end"/>
      </w:r>
      <w:r>
        <w:rPr>
          <w:sz w:val="22"/>
          <w:lang w:val="en-US"/>
        </w:rPr>
        <w:t>: Balanced Scorecard for Burberry</w:t>
      </w:r>
    </w:p>
    <w:tbl>
      <w:tblPr>
        <w:tblStyle w:val="17"/>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603"/>
        <w:gridCol w:w="2005"/>
        <w:gridCol w:w="2009"/>
        <w:gridCol w:w="1762"/>
        <w:gridCol w:w="2197"/>
      </w:tblGrid>
      <w:tr w14:paraId="26D5B17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0" w:type="auto"/>
          </w:tcPr>
          <w:p w14:paraId="3D7DC0FB">
            <w:pPr>
              <w:spacing w:after="0"/>
              <w:rPr>
                <w:b/>
                <w:bCs/>
                <w:lang w:val="en-US"/>
              </w:rPr>
            </w:pPr>
            <w:r>
              <w:rPr>
                <w:b/>
                <w:bCs/>
                <w:lang w:val="en-US"/>
              </w:rPr>
              <w:t>Perspective</w:t>
            </w:r>
          </w:p>
        </w:tc>
        <w:tc>
          <w:tcPr>
            <w:tcW w:w="0" w:type="auto"/>
          </w:tcPr>
          <w:p w14:paraId="13190CD2">
            <w:pPr>
              <w:spacing w:after="0"/>
              <w:rPr>
                <w:b/>
                <w:bCs/>
                <w:lang w:val="en-US"/>
              </w:rPr>
            </w:pPr>
            <w:r>
              <w:rPr>
                <w:b/>
                <w:bCs/>
                <w:lang w:val="en-US"/>
              </w:rPr>
              <w:t>Strategic Objective</w:t>
            </w:r>
          </w:p>
        </w:tc>
        <w:tc>
          <w:tcPr>
            <w:tcW w:w="0" w:type="auto"/>
          </w:tcPr>
          <w:p w14:paraId="501CA63C">
            <w:pPr>
              <w:spacing w:after="0"/>
              <w:rPr>
                <w:b/>
                <w:bCs/>
                <w:lang w:val="en-US"/>
              </w:rPr>
            </w:pPr>
            <w:r>
              <w:rPr>
                <w:b/>
                <w:bCs/>
                <w:lang w:val="en-US"/>
              </w:rPr>
              <w:t>KPIs</w:t>
            </w:r>
          </w:p>
        </w:tc>
        <w:tc>
          <w:tcPr>
            <w:tcW w:w="0" w:type="auto"/>
          </w:tcPr>
          <w:p w14:paraId="4A536B48">
            <w:pPr>
              <w:spacing w:after="0"/>
              <w:rPr>
                <w:b/>
                <w:bCs/>
                <w:lang w:val="en-US"/>
              </w:rPr>
            </w:pPr>
            <w:r>
              <w:rPr>
                <w:b/>
                <w:bCs/>
                <w:lang w:val="en-US"/>
              </w:rPr>
              <w:t>Targets</w:t>
            </w:r>
          </w:p>
        </w:tc>
        <w:tc>
          <w:tcPr>
            <w:tcW w:w="0" w:type="auto"/>
          </w:tcPr>
          <w:p w14:paraId="6B85F60B">
            <w:pPr>
              <w:spacing w:after="0"/>
              <w:rPr>
                <w:b/>
                <w:bCs/>
                <w:lang w:val="en-US"/>
              </w:rPr>
            </w:pPr>
            <w:r>
              <w:rPr>
                <w:b/>
                <w:bCs/>
                <w:lang w:val="en-US"/>
              </w:rPr>
              <w:t>Strategic Initiatives</w:t>
            </w:r>
          </w:p>
        </w:tc>
      </w:tr>
      <w:tr w14:paraId="3D3714B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0" w:type="auto"/>
          </w:tcPr>
          <w:p w14:paraId="5A381417">
            <w:pPr>
              <w:spacing w:after="0"/>
              <w:rPr>
                <w:lang w:val="en-US"/>
              </w:rPr>
            </w:pPr>
            <w:r>
              <w:rPr>
                <w:lang w:val="en-US"/>
              </w:rPr>
              <w:t>Financial</w:t>
            </w:r>
          </w:p>
        </w:tc>
        <w:tc>
          <w:tcPr>
            <w:tcW w:w="0" w:type="auto"/>
          </w:tcPr>
          <w:p w14:paraId="09F2E5D8">
            <w:pPr>
              <w:spacing w:after="0"/>
              <w:jc w:val="center"/>
              <w:rPr>
                <w:lang w:val="en-US"/>
              </w:rPr>
            </w:pPr>
            <w:r>
              <w:rPr>
                <w:lang w:val="en-US"/>
              </w:rPr>
              <w:t>Sustain long-term profitability and shareholder value</w:t>
            </w:r>
          </w:p>
        </w:tc>
        <w:tc>
          <w:tcPr>
            <w:tcW w:w="0" w:type="auto"/>
          </w:tcPr>
          <w:p w14:paraId="55694097">
            <w:pPr>
              <w:spacing w:after="0"/>
              <w:jc w:val="center"/>
              <w:rPr>
                <w:lang w:val="en-US"/>
              </w:rPr>
            </w:pPr>
            <w:r>
              <w:rPr>
                <w:lang w:val="en-US"/>
              </w:rPr>
              <w:t>Revenue growth, operating margin, ROE</w:t>
            </w:r>
          </w:p>
        </w:tc>
        <w:tc>
          <w:tcPr>
            <w:tcW w:w="0" w:type="auto"/>
          </w:tcPr>
          <w:p w14:paraId="6B47DC28">
            <w:pPr>
              <w:spacing w:after="0"/>
              <w:jc w:val="center"/>
              <w:rPr>
                <w:lang w:val="en-US"/>
              </w:rPr>
            </w:pPr>
            <w:r>
              <w:rPr>
                <w:lang w:val="en-US"/>
              </w:rPr>
              <w:t>Stable 8–10% growth</w:t>
            </w:r>
          </w:p>
        </w:tc>
        <w:tc>
          <w:tcPr>
            <w:tcW w:w="0" w:type="auto"/>
          </w:tcPr>
          <w:p w14:paraId="0D42EA7A">
            <w:pPr>
              <w:spacing w:after="0"/>
              <w:jc w:val="center"/>
              <w:rPr>
                <w:lang w:val="en-US"/>
              </w:rPr>
            </w:pPr>
            <w:r>
              <w:rPr>
                <w:lang w:val="en-US"/>
              </w:rPr>
              <w:t>Premium pricing strategy, cost efficiency, luxury positioning</w:t>
            </w:r>
          </w:p>
        </w:tc>
      </w:tr>
      <w:tr w14:paraId="7900BAF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0" w:type="auto"/>
          </w:tcPr>
          <w:p w14:paraId="78A27560">
            <w:pPr>
              <w:spacing w:after="0"/>
              <w:rPr>
                <w:lang w:val="en-US"/>
              </w:rPr>
            </w:pPr>
            <w:r>
              <w:rPr>
                <w:lang w:val="en-US"/>
              </w:rPr>
              <w:t>Customer</w:t>
            </w:r>
          </w:p>
        </w:tc>
        <w:tc>
          <w:tcPr>
            <w:tcW w:w="0" w:type="auto"/>
          </w:tcPr>
          <w:p w14:paraId="0C716405">
            <w:pPr>
              <w:spacing w:after="0"/>
              <w:jc w:val="center"/>
              <w:rPr>
                <w:lang w:val="en-US"/>
              </w:rPr>
            </w:pPr>
            <w:r>
              <w:rPr>
                <w:lang w:val="en-US"/>
              </w:rPr>
              <w:t>Enhance brand loyalty and global customer experience</w:t>
            </w:r>
          </w:p>
        </w:tc>
        <w:tc>
          <w:tcPr>
            <w:tcW w:w="0" w:type="auto"/>
          </w:tcPr>
          <w:p w14:paraId="1EE04483">
            <w:pPr>
              <w:spacing w:after="0"/>
              <w:jc w:val="center"/>
              <w:rPr>
                <w:lang w:val="en-US"/>
              </w:rPr>
            </w:pPr>
            <w:r>
              <w:rPr>
                <w:lang w:val="en-US"/>
              </w:rPr>
              <w:t>Customer retention rate, NPS, digital engagement</w:t>
            </w:r>
          </w:p>
        </w:tc>
        <w:tc>
          <w:tcPr>
            <w:tcW w:w="0" w:type="auto"/>
          </w:tcPr>
          <w:p w14:paraId="2B916270">
            <w:pPr>
              <w:spacing w:after="0"/>
              <w:jc w:val="center"/>
              <w:rPr>
                <w:lang w:val="en-US"/>
              </w:rPr>
            </w:pPr>
            <w:r>
              <w:rPr>
                <w:lang w:val="en-US"/>
              </w:rPr>
              <w:t>High retention (&gt;85%), rising NPS</w:t>
            </w:r>
          </w:p>
        </w:tc>
        <w:tc>
          <w:tcPr>
            <w:tcW w:w="0" w:type="auto"/>
          </w:tcPr>
          <w:p w14:paraId="1AFAFC71">
            <w:pPr>
              <w:spacing w:after="0"/>
              <w:jc w:val="center"/>
              <w:rPr>
                <w:lang w:val="en-US"/>
              </w:rPr>
            </w:pPr>
            <w:r>
              <w:rPr>
                <w:lang w:val="en-US"/>
              </w:rPr>
              <w:t>Personalization, Omni-channel retailing, digital storytelling</w:t>
            </w:r>
          </w:p>
        </w:tc>
      </w:tr>
      <w:tr w14:paraId="4908F3A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0" w:type="auto"/>
          </w:tcPr>
          <w:p w14:paraId="0AAA65F8">
            <w:pPr>
              <w:spacing w:after="0"/>
              <w:rPr>
                <w:lang w:val="en-US"/>
              </w:rPr>
            </w:pPr>
            <w:r>
              <w:rPr>
                <w:lang w:val="en-US"/>
              </w:rPr>
              <w:t>Internal Processes</w:t>
            </w:r>
          </w:p>
        </w:tc>
        <w:tc>
          <w:tcPr>
            <w:tcW w:w="0" w:type="auto"/>
          </w:tcPr>
          <w:p w14:paraId="1E43CFF8">
            <w:pPr>
              <w:spacing w:after="0"/>
              <w:jc w:val="center"/>
              <w:rPr>
                <w:lang w:val="en-US"/>
              </w:rPr>
            </w:pPr>
            <w:r>
              <w:rPr>
                <w:lang w:val="en-US"/>
              </w:rPr>
              <w:t>Improve operational efficiency and sustainability</w:t>
            </w:r>
          </w:p>
        </w:tc>
        <w:tc>
          <w:tcPr>
            <w:tcW w:w="0" w:type="auto"/>
          </w:tcPr>
          <w:p w14:paraId="418C998E">
            <w:pPr>
              <w:spacing w:after="0"/>
              <w:jc w:val="center"/>
              <w:rPr>
                <w:lang w:val="en-US"/>
              </w:rPr>
            </w:pPr>
            <w:r>
              <w:rPr>
                <w:lang w:val="en-US"/>
              </w:rPr>
              <w:t>Supply chain transparency, carbon reduction, product cycle efficiency</w:t>
            </w:r>
          </w:p>
        </w:tc>
        <w:tc>
          <w:tcPr>
            <w:tcW w:w="0" w:type="auto"/>
          </w:tcPr>
          <w:p w14:paraId="3B3E33BD">
            <w:pPr>
              <w:spacing w:after="0"/>
              <w:jc w:val="center"/>
              <w:rPr>
                <w:lang w:val="en-US"/>
              </w:rPr>
            </w:pPr>
            <w:r>
              <w:rPr>
                <w:lang w:val="en-US"/>
              </w:rPr>
              <w:t>Net-zero progress, reduced emissions intensity</w:t>
            </w:r>
          </w:p>
        </w:tc>
        <w:tc>
          <w:tcPr>
            <w:tcW w:w="0" w:type="auto"/>
          </w:tcPr>
          <w:p w14:paraId="65132F59">
            <w:pPr>
              <w:spacing w:after="0"/>
              <w:jc w:val="center"/>
              <w:rPr>
                <w:lang w:val="en-US"/>
              </w:rPr>
            </w:pPr>
            <w:r>
              <w:rPr>
                <w:lang w:val="en-US"/>
              </w:rPr>
              <w:t>Sustainable sourcing, digital supply chain integration</w:t>
            </w:r>
          </w:p>
        </w:tc>
      </w:tr>
      <w:tr w14:paraId="6AD219E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0" w:type="auto"/>
          </w:tcPr>
          <w:p w14:paraId="7C61927C">
            <w:pPr>
              <w:spacing w:after="0"/>
              <w:rPr>
                <w:lang w:val="en-US"/>
              </w:rPr>
            </w:pPr>
            <w:r>
              <w:rPr>
                <w:lang w:val="en-US"/>
              </w:rPr>
              <w:t>Learning &amp; Growth</w:t>
            </w:r>
          </w:p>
        </w:tc>
        <w:tc>
          <w:tcPr>
            <w:tcW w:w="0" w:type="auto"/>
          </w:tcPr>
          <w:p w14:paraId="5C9EA7A6">
            <w:pPr>
              <w:spacing w:after="0"/>
              <w:jc w:val="center"/>
              <w:rPr>
                <w:lang w:val="en-US"/>
              </w:rPr>
            </w:pPr>
            <w:r>
              <w:rPr>
                <w:lang w:val="en-US"/>
              </w:rPr>
              <w:t>Strengthen innovation, skills, and organizational adaptability</w:t>
            </w:r>
          </w:p>
        </w:tc>
        <w:tc>
          <w:tcPr>
            <w:tcW w:w="0" w:type="auto"/>
          </w:tcPr>
          <w:p w14:paraId="37F25C77">
            <w:pPr>
              <w:spacing w:after="0"/>
              <w:jc w:val="center"/>
              <w:rPr>
                <w:lang w:val="en-US"/>
              </w:rPr>
            </w:pPr>
            <w:r>
              <w:rPr>
                <w:lang w:val="en-US"/>
              </w:rPr>
              <w:t>Employee training hours, innovation pipeline, digital capability index</w:t>
            </w:r>
          </w:p>
        </w:tc>
        <w:tc>
          <w:tcPr>
            <w:tcW w:w="0" w:type="auto"/>
          </w:tcPr>
          <w:p w14:paraId="7F5AC7AB">
            <w:pPr>
              <w:spacing w:after="0"/>
              <w:jc w:val="center"/>
              <w:rPr>
                <w:lang w:val="en-US"/>
              </w:rPr>
            </w:pPr>
            <w:r>
              <w:rPr>
                <w:lang w:val="en-US"/>
              </w:rPr>
              <w:t>Increased digital competency and innovation output</w:t>
            </w:r>
          </w:p>
        </w:tc>
        <w:tc>
          <w:tcPr>
            <w:tcW w:w="0" w:type="auto"/>
          </w:tcPr>
          <w:p w14:paraId="4A3D20DE">
            <w:pPr>
              <w:spacing w:after="0"/>
              <w:jc w:val="center"/>
              <w:rPr>
                <w:lang w:val="en-US"/>
              </w:rPr>
            </w:pPr>
            <w:r>
              <w:rPr>
                <w:lang w:val="en-US"/>
              </w:rPr>
              <w:t>Leadership development, digital upskilling, innovation labs</w:t>
            </w:r>
          </w:p>
        </w:tc>
      </w:tr>
    </w:tbl>
    <w:p w14:paraId="0E296D1F">
      <w:pPr>
        <w:spacing w:line="278" w:lineRule="auto"/>
        <w:rPr>
          <w:b/>
          <w:bCs/>
          <w:lang w:val="en-US"/>
        </w:rPr>
      </w:pPr>
    </w:p>
    <w:p w14:paraId="2E4D1A91">
      <w:pPr>
        <w:rPr>
          <w:lang w:val="en-US"/>
        </w:rPr>
      </w:pPr>
      <w:r>
        <w:rPr>
          <w:b/>
          <w:bCs/>
          <w:lang w:val="en-US"/>
        </w:rPr>
        <w:t xml:space="preserve">Financial Perspective: </w:t>
      </w:r>
      <w:r>
        <w:rPr>
          <w:lang w:val="en-US"/>
        </w:rPr>
        <w:t>The financial performance of Burberry is a result of its capacity to continue with premium prices and high brand equity as opposed to growth in volumes. This is in line with its positioning in the luxury segment, where exclusivity and value are sources of profit. Revenue growth, operating margins and return on equity (ROE) are key financial indicators (Cattaneo, 2023). Nevertheless, financial performance is subjected to macroeconomic uncertainty especially in major luxury markets like China and United States where the confidence of the consumer has a direct impact on discretionary spending.</w:t>
      </w:r>
    </w:p>
    <w:p w14:paraId="0383AA17">
      <w:pPr>
        <w:rPr>
          <w:lang w:val="en-US"/>
        </w:rPr>
      </w:pPr>
      <w:r>
        <w:rPr>
          <w:b/>
          <w:bCs/>
          <w:lang w:val="en-US"/>
        </w:rPr>
        <w:t>Customer Perspective:</w:t>
      </w:r>
      <w:r>
        <w:rPr>
          <w:lang w:val="en-US"/>
        </w:rPr>
        <w:t xml:space="preserve"> Customer perspective is the core of strategic success of Burberry. The organization aims at the traditional high-net-worth and digitally native younger consumers. To be relevant on these segments, it should be heavily focused on customer experience, brand storytelling, and emotional appeal (Silvano, 2020). Such key performance indicators as the customer retention rates, Net Promoter Score (NPS), and digital engagement measures can be identified. Personalized marketing, influencer collabs and immersive digital experiences are some of the strategic moves that are meant to enhance customer loyalty. The rising significance of digital platforms has also changed the competitive landscape where it is necessary to invest in customer analytics and </w:t>
      </w:r>
      <w:r>
        <w:t>Omni-channel</w:t>
      </w:r>
      <w:r>
        <w:rPr>
          <w:lang w:val="en-US"/>
        </w:rPr>
        <w:t xml:space="preserve"> integration continuously.</w:t>
      </w:r>
    </w:p>
    <w:p w14:paraId="1347405F">
      <w:pPr>
        <w:rPr>
          <w:lang w:val="en-US"/>
        </w:rPr>
      </w:pPr>
      <w:r>
        <w:rPr>
          <w:b/>
          <w:bCs/>
          <w:lang w:val="en-US"/>
        </w:rPr>
        <w:t>Internal Business Processes Perspective:</w:t>
      </w:r>
      <w:r>
        <w:rPr>
          <w:lang w:val="en-US"/>
        </w:rPr>
        <w:t xml:space="preserve"> The internal processes of Burberry are being more influenced by the necessity to combine efficiency and sustainability. The organization has put significant investments in enhancing supply chain transparency, environmental impact reduction, and operational agility using digital technologies. One of this is attaining net-zero emissions and enhancing traceability at production processes. This point of view also indicates the attempt of Burberry to shorten the product development periods, and still keep the high level of craftsmen work. Digitization of supply chains and retail processes also leads to a more responsive and less inefficient supply chain and retail (Mandelli et al., 2021).</w:t>
      </w:r>
    </w:p>
    <w:p w14:paraId="704AB0E1">
      <w:pPr>
        <w:rPr>
          <w:lang w:val="en-US"/>
        </w:rPr>
      </w:pPr>
      <w:r>
        <w:rPr>
          <w:b/>
          <w:bCs/>
          <w:lang w:val="en-US"/>
        </w:rPr>
        <w:t>Learning and Growth Perspective:</w:t>
      </w:r>
      <w:r>
        <w:rPr>
          <w:lang w:val="en-US"/>
        </w:rPr>
        <w:t xml:space="preserve"> The dimension of learning and growth is very vital towards long term sustainability and especially in an industry that is creativity- and innovation-driven. Burberry spends on staff development, skills in digital transformation and the development of leadership skills. This will guarantee that the employees are prepared to meet the changing market needs and technological evolution (Al-Jaberi, 2022). Internal creative programs and digital experiments are also used to promote innovation. Such initiatives reinforce the strategic goal of Burberry to continue to be relevant in the fast-evolving luxury environment.</w:t>
      </w:r>
    </w:p>
    <w:p w14:paraId="38C8DDAB">
      <w:pPr>
        <w:pStyle w:val="2"/>
        <w:rPr>
          <w:lang w:val="en-US"/>
        </w:rPr>
      </w:pPr>
      <w:bookmarkStart w:id="9" w:name="_Toc225617262"/>
      <w:r>
        <w:rPr>
          <w:lang w:val="en-US"/>
        </w:rPr>
        <w:t>5. Strategic Decisions and Direction.</w:t>
      </w:r>
      <w:bookmarkEnd w:id="9"/>
    </w:p>
    <w:p w14:paraId="4F288389">
      <w:pPr>
        <w:pStyle w:val="13"/>
        <w:rPr>
          <w:b/>
          <w:bCs/>
          <w:sz w:val="22"/>
          <w:lang w:val="en-US"/>
        </w:rPr>
      </w:pPr>
      <w:r>
        <w:rPr>
          <w:sz w:val="22"/>
        </w:rPr>
        <w:t xml:space="preserve">Table </w:t>
      </w:r>
      <w:r>
        <w:rPr>
          <w:sz w:val="22"/>
        </w:rPr>
        <w:fldChar w:fldCharType="begin"/>
      </w:r>
      <w:r>
        <w:rPr>
          <w:sz w:val="22"/>
        </w:rPr>
        <w:instrText xml:space="preserve"> SEQ Table \* ARABIC </w:instrText>
      </w:r>
      <w:r>
        <w:rPr>
          <w:sz w:val="22"/>
        </w:rPr>
        <w:fldChar w:fldCharType="separate"/>
      </w:r>
      <w:r>
        <w:rPr>
          <w:sz w:val="22"/>
        </w:rPr>
        <w:t>5</w:t>
      </w:r>
      <w:r>
        <w:rPr>
          <w:sz w:val="22"/>
        </w:rPr>
        <w:fldChar w:fldCharType="end"/>
      </w:r>
      <w:r>
        <w:rPr>
          <w:b/>
          <w:bCs/>
          <w:sz w:val="22"/>
          <w:lang w:val="en-US"/>
        </w:rPr>
        <w:t>: Strategic Choices and Evaluation</w:t>
      </w:r>
    </w:p>
    <w:tbl>
      <w:tblPr>
        <w:tblStyle w:val="17"/>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1345"/>
        <w:gridCol w:w="1440"/>
        <w:gridCol w:w="1440"/>
        <w:gridCol w:w="1710"/>
        <w:gridCol w:w="1800"/>
        <w:gridCol w:w="1615"/>
      </w:tblGrid>
      <w:tr w14:paraId="7858FE2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345" w:type="dxa"/>
          </w:tcPr>
          <w:p w14:paraId="390A7BD3">
            <w:pPr>
              <w:spacing w:after="0"/>
              <w:rPr>
                <w:b/>
                <w:bCs/>
                <w:lang w:val="en-US"/>
              </w:rPr>
            </w:pPr>
            <w:r>
              <w:rPr>
                <w:b/>
                <w:bCs/>
                <w:lang w:val="en-US"/>
              </w:rPr>
              <w:t>Strategic Level</w:t>
            </w:r>
          </w:p>
        </w:tc>
        <w:tc>
          <w:tcPr>
            <w:tcW w:w="1440" w:type="dxa"/>
          </w:tcPr>
          <w:p w14:paraId="1194B665">
            <w:pPr>
              <w:spacing w:after="0"/>
              <w:rPr>
                <w:b/>
                <w:bCs/>
                <w:lang w:val="en-US"/>
              </w:rPr>
            </w:pPr>
            <w:r>
              <w:rPr>
                <w:b/>
                <w:bCs/>
                <w:lang w:val="en-US"/>
              </w:rPr>
              <w:t>Option</w:t>
            </w:r>
          </w:p>
        </w:tc>
        <w:tc>
          <w:tcPr>
            <w:tcW w:w="1440" w:type="dxa"/>
          </w:tcPr>
          <w:p w14:paraId="41DC0B0A">
            <w:pPr>
              <w:spacing w:after="0"/>
              <w:rPr>
                <w:b/>
                <w:bCs/>
                <w:lang w:val="en-US"/>
              </w:rPr>
            </w:pPr>
            <w:r>
              <w:rPr>
                <w:b/>
                <w:bCs/>
                <w:lang w:val="en-US"/>
              </w:rPr>
              <w:t>Evaluation</w:t>
            </w:r>
          </w:p>
        </w:tc>
        <w:tc>
          <w:tcPr>
            <w:tcW w:w="1710" w:type="dxa"/>
          </w:tcPr>
          <w:p w14:paraId="1EB0E55D">
            <w:pPr>
              <w:spacing w:after="0"/>
              <w:rPr>
                <w:b/>
                <w:bCs/>
                <w:lang w:val="en-US"/>
              </w:rPr>
            </w:pPr>
            <w:r>
              <w:rPr>
                <w:b/>
                <w:bCs/>
                <w:lang w:val="en-US"/>
              </w:rPr>
              <w:t>Advantages</w:t>
            </w:r>
          </w:p>
        </w:tc>
        <w:tc>
          <w:tcPr>
            <w:tcW w:w="1800" w:type="dxa"/>
          </w:tcPr>
          <w:p w14:paraId="3BA02520">
            <w:pPr>
              <w:spacing w:after="0"/>
              <w:rPr>
                <w:b/>
                <w:bCs/>
                <w:lang w:val="en-US"/>
              </w:rPr>
            </w:pPr>
            <w:r>
              <w:rPr>
                <w:b/>
                <w:bCs/>
                <w:lang w:val="en-US"/>
              </w:rPr>
              <w:t>Risks</w:t>
            </w:r>
          </w:p>
        </w:tc>
        <w:tc>
          <w:tcPr>
            <w:tcW w:w="1615" w:type="dxa"/>
          </w:tcPr>
          <w:p w14:paraId="61C9E600">
            <w:pPr>
              <w:spacing w:after="0"/>
              <w:rPr>
                <w:b/>
                <w:bCs/>
                <w:lang w:val="en-US"/>
              </w:rPr>
            </w:pPr>
            <w:r>
              <w:rPr>
                <w:b/>
                <w:bCs/>
                <w:lang w:val="en-US"/>
              </w:rPr>
              <w:t>Recommendation</w:t>
            </w:r>
          </w:p>
        </w:tc>
      </w:tr>
      <w:tr w14:paraId="7A32032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345" w:type="dxa"/>
          </w:tcPr>
          <w:p w14:paraId="727028F6">
            <w:pPr>
              <w:spacing w:after="0"/>
              <w:rPr>
                <w:lang w:val="en-US"/>
              </w:rPr>
            </w:pPr>
            <w:r>
              <w:rPr>
                <w:lang w:val="en-US"/>
              </w:rPr>
              <w:t>Business-Level</w:t>
            </w:r>
          </w:p>
        </w:tc>
        <w:tc>
          <w:tcPr>
            <w:tcW w:w="1440" w:type="dxa"/>
          </w:tcPr>
          <w:p w14:paraId="6E3F4CC2">
            <w:pPr>
              <w:spacing w:after="0"/>
              <w:jc w:val="center"/>
              <w:rPr>
                <w:lang w:val="en-US"/>
              </w:rPr>
            </w:pPr>
            <w:r>
              <w:rPr>
                <w:lang w:val="en-US"/>
              </w:rPr>
              <w:t>Differentiation</w:t>
            </w:r>
          </w:p>
        </w:tc>
        <w:tc>
          <w:tcPr>
            <w:tcW w:w="1440" w:type="dxa"/>
          </w:tcPr>
          <w:p w14:paraId="22F13167">
            <w:pPr>
              <w:spacing w:after="0"/>
              <w:jc w:val="center"/>
              <w:rPr>
                <w:lang w:val="en-US"/>
              </w:rPr>
            </w:pPr>
            <w:r>
              <w:rPr>
                <w:lang w:val="en-US"/>
              </w:rPr>
              <w:t>Highly suitable</w:t>
            </w:r>
          </w:p>
        </w:tc>
        <w:tc>
          <w:tcPr>
            <w:tcW w:w="1710" w:type="dxa"/>
          </w:tcPr>
          <w:p w14:paraId="7F180F7E">
            <w:pPr>
              <w:spacing w:after="0"/>
              <w:jc w:val="center"/>
              <w:rPr>
                <w:lang w:val="en-US"/>
              </w:rPr>
            </w:pPr>
            <w:r>
              <w:rPr>
                <w:lang w:val="en-US"/>
              </w:rPr>
              <w:t>Strong brand equity, pricing power, loyalty</w:t>
            </w:r>
          </w:p>
        </w:tc>
        <w:tc>
          <w:tcPr>
            <w:tcW w:w="1800" w:type="dxa"/>
          </w:tcPr>
          <w:p w14:paraId="0EFB0E10">
            <w:pPr>
              <w:spacing w:after="0"/>
              <w:jc w:val="center"/>
              <w:rPr>
                <w:lang w:val="en-US"/>
              </w:rPr>
            </w:pPr>
            <w:r>
              <w:rPr>
                <w:lang w:val="en-US"/>
              </w:rPr>
              <w:t>High cost of innovation, risk of dilution</w:t>
            </w:r>
          </w:p>
        </w:tc>
        <w:tc>
          <w:tcPr>
            <w:tcW w:w="1615" w:type="dxa"/>
          </w:tcPr>
          <w:p w14:paraId="22C7E6DE">
            <w:pPr>
              <w:spacing w:after="0"/>
              <w:jc w:val="center"/>
              <w:rPr>
                <w:lang w:val="en-US"/>
              </w:rPr>
            </w:pPr>
            <w:r>
              <w:rPr>
                <w:lang w:val="en-US"/>
              </w:rPr>
              <w:t>Continue and strengthen</w:t>
            </w:r>
          </w:p>
        </w:tc>
      </w:tr>
      <w:tr w14:paraId="3037829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345" w:type="dxa"/>
          </w:tcPr>
          <w:p w14:paraId="1273FAC8">
            <w:pPr>
              <w:spacing w:after="0"/>
              <w:rPr>
                <w:lang w:val="en-US"/>
              </w:rPr>
            </w:pPr>
            <w:r>
              <w:rPr>
                <w:lang w:val="en-US"/>
              </w:rPr>
              <w:t>Business-Level</w:t>
            </w:r>
          </w:p>
        </w:tc>
        <w:tc>
          <w:tcPr>
            <w:tcW w:w="1440" w:type="dxa"/>
          </w:tcPr>
          <w:p w14:paraId="54273CF8">
            <w:pPr>
              <w:spacing w:after="0"/>
              <w:jc w:val="center"/>
              <w:rPr>
                <w:lang w:val="en-US"/>
              </w:rPr>
            </w:pPr>
            <w:r>
              <w:rPr>
                <w:lang w:val="en-US"/>
              </w:rPr>
              <w:t>Cost Leadership</w:t>
            </w:r>
          </w:p>
        </w:tc>
        <w:tc>
          <w:tcPr>
            <w:tcW w:w="1440" w:type="dxa"/>
          </w:tcPr>
          <w:p w14:paraId="25EBEB7C">
            <w:pPr>
              <w:spacing w:after="0"/>
              <w:jc w:val="center"/>
              <w:rPr>
                <w:lang w:val="en-US"/>
              </w:rPr>
            </w:pPr>
            <w:r>
              <w:rPr>
                <w:lang w:val="en-US"/>
              </w:rPr>
              <w:t>Not suitable</w:t>
            </w:r>
          </w:p>
        </w:tc>
        <w:tc>
          <w:tcPr>
            <w:tcW w:w="1710" w:type="dxa"/>
          </w:tcPr>
          <w:p w14:paraId="1FAB0326">
            <w:pPr>
              <w:spacing w:after="0"/>
              <w:jc w:val="center"/>
              <w:rPr>
                <w:lang w:val="en-US"/>
              </w:rPr>
            </w:pPr>
            <w:r>
              <w:rPr>
                <w:lang w:val="en-US"/>
              </w:rPr>
              <w:t>Low relevance</w:t>
            </w:r>
          </w:p>
        </w:tc>
        <w:tc>
          <w:tcPr>
            <w:tcW w:w="1800" w:type="dxa"/>
          </w:tcPr>
          <w:p w14:paraId="5A85CB08">
            <w:pPr>
              <w:spacing w:after="0"/>
              <w:jc w:val="center"/>
              <w:rPr>
                <w:lang w:val="en-US"/>
              </w:rPr>
            </w:pPr>
            <w:r>
              <w:rPr>
                <w:lang w:val="en-US"/>
              </w:rPr>
              <w:t>Damages luxury positioning</w:t>
            </w:r>
          </w:p>
        </w:tc>
        <w:tc>
          <w:tcPr>
            <w:tcW w:w="1615" w:type="dxa"/>
          </w:tcPr>
          <w:p w14:paraId="2A11FB2E">
            <w:pPr>
              <w:spacing w:after="0"/>
              <w:jc w:val="center"/>
              <w:rPr>
                <w:lang w:val="en-US"/>
              </w:rPr>
            </w:pPr>
            <w:r>
              <w:rPr>
                <w:lang w:val="en-US"/>
              </w:rPr>
              <w:t>Reject</w:t>
            </w:r>
          </w:p>
        </w:tc>
      </w:tr>
      <w:tr w14:paraId="15D3936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345" w:type="dxa"/>
          </w:tcPr>
          <w:p w14:paraId="31B7BBFD">
            <w:pPr>
              <w:spacing w:after="0"/>
              <w:rPr>
                <w:lang w:val="en-US"/>
              </w:rPr>
            </w:pPr>
            <w:r>
              <w:rPr>
                <w:lang w:val="en-US"/>
              </w:rPr>
              <w:t>Corporate-Level</w:t>
            </w:r>
          </w:p>
        </w:tc>
        <w:tc>
          <w:tcPr>
            <w:tcW w:w="1440" w:type="dxa"/>
          </w:tcPr>
          <w:p w14:paraId="389FFA49">
            <w:pPr>
              <w:spacing w:after="0"/>
              <w:jc w:val="center"/>
              <w:rPr>
                <w:lang w:val="en-US"/>
              </w:rPr>
            </w:pPr>
            <w:r>
              <w:rPr>
                <w:lang w:val="en-US"/>
              </w:rPr>
              <w:t>International Expansion</w:t>
            </w:r>
          </w:p>
        </w:tc>
        <w:tc>
          <w:tcPr>
            <w:tcW w:w="1440" w:type="dxa"/>
          </w:tcPr>
          <w:p w14:paraId="3E3FF9D0">
            <w:pPr>
              <w:spacing w:after="0"/>
              <w:jc w:val="center"/>
              <w:rPr>
                <w:lang w:val="en-US"/>
              </w:rPr>
            </w:pPr>
            <w:r>
              <w:rPr>
                <w:lang w:val="en-US"/>
              </w:rPr>
              <w:t>Strong growth driver</w:t>
            </w:r>
          </w:p>
        </w:tc>
        <w:tc>
          <w:tcPr>
            <w:tcW w:w="1710" w:type="dxa"/>
          </w:tcPr>
          <w:p w14:paraId="16C34E53">
            <w:pPr>
              <w:spacing w:after="0"/>
              <w:jc w:val="center"/>
              <w:rPr>
                <w:lang w:val="en-US"/>
              </w:rPr>
            </w:pPr>
            <w:r>
              <w:rPr>
                <w:lang w:val="en-US"/>
              </w:rPr>
              <w:t>Market diversification, revenue growth</w:t>
            </w:r>
          </w:p>
        </w:tc>
        <w:tc>
          <w:tcPr>
            <w:tcW w:w="1800" w:type="dxa"/>
          </w:tcPr>
          <w:p w14:paraId="36E70155">
            <w:pPr>
              <w:spacing w:after="0"/>
              <w:jc w:val="center"/>
              <w:rPr>
                <w:lang w:val="en-US"/>
              </w:rPr>
            </w:pPr>
            <w:r>
              <w:rPr>
                <w:lang w:val="en-US"/>
              </w:rPr>
              <w:t>Geopolitical risk, localization complexity</w:t>
            </w:r>
          </w:p>
        </w:tc>
        <w:tc>
          <w:tcPr>
            <w:tcW w:w="1615" w:type="dxa"/>
          </w:tcPr>
          <w:p w14:paraId="4A935ADA">
            <w:pPr>
              <w:spacing w:after="0"/>
              <w:jc w:val="center"/>
              <w:rPr>
                <w:lang w:val="en-US"/>
              </w:rPr>
            </w:pPr>
            <w:r>
              <w:rPr>
                <w:lang w:val="en-US"/>
              </w:rPr>
              <w:t>Selective expansion only</w:t>
            </w:r>
          </w:p>
        </w:tc>
      </w:tr>
      <w:tr w14:paraId="169DF49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345" w:type="dxa"/>
          </w:tcPr>
          <w:p w14:paraId="0B987C5D">
            <w:pPr>
              <w:spacing w:after="0"/>
              <w:rPr>
                <w:lang w:val="en-US"/>
              </w:rPr>
            </w:pPr>
            <w:r>
              <w:rPr>
                <w:lang w:val="en-US"/>
              </w:rPr>
              <w:t>Corporate-Level</w:t>
            </w:r>
          </w:p>
        </w:tc>
        <w:tc>
          <w:tcPr>
            <w:tcW w:w="1440" w:type="dxa"/>
          </w:tcPr>
          <w:p w14:paraId="2A3571BE">
            <w:pPr>
              <w:spacing w:after="0"/>
              <w:jc w:val="center"/>
              <w:rPr>
                <w:lang w:val="en-US"/>
              </w:rPr>
            </w:pPr>
            <w:r>
              <w:rPr>
                <w:lang w:val="en-US"/>
              </w:rPr>
              <w:t>Diversification</w:t>
            </w:r>
          </w:p>
        </w:tc>
        <w:tc>
          <w:tcPr>
            <w:tcW w:w="1440" w:type="dxa"/>
          </w:tcPr>
          <w:p w14:paraId="5DF32FC2">
            <w:pPr>
              <w:spacing w:after="0"/>
              <w:jc w:val="center"/>
              <w:rPr>
                <w:lang w:val="en-US"/>
              </w:rPr>
            </w:pPr>
            <w:r>
              <w:rPr>
                <w:lang w:val="en-US"/>
              </w:rPr>
              <w:t>Moderate use</w:t>
            </w:r>
          </w:p>
        </w:tc>
        <w:tc>
          <w:tcPr>
            <w:tcW w:w="1710" w:type="dxa"/>
          </w:tcPr>
          <w:p w14:paraId="6745AB4D">
            <w:pPr>
              <w:spacing w:after="0"/>
              <w:jc w:val="center"/>
              <w:rPr>
                <w:lang w:val="en-US"/>
              </w:rPr>
            </w:pPr>
            <w:r>
              <w:rPr>
                <w:lang w:val="en-US"/>
              </w:rPr>
              <w:t>New revenue streams</w:t>
            </w:r>
          </w:p>
        </w:tc>
        <w:tc>
          <w:tcPr>
            <w:tcW w:w="1800" w:type="dxa"/>
          </w:tcPr>
          <w:p w14:paraId="0EDBF896">
            <w:pPr>
              <w:spacing w:after="0"/>
              <w:jc w:val="center"/>
              <w:rPr>
                <w:lang w:val="en-US"/>
              </w:rPr>
            </w:pPr>
            <w:r>
              <w:rPr>
                <w:lang w:val="en-US"/>
              </w:rPr>
              <w:t>Brand dilution risk</w:t>
            </w:r>
          </w:p>
        </w:tc>
        <w:tc>
          <w:tcPr>
            <w:tcW w:w="1615" w:type="dxa"/>
          </w:tcPr>
          <w:p w14:paraId="47B41EF9">
            <w:pPr>
              <w:spacing w:after="0"/>
              <w:jc w:val="center"/>
              <w:rPr>
                <w:lang w:val="en-US"/>
              </w:rPr>
            </w:pPr>
            <w:r>
              <w:rPr>
                <w:lang w:val="en-US"/>
              </w:rPr>
              <w:t>Limited and controlled use</w:t>
            </w:r>
          </w:p>
        </w:tc>
      </w:tr>
      <w:tr w14:paraId="3419EE5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345" w:type="dxa"/>
          </w:tcPr>
          <w:p w14:paraId="25302FEA">
            <w:pPr>
              <w:spacing w:after="0"/>
              <w:rPr>
                <w:lang w:val="en-US"/>
              </w:rPr>
            </w:pPr>
            <w:r>
              <w:rPr>
                <w:lang w:val="en-US"/>
              </w:rPr>
              <w:t>Strategic Change</w:t>
            </w:r>
          </w:p>
        </w:tc>
        <w:tc>
          <w:tcPr>
            <w:tcW w:w="1440" w:type="dxa"/>
          </w:tcPr>
          <w:p w14:paraId="7A18BDA7">
            <w:pPr>
              <w:spacing w:after="0"/>
              <w:jc w:val="center"/>
              <w:rPr>
                <w:lang w:val="en-US"/>
              </w:rPr>
            </w:pPr>
            <w:r>
              <w:rPr>
                <w:lang w:val="en-US"/>
              </w:rPr>
              <w:t>Digital transformation</w:t>
            </w:r>
          </w:p>
        </w:tc>
        <w:tc>
          <w:tcPr>
            <w:tcW w:w="1440" w:type="dxa"/>
          </w:tcPr>
          <w:p w14:paraId="7B3071F2">
            <w:pPr>
              <w:spacing w:after="0"/>
              <w:jc w:val="center"/>
              <w:rPr>
                <w:lang w:val="en-US"/>
              </w:rPr>
            </w:pPr>
            <w:r>
              <w:rPr>
                <w:lang w:val="en-US"/>
              </w:rPr>
              <w:t>Effective but uneven historically</w:t>
            </w:r>
          </w:p>
        </w:tc>
        <w:tc>
          <w:tcPr>
            <w:tcW w:w="1710" w:type="dxa"/>
          </w:tcPr>
          <w:p w14:paraId="17DCA128">
            <w:pPr>
              <w:spacing w:after="0"/>
              <w:jc w:val="center"/>
              <w:rPr>
                <w:lang w:val="en-US"/>
              </w:rPr>
            </w:pPr>
            <w:r>
              <w:rPr>
                <w:lang w:val="en-US"/>
              </w:rPr>
              <w:t>Improved engagement and efficiency</w:t>
            </w:r>
          </w:p>
        </w:tc>
        <w:tc>
          <w:tcPr>
            <w:tcW w:w="1800" w:type="dxa"/>
          </w:tcPr>
          <w:p w14:paraId="2CA45A6C">
            <w:pPr>
              <w:spacing w:after="0"/>
              <w:jc w:val="center"/>
              <w:rPr>
                <w:lang w:val="en-US"/>
              </w:rPr>
            </w:pPr>
            <w:r>
              <w:rPr>
                <w:lang w:val="en-US"/>
              </w:rPr>
              <w:t>Risk of over-modernization</w:t>
            </w:r>
          </w:p>
        </w:tc>
        <w:tc>
          <w:tcPr>
            <w:tcW w:w="1615" w:type="dxa"/>
          </w:tcPr>
          <w:p w14:paraId="7F0FA03F">
            <w:pPr>
              <w:spacing w:after="0"/>
              <w:jc w:val="center"/>
              <w:rPr>
                <w:lang w:val="en-US"/>
              </w:rPr>
            </w:pPr>
            <w:r>
              <w:rPr>
                <w:lang w:val="en-US"/>
              </w:rPr>
              <w:t>Continue with balance to heritage</w:t>
            </w:r>
          </w:p>
        </w:tc>
      </w:tr>
    </w:tbl>
    <w:p w14:paraId="40DC0417">
      <w:pPr>
        <w:rPr>
          <w:lang w:val="en-US"/>
        </w:rPr>
      </w:pPr>
    </w:p>
    <w:p w14:paraId="297E18E0">
      <w:pPr>
        <w:pStyle w:val="3"/>
        <w:rPr>
          <w:lang w:val="en-US"/>
        </w:rPr>
      </w:pPr>
      <w:bookmarkStart w:id="10" w:name="_Toc225617263"/>
      <w:r>
        <w:rPr>
          <w:lang w:val="en-US"/>
        </w:rPr>
        <w:t>5.1 Business-Level Strategy Decisions</w:t>
      </w:r>
      <w:bookmarkEnd w:id="10"/>
    </w:p>
    <w:p w14:paraId="3854C079">
      <w:pPr>
        <w:rPr>
          <w:lang w:val="en-US"/>
        </w:rPr>
      </w:pPr>
      <w:r>
        <w:rPr>
          <w:lang w:val="en-US"/>
        </w:rPr>
        <w:t>Burberry operates primarily on the differentiation strategy at the business level level and this is the most suitable strategy in the luxury fashion industry. Differentiation is attained by good brand heritage, iconic product design (which includes the trench coat), craftsmanship, innovation and higher pricing. Burberry does not compete in price as is the case with mass-market retailers; but rather in exclusivity, identity and value of emotion (Zhou, 2025).</w:t>
      </w:r>
    </w:p>
    <w:p w14:paraId="0381A710">
      <w:pPr>
        <w:rPr>
          <w:lang w:val="en-US"/>
        </w:rPr>
      </w:pPr>
      <w:r>
        <w:rPr>
          <w:lang w:val="en-US"/>
        </w:rPr>
        <w:t>This is a strategic plan that has a number of benefits. First, it facilitates high purchasing power where Burberry can continue enjoying high profit margins even in the economic fluctuations. Second, it enhances brand loyalty and brand equity, especially those among high-income consumers and aspirational groups in the emerging markets (Sedovs and Volkova, 2024). Third, differentiation facilitates the sustainability of the brand in the long run because customers consider Burberry as a high-value brand attached to the British tradition of luxury.</w:t>
      </w:r>
    </w:p>
    <w:p w14:paraId="55D5C107">
      <w:pPr>
        <w:rPr>
          <w:lang w:val="en-US"/>
        </w:rPr>
      </w:pPr>
      <w:r>
        <w:rPr>
          <w:lang w:val="en-US"/>
        </w:rPr>
        <w:t>Nevertheless, differentiation is also a challenge to strategy. It must make continuous investments in marketing, innovation and product development in order to keep it unique. Also, luxury brands are at risk of brand dilution should they be overly available to customers by over-discounting their products or over-stretching their product line. Burberry has been a victim of the problem previously when the company enlarged its distribution practice and compromised the perception of exclusivity (Zhang and Hao, 2024).</w:t>
      </w:r>
    </w:p>
    <w:p w14:paraId="7F8D3B86">
      <w:pPr>
        <w:pStyle w:val="3"/>
        <w:rPr>
          <w:lang w:val="en-US"/>
        </w:rPr>
      </w:pPr>
      <w:bookmarkStart w:id="11" w:name="_Toc225617264"/>
      <w:r>
        <w:rPr>
          <w:lang w:val="en-US"/>
        </w:rPr>
        <w:t>5.2 Corporate Level Strategic Decisions.</w:t>
      </w:r>
      <w:bookmarkEnd w:id="11"/>
    </w:p>
    <w:p w14:paraId="1A3E30A9">
      <w:pPr>
        <w:rPr>
          <w:lang w:val="en-US"/>
        </w:rPr>
      </w:pPr>
      <w:r>
        <w:rPr>
          <w:lang w:val="en-US"/>
        </w:rPr>
        <w:t>Internationally, Burberry has been emphasizing on international expansion as its growth strategy at the corporate level. The organization is based worldwide, but it has good market in Europe, North America as well as in Asia-Pacific. By going international, Burberry will be able to spread the revenue base and limit reliance on a particular region.</w:t>
      </w:r>
    </w:p>
    <w:p w14:paraId="554D90E4">
      <w:pPr>
        <w:rPr>
          <w:lang w:val="en-US"/>
        </w:rPr>
      </w:pPr>
      <w:r>
        <w:rPr>
          <w:lang w:val="en-US"/>
        </w:rPr>
        <w:t>The Asian luxury market and especially China is a key factor in the growth strategy of Burberry as a result of increasing disposable incomes and increased demand of premium brands (Kaur et al., 2024). The internationalization also enables the company to capitalize on international promotion campaigns and economies of scale in branding and online interaction.</w:t>
      </w:r>
    </w:p>
    <w:p w14:paraId="047A8202">
      <w:pPr>
        <w:rPr>
          <w:lang w:val="en-US"/>
        </w:rPr>
      </w:pPr>
      <w:r>
        <w:rPr>
          <w:lang w:val="en-US"/>
        </w:rPr>
        <w:t xml:space="preserve">Nonetheless, internationalization presents a number of risks. These are geopolitical uncertainty, currency fluctuations and variations in consumer preferences in different regions. Luxury consumption </w:t>
      </w:r>
      <w:r>
        <w:t>behaviour</w:t>
      </w:r>
      <w:r>
        <w:rPr>
          <w:lang w:val="en-US"/>
        </w:rPr>
        <w:t xml:space="preserve"> is extremely culturally sensitive and it needs localization strategies that may elevate the operational complexity and cost.</w:t>
      </w:r>
    </w:p>
    <w:p w14:paraId="782AC35C">
      <w:pPr>
        <w:rPr>
          <w:lang w:val="en-US"/>
        </w:rPr>
      </w:pPr>
      <w:r>
        <w:rPr>
          <w:lang w:val="en-US"/>
        </w:rPr>
        <w:t>Burberry has also sought to diversify under controlled diversification, specifically by launching digital retail-based approached as well as product extensions, with the characteristic of lifestyle orientation (Macchion, 2024). Though diversification has a potential of expanding revenue prospects, too much growth in non-product associated areas can dilute brand exclusivity that is a key resource in the luxury market.</w:t>
      </w:r>
    </w:p>
    <w:p w14:paraId="220A730B">
      <w:pPr>
        <w:pStyle w:val="3"/>
        <w:rPr>
          <w:lang w:val="en-US"/>
        </w:rPr>
      </w:pPr>
      <w:bookmarkStart w:id="12" w:name="_Toc225617265"/>
      <w:r>
        <w:rPr>
          <w:lang w:val="en-US"/>
        </w:rPr>
        <w:t>5.3 Strategic Approach Recommended.</w:t>
      </w:r>
      <w:bookmarkEnd w:id="12"/>
    </w:p>
    <w:p w14:paraId="022D2FDD">
      <w:pPr>
        <w:rPr>
          <w:lang w:val="en-US"/>
        </w:rPr>
      </w:pPr>
      <w:r>
        <w:rPr>
          <w:lang w:val="en-US"/>
        </w:rPr>
        <w:t>A combination of high levels of differentiation and selective international expansion is the best strategic path that Burberry can take. The business should not stop at differentiation, but make brand identity, exclusivity, and premium positioning the major business strategies.</w:t>
      </w:r>
    </w:p>
    <w:p w14:paraId="4105517B">
      <w:pPr>
        <w:rPr>
          <w:lang w:val="en-US"/>
        </w:rPr>
      </w:pPr>
      <w:r>
        <w:rPr>
          <w:lang w:val="en-US"/>
        </w:rPr>
        <w:t>Meanwhile, the international growth must be discriminating and market-oriented, which is aimed at the high growth luxury markets but not the speedy saturation of the global market. This guarantees that there is growth and a reduction in risk (Connor-Crabb et al., 2025). Digital-first luxury positioning, AI-based personalization, omni-channel retailing, and immersive digital experiences should also remain top priorities of Burberry.</w:t>
      </w:r>
    </w:p>
    <w:p w14:paraId="63EBFE2F">
      <w:pPr>
        <w:pStyle w:val="3"/>
        <w:rPr>
          <w:lang w:val="en-US"/>
        </w:rPr>
      </w:pPr>
      <w:bookmarkStart w:id="13" w:name="_Toc225617266"/>
      <w:r>
        <w:rPr>
          <w:lang w:val="en-US"/>
        </w:rPr>
        <w:t>5.4 Management and Strategic Implementation Change</w:t>
      </w:r>
      <w:bookmarkEnd w:id="13"/>
    </w:p>
    <w:p w14:paraId="07382293">
      <w:pPr>
        <w:rPr>
          <w:lang w:val="en-US"/>
        </w:rPr>
      </w:pPr>
      <w:r>
        <w:rPr>
          <w:lang w:val="en-US"/>
        </w:rPr>
        <w:t>Burberry has experienced a dramatic organizational change especially following digital disruption and the changing trend in luxury consumption. The organization has undertaken massive investment in digital change, such as e-commerce growth, data analytics, and digital fashion experiences, such as virtual runway shows (Alokshe et al., 2025).</w:t>
      </w:r>
    </w:p>
    <w:p w14:paraId="353E7782">
      <w:pPr>
        <w:rPr>
          <w:lang w:val="en-US"/>
        </w:rPr>
      </w:pPr>
      <w:r>
        <w:rPr>
          <w:lang w:val="en-US"/>
        </w:rPr>
        <w:t>These programs have enhanced customer contact and operational sensitivity. They are also indicative of a transition with the traditional operations that were heavy on the retail sector to a more integrated digital luxury ecosystem.</w:t>
      </w:r>
    </w:p>
    <w:p w14:paraId="7ECAE82C">
      <w:pPr>
        <w:rPr>
          <w:lang w:val="en-US"/>
        </w:rPr>
      </w:pPr>
      <w:r>
        <w:rPr>
          <w:lang w:val="en-US"/>
        </w:rPr>
        <w:t>Nevertheless, Burberry change management has not been entirely consistent all the time. At the earlier stages, the forceful expansion policies resulted in over exposure of the brand that diluted its luxury market positioning. This necessitated tactical redress and re-employing exclusivity and heritage (Arraya, 2024).</w:t>
      </w:r>
    </w:p>
    <w:p w14:paraId="069C67B5">
      <w:pPr>
        <w:rPr>
          <w:lang w:val="en-US"/>
        </w:rPr>
      </w:pPr>
      <w:r>
        <w:rPr>
          <w:lang w:val="en-US"/>
        </w:rPr>
        <w:t>Most recently, Burberry has shown better coordination between the change efforts and strategic goals. Leadership has emphasized the need to be innovative and traditional such that digital transformation builds on brand heritage and does not kill it.</w:t>
      </w:r>
    </w:p>
    <w:p w14:paraId="4E05AAEC">
      <w:pPr>
        <w:rPr>
          <w:lang w:val="en-US"/>
        </w:rPr>
      </w:pPr>
      <w:r>
        <w:rPr>
          <w:lang w:val="en-US"/>
        </w:rPr>
        <w:t>Nevertheless, one of the major perspectives can still be identified: the need to be strategically coherent throughout change. Luxury brands should also be very careful when transforming their brands so that they do not derail brand vision. Thus, an effective implementation requires a gradual, controlled and identity-focused change.</w:t>
      </w:r>
    </w:p>
    <w:p w14:paraId="3CEB243D">
      <w:pPr>
        <w:pStyle w:val="2"/>
        <w:rPr>
          <w:lang w:val="en-US"/>
        </w:rPr>
      </w:pPr>
      <w:bookmarkStart w:id="14" w:name="_Toc225617267"/>
      <w:r>
        <w:rPr>
          <w:lang w:val="en-US"/>
        </w:rPr>
        <w:t>6. Strategic Evaluation and Recommendations</w:t>
      </w:r>
      <w:bookmarkEnd w:id="14"/>
    </w:p>
    <w:p w14:paraId="0D38CCA1">
      <w:pPr>
        <w:pStyle w:val="3"/>
        <w:rPr>
          <w:lang w:val="en-US"/>
        </w:rPr>
      </w:pPr>
      <w:bookmarkStart w:id="15" w:name="_Toc225617268"/>
      <w:r>
        <w:rPr>
          <w:lang w:val="en-US"/>
        </w:rPr>
        <w:t>6.1 SWOT Analysis</w:t>
      </w:r>
      <w:bookmarkEnd w:id="15"/>
    </w:p>
    <w:p w14:paraId="3BC7D1D3">
      <w:pPr>
        <w:pStyle w:val="13"/>
        <w:rPr>
          <w:b/>
          <w:bCs/>
          <w:sz w:val="22"/>
          <w:lang w:val="en-US"/>
        </w:rPr>
      </w:pPr>
      <w:r>
        <w:rPr>
          <w:sz w:val="22"/>
        </w:rPr>
        <w:t xml:space="preserve">Table </w:t>
      </w:r>
      <w:r>
        <w:rPr>
          <w:sz w:val="22"/>
        </w:rPr>
        <w:fldChar w:fldCharType="begin"/>
      </w:r>
      <w:r>
        <w:rPr>
          <w:sz w:val="22"/>
        </w:rPr>
        <w:instrText xml:space="preserve"> SEQ Table \* ARABIC </w:instrText>
      </w:r>
      <w:r>
        <w:rPr>
          <w:sz w:val="22"/>
        </w:rPr>
        <w:fldChar w:fldCharType="separate"/>
      </w:r>
      <w:r>
        <w:rPr>
          <w:sz w:val="22"/>
        </w:rPr>
        <w:t>6</w:t>
      </w:r>
      <w:r>
        <w:rPr>
          <w:sz w:val="22"/>
        </w:rPr>
        <w:fldChar w:fldCharType="end"/>
      </w:r>
      <w:r>
        <w:rPr>
          <w:b/>
          <w:bCs/>
          <w:sz w:val="22"/>
          <w:lang w:val="en-US"/>
        </w:rPr>
        <w:t>: SWOT Analysis of Burberry</w:t>
      </w:r>
    </w:p>
    <w:tbl>
      <w:tblPr>
        <w:tblStyle w:val="40"/>
        <w:tblW w:w="0" w:type="auto"/>
        <w:tblInd w:w="0" w:type="dxa"/>
        <w:tblBorders>
          <w:top w:val="single" w:color="84E291" w:themeColor="accent3" w:themeTint="66" w:sz="4" w:space="0"/>
          <w:left w:val="single" w:color="84E291" w:themeColor="accent3" w:themeTint="66" w:sz="4" w:space="0"/>
          <w:bottom w:val="single" w:color="84E291" w:themeColor="accent3" w:themeTint="66" w:sz="4" w:space="0"/>
          <w:right w:val="single" w:color="84E291" w:themeColor="accent3" w:themeTint="66" w:sz="4" w:space="0"/>
          <w:insideH w:val="single" w:color="84E291" w:themeColor="accent3" w:themeTint="66" w:sz="4" w:space="0"/>
          <w:insideV w:val="single" w:color="84E291" w:themeColor="accent3" w:themeTint="66" w:sz="4" w:space="0"/>
        </w:tblBorders>
        <w:tblLayout w:type="autofit"/>
        <w:tblCellMar>
          <w:top w:w="0" w:type="dxa"/>
          <w:left w:w="108" w:type="dxa"/>
          <w:bottom w:w="0" w:type="dxa"/>
          <w:right w:w="108" w:type="dxa"/>
        </w:tblCellMar>
      </w:tblPr>
      <w:tblGrid>
        <w:gridCol w:w="4585"/>
        <w:gridCol w:w="4765"/>
      </w:tblGrid>
      <w:tr w14:paraId="0073332E">
        <w:tblPrEx>
          <w:tblBorders>
            <w:top w:val="single" w:color="84E291" w:themeColor="accent3" w:themeTint="66" w:sz="4" w:space="0"/>
            <w:left w:val="single" w:color="84E291" w:themeColor="accent3" w:themeTint="66" w:sz="4" w:space="0"/>
            <w:bottom w:val="single" w:color="84E291" w:themeColor="accent3" w:themeTint="66" w:sz="4" w:space="0"/>
            <w:right w:val="single" w:color="84E291" w:themeColor="accent3" w:themeTint="66" w:sz="4" w:space="0"/>
            <w:insideH w:val="single" w:color="84E291" w:themeColor="accent3" w:themeTint="66" w:sz="4" w:space="0"/>
            <w:insideV w:val="single" w:color="84E291" w:themeColor="accent3" w:themeTint="66" w:sz="4" w:space="0"/>
          </w:tblBorders>
          <w:tblCellMar>
            <w:top w:w="0" w:type="dxa"/>
            <w:left w:w="108" w:type="dxa"/>
            <w:bottom w:w="0" w:type="dxa"/>
            <w:right w:w="108" w:type="dxa"/>
          </w:tblCellMar>
        </w:tblPrEx>
        <w:tc>
          <w:tcPr>
            <w:tcW w:w="4585" w:type="dxa"/>
            <w:tcBorders>
              <w:bottom w:val="single" w:color="47D45A" w:themeColor="accent3" w:themeTint="99" w:sz="12" w:space="0"/>
              <w:insideH w:val="single" w:sz="12" w:space="0"/>
            </w:tcBorders>
            <w:shd w:val="clear" w:color="auto" w:fill="47D45A" w:themeFill="accent3" w:themeFillTint="99"/>
          </w:tcPr>
          <w:p w14:paraId="1553CAA0">
            <w:pPr>
              <w:spacing w:after="160" w:line="278" w:lineRule="auto"/>
              <w:jc w:val="center"/>
              <w:rPr>
                <w:b/>
                <w:bCs/>
                <w:lang w:val="en-US"/>
              </w:rPr>
            </w:pPr>
            <w:r>
              <w:rPr>
                <w:b/>
                <w:bCs/>
                <w:lang w:val="en-US"/>
              </w:rPr>
              <w:t>Strengths</w:t>
            </w:r>
          </w:p>
        </w:tc>
        <w:tc>
          <w:tcPr>
            <w:tcW w:w="4765" w:type="dxa"/>
            <w:tcBorders>
              <w:bottom w:val="single" w:color="47D45A" w:themeColor="accent3" w:themeTint="99" w:sz="12" w:space="0"/>
              <w:insideH w:val="single" w:sz="12" w:space="0"/>
            </w:tcBorders>
            <w:shd w:val="clear" w:color="auto" w:fill="47D45A" w:themeFill="accent3" w:themeFillTint="99"/>
          </w:tcPr>
          <w:p w14:paraId="01347C97">
            <w:pPr>
              <w:spacing w:after="160" w:line="278" w:lineRule="auto"/>
              <w:jc w:val="center"/>
              <w:rPr>
                <w:b/>
                <w:bCs/>
                <w:lang w:val="en-US"/>
              </w:rPr>
            </w:pPr>
            <w:r>
              <w:rPr>
                <w:b/>
                <w:bCs/>
                <w:lang w:val="en-US"/>
              </w:rPr>
              <w:t>Weaknesses</w:t>
            </w:r>
          </w:p>
        </w:tc>
      </w:tr>
      <w:tr w14:paraId="61395BFE">
        <w:tblPrEx>
          <w:tblBorders>
            <w:top w:val="single" w:color="84E291" w:themeColor="accent3" w:themeTint="66" w:sz="4" w:space="0"/>
            <w:left w:val="single" w:color="84E291" w:themeColor="accent3" w:themeTint="66" w:sz="4" w:space="0"/>
            <w:bottom w:val="single" w:color="84E291" w:themeColor="accent3" w:themeTint="66" w:sz="4" w:space="0"/>
            <w:right w:val="single" w:color="84E291" w:themeColor="accent3" w:themeTint="66" w:sz="4" w:space="0"/>
            <w:insideH w:val="single" w:color="84E291" w:themeColor="accent3" w:themeTint="66" w:sz="4" w:space="0"/>
            <w:insideV w:val="single" w:color="84E291" w:themeColor="accent3" w:themeTint="66" w:sz="4" w:space="0"/>
          </w:tblBorders>
          <w:tblCellMar>
            <w:top w:w="0" w:type="dxa"/>
            <w:left w:w="108" w:type="dxa"/>
            <w:bottom w:w="0" w:type="dxa"/>
            <w:right w:w="108" w:type="dxa"/>
          </w:tblCellMar>
        </w:tblPrEx>
        <w:tc>
          <w:tcPr>
            <w:tcW w:w="4585" w:type="dxa"/>
          </w:tcPr>
          <w:p w14:paraId="1F91D462">
            <w:pPr>
              <w:spacing w:after="160" w:line="278" w:lineRule="auto"/>
              <w:rPr>
                <w:b w:val="0"/>
                <w:bCs w:val="0"/>
                <w:lang w:val="en-US"/>
              </w:rPr>
            </w:pPr>
            <w:r>
              <w:rPr>
                <w:b w:val="0"/>
                <w:bCs w:val="0"/>
                <w:lang w:val="en-US"/>
              </w:rPr>
              <w:t>Strong global luxury brand identity</w:t>
            </w:r>
          </w:p>
        </w:tc>
        <w:tc>
          <w:tcPr>
            <w:tcW w:w="4765" w:type="dxa"/>
          </w:tcPr>
          <w:p w14:paraId="325AC1B2">
            <w:pPr>
              <w:spacing w:after="160" w:line="278" w:lineRule="auto"/>
              <w:rPr>
                <w:lang w:val="en-US"/>
              </w:rPr>
            </w:pPr>
            <w:r>
              <w:rPr>
                <w:lang w:val="en-US"/>
              </w:rPr>
              <w:t>Periodic brand dilution from overexpansion</w:t>
            </w:r>
          </w:p>
        </w:tc>
      </w:tr>
      <w:tr w14:paraId="297EECE4">
        <w:tblPrEx>
          <w:tblBorders>
            <w:top w:val="single" w:color="84E291" w:themeColor="accent3" w:themeTint="66" w:sz="4" w:space="0"/>
            <w:left w:val="single" w:color="84E291" w:themeColor="accent3" w:themeTint="66" w:sz="4" w:space="0"/>
            <w:bottom w:val="single" w:color="84E291" w:themeColor="accent3" w:themeTint="66" w:sz="4" w:space="0"/>
            <w:right w:val="single" w:color="84E291" w:themeColor="accent3" w:themeTint="66" w:sz="4" w:space="0"/>
            <w:insideH w:val="single" w:color="84E291" w:themeColor="accent3" w:themeTint="66" w:sz="4" w:space="0"/>
            <w:insideV w:val="single" w:color="84E291" w:themeColor="accent3" w:themeTint="66" w:sz="4" w:space="0"/>
          </w:tblBorders>
          <w:tblCellMar>
            <w:top w:w="0" w:type="dxa"/>
            <w:left w:w="108" w:type="dxa"/>
            <w:bottom w:w="0" w:type="dxa"/>
            <w:right w:w="108" w:type="dxa"/>
          </w:tblCellMar>
        </w:tblPrEx>
        <w:tc>
          <w:tcPr>
            <w:tcW w:w="4585" w:type="dxa"/>
          </w:tcPr>
          <w:p w14:paraId="56864FA0">
            <w:pPr>
              <w:spacing w:after="160" w:line="278" w:lineRule="auto"/>
              <w:rPr>
                <w:b w:val="0"/>
                <w:bCs w:val="0"/>
                <w:lang w:val="en-US"/>
              </w:rPr>
            </w:pPr>
            <w:r>
              <w:rPr>
                <w:b w:val="0"/>
                <w:bCs w:val="0"/>
                <w:lang w:val="en-US"/>
              </w:rPr>
              <w:t>Strong digital transformation capability</w:t>
            </w:r>
          </w:p>
        </w:tc>
        <w:tc>
          <w:tcPr>
            <w:tcW w:w="4765" w:type="dxa"/>
          </w:tcPr>
          <w:p w14:paraId="459B854C">
            <w:pPr>
              <w:spacing w:after="160" w:line="278" w:lineRule="auto"/>
              <w:rPr>
                <w:lang w:val="en-US"/>
              </w:rPr>
            </w:pPr>
            <w:r>
              <w:rPr>
                <w:lang w:val="en-US"/>
              </w:rPr>
              <w:t>High dependence on global luxury demand cycles</w:t>
            </w:r>
          </w:p>
        </w:tc>
      </w:tr>
      <w:tr w14:paraId="61F1C58D">
        <w:tblPrEx>
          <w:tblBorders>
            <w:top w:val="single" w:color="84E291" w:themeColor="accent3" w:themeTint="66" w:sz="4" w:space="0"/>
            <w:left w:val="single" w:color="84E291" w:themeColor="accent3" w:themeTint="66" w:sz="4" w:space="0"/>
            <w:bottom w:val="single" w:color="84E291" w:themeColor="accent3" w:themeTint="66" w:sz="4" w:space="0"/>
            <w:right w:val="single" w:color="84E291" w:themeColor="accent3" w:themeTint="66" w:sz="4" w:space="0"/>
            <w:insideH w:val="single" w:color="84E291" w:themeColor="accent3" w:themeTint="66" w:sz="4" w:space="0"/>
            <w:insideV w:val="single" w:color="84E291" w:themeColor="accent3" w:themeTint="66" w:sz="4" w:space="0"/>
          </w:tblBorders>
          <w:tblCellMar>
            <w:top w:w="0" w:type="dxa"/>
            <w:left w:w="108" w:type="dxa"/>
            <w:bottom w:w="0" w:type="dxa"/>
            <w:right w:w="108" w:type="dxa"/>
          </w:tblCellMar>
        </w:tblPrEx>
        <w:tc>
          <w:tcPr>
            <w:tcW w:w="4585" w:type="dxa"/>
          </w:tcPr>
          <w:p w14:paraId="6D1DE6CF">
            <w:pPr>
              <w:spacing w:after="160" w:line="278" w:lineRule="auto"/>
              <w:rPr>
                <w:b w:val="0"/>
                <w:bCs w:val="0"/>
                <w:lang w:val="en-US"/>
              </w:rPr>
            </w:pPr>
            <w:r>
              <w:rPr>
                <w:b w:val="0"/>
                <w:bCs w:val="0"/>
                <w:lang w:val="en-US"/>
              </w:rPr>
              <w:t>Heritage and iconic product lines (e.g., trench coat)</w:t>
            </w:r>
          </w:p>
        </w:tc>
        <w:tc>
          <w:tcPr>
            <w:tcW w:w="4765" w:type="dxa"/>
          </w:tcPr>
          <w:p w14:paraId="48959BE8">
            <w:pPr>
              <w:spacing w:after="160" w:line="278" w:lineRule="auto"/>
              <w:rPr>
                <w:lang w:val="en-US"/>
              </w:rPr>
            </w:pPr>
            <w:r>
              <w:rPr>
                <w:lang w:val="en-US"/>
              </w:rPr>
              <w:t>Limited product diversification compared to rivals</w:t>
            </w:r>
          </w:p>
        </w:tc>
      </w:tr>
      <w:tr w14:paraId="1E360906">
        <w:tblPrEx>
          <w:tblBorders>
            <w:top w:val="single" w:color="84E291" w:themeColor="accent3" w:themeTint="66" w:sz="4" w:space="0"/>
            <w:left w:val="single" w:color="84E291" w:themeColor="accent3" w:themeTint="66" w:sz="4" w:space="0"/>
            <w:bottom w:val="single" w:color="84E291" w:themeColor="accent3" w:themeTint="66" w:sz="4" w:space="0"/>
            <w:right w:val="single" w:color="84E291" w:themeColor="accent3" w:themeTint="66" w:sz="4" w:space="0"/>
            <w:insideH w:val="single" w:color="84E291" w:themeColor="accent3" w:themeTint="66" w:sz="4" w:space="0"/>
            <w:insideV w:val="single" w:color="84E291" w:themeColor="accent3" w:themeTint="66" w:sz="4" w:space="0"/>
          </w:tblBorders>
          <w:tblCellMar>
            <w:top w:w="0" w:type="dxa"/>
            <w:left w:w="108" w:type="dxa"/>
            <w:bottom w:w="0" w:type="dxa"/>
            <w:right w:w="108" w:type="dxa"/>
          </w:tblCellMar>
        </w:tblPrEx>
        <w:tc>
          <w:tcPr>
            <w:tcW w:w="4585" w:type="dxa"/>
          </w:tcPr>
          <w:p w14:paraId="567A3F03">
            <w:pPr>
              <w:spacing w:after="160" w:line="278" w:lineRule="auto"/>
              <w:rPr>
                <w:b w:val="0"/>
                <w:bCs w:val="0"/>
                <w:lang w:val="en-US"/>
              </w:rPr>
            </w:pPr>
            <w:r>
              <w:rPr>
                <w:b w:val="0"/>
                <w:bCs w:val="0"/>
                <w:lang w:val="en-US"/>
              </w:rPr>
              <w:t>Strong presence in Asia-Pacific markets</w:t>
            </w:r>
          </w:p>
        </w:tc>
        <w:tc>
          <w:tcPr>
            <w:tcW w:w="4765" w:type="dxa"/>
          </w:tcPr>
          <w:p w14:paraId="2D138AF2">
            <w:pPr>
              <w:spacing w:after="160" w:line="278" w:lineRule="auto"/>
              <w:rPr>
                <w:lang w:val="en-US"/>
              </w:rPr>
            </w:pPr>
            <w:r>
              <w:rPr>
                <w:lang w:val="en-US"/>
              </w:rPr>
              <w:t>Vulnerability to macroeconomic downturns</w:t>
            </w:r>
          </w:p>
        </w:tc>
      </w:tr>
    </w:tbl>
    <w:p w14:paraId="232BA2E9">
      <w:pPr>
        <w:spacing w:line="278" w:lineRule="auto"/>
        <w:rPr>
          <w:vanish/>
          <w:lang w:val="en-US"/>
        </w:rPr>
      </w:pPr>
    </w:p>
    <w:tbl>
      <w:tblPr>
        <w:tblStyle w:val="40"/>
        <w:tblW w:w="0" w:type="auto"/>
        <w:tblInd w:w="0" w:type="dxa"/>
        <w:tblBorders>
          <w:top w:val="single" w:color="84E291" w:themeColor="accent3" w:themeTint="66" w:sz="4" w:space="0"/>
          <w:left w:val="single" w:color="84E291" w:themeColor="accent3" w:themeTint="66" w:sz="4" w:space="0"/>
          <w:bottom w:val="single" w:color="84E291" w:themeColor="accent3" w:themeTint="66" w:sz="4" w:space="0"/>
          <w:right w:val="single" w:color="84E291" w:themeColor="accent3" w:themeTint="66" w:sz="4" w:space="0"/>
          <w:insideH w:val="single" w:color="84E291" w:themeColor="accent3" w:themeTint="66" w:sz="4" w:space="0"/>
          <w:insideV w:val="single" w:color="84E291" w:themeColor="accent3" w:themeTint="66" w:sz="4" w:space="0"/>
        </w:tblBorders>
        <w:tblLayout w:type="autofit"/>
        <w:tblCellMar>
          <w:top w:w="0" w:type="dxa"/>
          <w:left w:w="108" w:type="dxa"/>
          <w:bottom w:w="0" w:type="dxa"/>
          <w:right w:w="108" w:type="dxa"/>
        </w:tblCellMar>
      </w:tblPr>
      <w:tblGrid>
        <w:gridCol w:w="4585"/>
        <w:gridCol w:w="4765"/>
      </w:tblGrid>
      <w:tr w14:paraId="44802022">
        <w:tblPrEx>
          <w:tblBorders>
            <w:top w:val="single" w:color="84E291" w:themeColor="accent3" w:themeTint="66" w:sz="4" w:space="0"/>
            <w:left w:val="single" w:color="84E291" w:themeColor="accent3" w:themeTint="66" w:sz="4" w:space="0"/>
            <w:bottom w:val="single" w:color="84E291" w:themeColor="accent3" w:themeTint="66" w:sz="4" w:space="0"/>
            <w:right w:val="single" w:color="84E291" w:themeColor="accent3" w:themeTint="66" w:sz="4" w:space="0"/>
            <w:insideH w:val="single" w:color="84E291" w:themeColor="accent3" w:themeTint="66" w:sz="4" w:space="0"/>
            <w:insideV w:val="single" w:color="84E291" w:themeColor="accent3" w:themeTint="66" w:sz="4" w:space="0"/>
          </w:tblBorders>
          <w:tblCellMar>
            <w:top w:w="0" w:type="dxa"/>
            <w:left w:w="108" w:type="dxa"/>
            <w:bottom w:w="0" w:type="dxa"/>
            <w:right w:w="108" w:type="dxa"/>
          </w:tblCellMar>
        </w:tblPrEx>
        <w:tc>
          <w:tcPr>
            <w:tcW w:w="4585" w:type="dxa"/>
            <w:tcBorders>
              <w:bottom w:val="single" w:color="47D45A" w:themeColor="accent3" w:themeTint="99" w:sz="12" w:space="0"/>
              <w:insideH w:val="single" w:sz="12" w:space="0"/>
            </w:tcBorders>
            <w:shd w:val="clear" w:color="auto" w:fill="47D45A" w:themeFill="accent3" w:themeFillTint="99"/>
          </w:tcPr>
          <w:p w14:paraId="315E345D">
            <w:pPr>
              <w:spacing w:after="160" w:line="278" w:lineRule="auto"/>
              <w:jc w:val="center"/>
              <w:rPr>
                <w:b/>
                <w:bCs/>
                <w:lang w:val="en-US"/>
              </w:rPr>
            </w:pPr>
            <w:r>
              <w:rPr>
                <w:b/>
                <w:bCs/>
                <w:lang w:val="en-US"/>
              </w:rPr>
              <w:t>Opportunities</w:t>
            </w:r>
          </w:p>
        </w:tc>
        <w:tc>
          <w:tcPr>
            <w:tcW w:w="4765" w:type="dxa"/>
            <w:tcBorders>
              <w:bottom w:val="single" w:color="47D45A" w:themeColor="accent3" w:themeTint="99" w:sz="12" w:space="0"/>
              <w:insideH w:val="single" w:sz="12" w:space="0"/>
            </w:tcBorders>
            <w:shd w:val="clear" w:color="auto" w:fill="47D45A" w:themeFill="accent3" w:themeFillTint="99"/>
          </w:tcPr>
          <w:p w14:paraId="24488219">
            <w:pPr>
              <w:spacing w:after="160" w:line="278" w:lineRule="auto"/>
              <w:jc w:val="center"/>
              <w:rPr>
                <w:b/>
                <w:bCs/>
                <w:lang w:val="en-US"/>
              </w:rPr>
            </w:pPr>
            <w:r>
              <w:rPr>
                <w:b/>
                <w:bCs/>
                <w:lang w:val="en-US"/>
              </w:rPr>
              <w:t>Threats</w:t>
            </w:r>
          </w:p>
        </w:tc>
      </w:tr>
      <w:tr w14:paraId="1FCF8539">
        <w:tblPrEx>
          <w:tblBorders>
            <w:top w:val="single" w:color="84E291" w:themeColor="accent3" w:themeTint="66" w:sz="4" w:space="0"/>
            <w:left w:val="single" w:color="84E291" w:themeColor="accent3" w:themeTint="66" w:sz="4" w:space="0"/>
            <w:bottom w:val="single" w:color="84E291" w:themeColor="accent3" w:themeTint="66" w:sz="4" w:space="0"/>
            <w:right w:val="single" w:color="84E291" w:themeColor="accent3" w:themeTint="66" w:sz="4" w:space="0"/>
            <w:insideH w:val="single" w:color="84E291" w:themeColor="accent3" w:themeTint="66" w:sz="4" w:space="0"/>
            <w:insideV w:val="single" w:color="84E291" w:themeColor="accent3" w:themeTint="66" w:sz="4" w:space="0"/>
          </w:tblBorders>
          <w:tblCellMar>
            <w:top w:w="0" w:type="dxa"/>
            <w:left w:w="108" w:type="dxa"/>
            <w:bottom w:w="0" w:type="dxa"/>
            <w:right w:w="108" w:type="dxa"/>
          </w:tblCellMar>
        </w:tblPrEx>
        <w:tc>
          <w:tcPr>
            <w:tcW w:w="4585" w:type="dxa"/>
          </w:tcPr>
          <w:p w14:paraId="47482FDC">
            <w:pPr>
              <w:spacing w:after="160" w:line="278" w:lineRule="auto"/>
              <w:rPr>
                <w:b w:val="0"/>
                <w:bCs w:val="0"/>
                <w:lang w:val="en-US"/>
              </w:rPr>
            </w:pPr>
            <w:r>
              <w:rPr>
                <w:b w:val="0"/>
                <w:bCs w:val="0"/>
                <w:lang w:val="en-US"/>
              </w:rPr>
              <w:t>Growth in Asian luxury markets</w:t>
            </w:r>
          </w:p>
        </w:tc>
        <w:tc>
          <w:tcPr>
            <w:tcW w:w="4765" w:type="dxa"/>
          </w:tcPr>
          <w:p w14:paraId="0B06E96B">
            <w:pPr>
              <w:spacing w:after="160" w:line="278" w:lineRule="auto"/>
              <w:rPr>
                <w:lang w:val="en-US"/>
              </w:rPr>
            </w:pPr>
            <w:r>
              <w:rPr>
                <w:lang w:val="en-US"/>
              </w:rPr>
              <w:t>Intense competition from LVMH, Kering brands</w:t>
            </w:r>
          </w:p>
        </w:tc>
      </w:tr>
      <w:tr w14:paraId="044EBED5">
        <w:tblPrEx>
          <w:tblBorders>
            <w:top w:val="single" w:color="84E291" w:themeColor="accent3" w:themeTint="66" w:sz="4" w:space="0"/>
            <w:left w:val="single" w:color="84E291" w:themeColor="accent3" w:themeTint="66" w:sz="4" w:space="0"/>
            <w:bottom w:val="single" w:color="84E291" w:themeColor="accent3" w:themeTint="66" w:sz="4" w:space="0"/>
            <w:right w:val="single" w:color="84E291" w:themeColor="accent3" w:themeTint="66" w:sz="4" w:space="0"/>
            <w:insideH w:val="single" w:color="84E291" w:themeColor="accent3" w:themeTint="66" w:sz="4" w:space="0"/>
            <w:insideV w:val="single" w:color="84E291" w:themeColor="accent3" w:themeTint="66" w:sz="4" w:space="0"/>
          </w:tblBorders>
          <w:tblCellMar>
            <w:top w:w="0" w:type="dxa"/>
            <w:left w:w="108" w:type="dxa"/>
            <w:bottom w:w="0" w:type="dxa"/>
            <w:right w:w="108" w:type="dxa"/>
          </w:tblCellMar>
        </w:tblPrEx>
        <w:tc>
          <w:tcPr>
            <w:tcW w:w="4585" w:type="dxa"/>
          </w:tcPr>
          <w:p w14:paraId="455F2CBE">
            <w:pPr>
              <w:spacing w:after="160" w:line="278" w:lineRule="auto"/>
              <w:rPr>
                <w:b w:val="0"/>
                <w:bCs w:val="0"/>
                <w:lang w:val="en-US"/>
              </w:rPr>
            </w:pPr>
            <w:r>
              <w:rPr>
                <w:b w:val="0"/>
                <w:bCs w:val="0"/>
                <w:lang w:val="en-US"/>
              </w:rPr>
              <w:t>Expansion of digital luxury experiences</w:t>
            </w:r>
          </w:p>
        </w:tc>
        <w:tc>
          <w:tcPr>
            <w:tcW w:w="4765" w:type="dxa"/>
          </w:tcPr>
          <w:p w14:paraId="000F62A7">
            <w:pPr>
              <w:spacing w:after="160" w:line="278" w:lineRule="auto"/>
              <w:rPr>
                <w:lang w:val="en-US"/>
              </w:rPr>
            </w:pPr>
            <w:r>
              <w:rPr>
                <w:lang w:val="en-US"/>
              </w:rPr>
              <w:t>Economic slowdown affecting discretionary spending</w:t>
            </w:r>
          </w:p>
        </w:tc>
      </w:tr>
      <w:tr w14:paraId="3E377088">
        <w:tblPrEx>
          <w:tblBorders>
            <w:top w:val="single" w:color="84E291" w:themeColor="accent3" w:themeTint="66" w:sz="4" w:space="0"/>
            <w:left w:val="single" w:color="84E291" w:themeColor="accent3" w:themeTint="66" w:sz="4" w:space="0"/>
            <w:bottom w:val="single" w:color="84E291" w:themeColor="accent3" w:themeTint="66" w:sz="4" w:space="0"/>
            <w:right w:val="single" w:color="84E291" w:themeColor="accent3" w:themeTint="66" w:sz="4" w:space="0"/>
            <w:insideH w:val="single" w:color="84E291" w:themeColor="accent3" w:themeTint="66" w:sz="4" w:space="0"/>
            <w:insideV w:val="single" w:color="84E291" w:themeColor="accent3" w:themeTint="66" w:sz="4" w:space="0"/>
          </w:tblBorders>
          <w:tblCellMar>
            <w:top w:w="0" w:type="dxa"/>
            <w:left w:w="108" w:type="dxa"/>
            <w:bottom w:w="0" w:type="dxa"/>
            <w:right w:w="108" w:type="dxa"/>
          </w:tblCellMar>
        </w:tblPrEx>
        <w:tc>
          <w:tcPr>
            <w:tcW w:w="4585" w:type="dxa"/>
          </w:tcPr>
          <w:p w14:paraId="597B0688">
            <w:pPr>
              <w:spacing w:after="160" w:line="278" w:lineRule="auto"/>
              <w:rPr>
                <w:b w:val="0"/>
                <w:bCs w:val="0"/>
                <w:lang w:val="en-US"/>
              </w:rPr>
            </w:pPr>
            <w:r>
              <w:rPr>
                <w:b w:val="0"/>
                <w:bCs w:val="0"/>
                <w:lang w:val="en-US"/>
              </w:rPr>
              <w:t>Sustainability-led luxury demand</w:t>
            </w:r>
          </w:p>
        </w:tc>
        <w:tc>
          <w:tcPr>
            <w:tcW w:w="4765" w:type="dxa"/>
          </w:tcPr>
          <w:p w14:paraId="7F1F0CF6">
            <w:pPr>
              <w:spacing w:after="160" w:line="278" w:lineRule="auto"/>
              <w:rPr>
                <w:lang w:val="en-US"/>
              </w:rPr>
            </w:pPr>
            <w:r>
              <w:rPr>
                <w:lang w:val="en-US"/>
              </w:rPr>
              <w:t>Counterfeit products and brand imitation</w:t>
            </w:r>
          </w:p>
        </w:tc>
      </w:tr>
      <w:tr w14:paraId="4FDBDC3F">
        <w:tblPrEx>
          <w:tblBorders>
            <w:top w:val="single" w:color="84E291" w:themeColor="accent3" w:themeTint="66" w:sz="4" w:space="0"/>
            <w:left w:val="single" w:color="84E291" w:themeColor="accent3" w:themeTint="66" w:sz="4" w:space="0"/>
            <w:bottom w:val="single" w:color="84E291" w:themeColor="accent3" w:themeTint="66" w:sz="4" w:space="0"/>
            <w:right w:val="single" w:color="84E291" w:themeColor="accent3" w:themeTint="66" w:sz="4" w:space="0"/>
            <w:insideH w:val="single" w:color="84E291" w:themeColor="accent3" w:themeTint="66" w:sz="4" w:space="0"/>
            <w:insideV w:val="single" w:color="84E291" w:themeColor="accent3" w:themeTint="66" w:sz="4" w:space="0"/>
          </w:tblBorders>
          <w:tblCellMar>
            <w:top w:w="0" w:type="dxa"/>
            <w:left w:w="108" w:type="dxa"/>
            <w:bottom w:w="0" w:type="dxa"/>
            <w:right w:w="108" w:type="dxa"/>
          </w:tblCellMar>
        </w:tblPrEx>
        <w:tc>
          <w:tcPr>
            <w:tcW w:w="4585" w:type="dxa"/>
          </w:tcPr>
          <w:p w14:paraId="009EF019">
            <w:pPr>
              <w:spacing w:after="160" w:line="278" w:lineRule="auto"/>
              <w:rPr>
                <w:b w:val="0"/>
                <w:bCs w:val="0"/>
                <w:lang w:val="en-US"/>
              </w:rPr>
            </w:pPr>
            <w:r>
              <w:rPr>
                <w:b w:val="0"/>
                <w:bCs w:val="0"/>
                <w:lang w:val="en-US"/>
              </w:rPr>
              <w:t>AI-driven personalization and retail innovation</w:t>
            </w:r>
          </w:p>
        </w:tc>
        <w:tc>
          <w:tcPr>
            <w:tcW w:w="4765" w:type="dxa"/>
          </w:tcPr>
          <w:p w14:paraId="62212AE6">
            <w:pPr>
              <w:spacing w:after="160" w:line="278" w:lineRule="auto"/>
              <w:rPr>
                <w:lang w:val="en-US"/>
              </w:rPr>
            </w:pPr>
            <w:r>
              <w:rPr>
                <w:lang w:val="en-US"/>
              </w:rPr>
              <w:t>Geopolitical and currency risks</w:t>
            </w:r>
          </w:p>
        </w:tc>
      </w:tr>
    </w:tbl>
    <w:p w14:paraId="4E316386">
      <w:pPr>
        <w:rPr>
          <w:lang w:val="en-US"/>
        </w:rPr>
      </w:pPr>
    </w:p>
    <w:p w14:paraId="23D03A91">
      <w:pPr>
        <w:rPr>
          <w:lang w:val="en-US"/>
        </w:rPr>
      </w:pPr>
      <w:r>
        <w:rPr>
          <w:lang w:val="en-US"/>
        </w:rPr>
        <w:t>Based on the SWOT analysis, it is evident that Burberry has good brand equity and digital strengths, yet it is vulnerable to cyclical demand and competitive forces of the powerful luxury conglomerates like LVMH. The main strategic issue is to maintain exclusivity and increase the reach across the globe.</w:t>
      </w:r>
    </w:p>
    <w:p w14:paraId="41CF3856">
      <w:pPr>
        <w:pStyle w:val="3"/>
        <w:rPr>
          <w:lang w:val="en-US"/>
        </w:rPr>
      </w:pPr>
      <w:bookmarkStart w:id="16" w:name="_Toc225617269"/>
      <w:r>
        <w:rPr>
          <w:lang w:eastAsia="en-GB"/>
        </w:rPr>
        <mc:AlternateContent>
          <mc:Choice Requires="wps">
            <w:drawing>
              <wp:anchor distT="0" distB="0" distL="114300" distR="114300" simplePos="0" relativeHeight="251662336" behindDoc="0" locked="0" layoutInCell="1" allowOverlap="1">
                <wp:simplePos x="0" y="0"/>
                <wp:positionH relativeFrom="margin">
                  <wp:align>center</wp:align>
                </wp:positionH>
                <wp:positionV relativeFrom="paragraph">
                  <wp:posOffset>3609340</wp:posOffset>
                </wp:positionV>
                <wp:extent cx="2886075" cy="635"/>
                <wp:effectExtent l="0" t="0" r="9525" b="0"/>
                <wp:wrapTopAndBottom/>
                <wp:docPr id="5" name="Text Box 5"/>
                <wp:cNvGraphicFramePr/>
                <a:graphic xmlns:a="http://schemas.openxmlformats.org/drawingml/2006/main">
                  <a:graphicData uri="http://schemas.microsoft.com/office/word/2010/wordprocessingShape">
                    <wps:wsp>
                      <wps:cNvSpPr txBox="1"/>
                      <wps:spPr>
                        <a:xfrm>
                          <a:off x="0" y="0"/>
                          <a:ext cx="2886075" cy="635"/>
                        </a:xfrm>
                        <a:prstGeom prst="rect">
                          <a:avLst/>
                        </a:prstGeom>
                        <a:solidFill>
                          <a:prstClr val="white"/>
                        </a:solidFill>
                        <a:ln>
                          <a:noFill/>
                        </a:ln>
                        <a:effectLst/>
                      </wps:spPr>
                      <wps:txbx>
                        <w:txbxContent>
                          <w:p w14:paraId="4B6B4C6C">
                            <w:pPr>
                              <w:pStyle w:val="13"/>
                              <w:rPr>
                                <w:sz w:val="32"/>
                                <w:szCs w:val="24"/>
                              </w:rPr>
                            </w:pPr>
                            <w:r>
                              <w:rPr>
                                <w:sz w:val="22"/>
                              </w:rPr>
                              <w:t xml:space="preserve">Figure </w:t>
                            </w:r>
                            <w:r>
                              <w:rPr>
                                <w:sz w:val="22"/>
                              </w:rPr>
                              <w:fldChar w:fldCharType="begin"/>
                            </w:r>
                            <w:r>
                              <w:rPr>
                                <w:sz w:val="22"/>
                              </w:rPr>
                              <w:instrText xml:space="preserve"> SEQ Figure \* ARABIC </w:instrText>
                            </w:r>
                            <w:r>
                              <w:rPr>
                                <w:sz w:val="22"/>
                              </w:rPr>
                              <w:fldChar w:fldCharType="separate"/>
                            </w:r>
                            <w:r>
                              <w:rPr>
                                <w:sz w:val="22"/>
                              </w:rPr>
                              <w:t>4</w:t>
                            </w:r>
                            <w:r>
                              <w:rPr>
                                <w:sz w:val="22"/>
                              </w:rPr>
                              <w:fldChar w:fldCharType="end"/>
                            </w:r>
                            <w:r>
                              <w:rPr>
                                <w:sz w:val="22"/>
                              </w:rPr>
                              <w:t>: Ansoff Matrix (Source: Ansoff, 1957)</w:t>
                            </w:r>
                          </w:p>
                        </w:txbxContent>
                      </wps:txbx>
                      <wps:bodyPr rot="0" spcFirstLastPara="0" vertOverflow="overflow" horzOverflow="overflow" vert="horz" wrap="square" lIns="0" tIns="0" rIns="0" bIns="0" numCol="1" spcCol="0" rtlCol="0" fromWordArt="0" anchor="t" anchorCtr="0" forceAA="0" compatLnSpc="1">
                        <a:spAutoFit/>
                      </wps:bodyPr>
                    </wps:wsp>
                  </a:graphicData>
                </a:graphic>
              </wp:anchor>
            </w:drawing>
          </mc:Choice>
          <mc:Fallback>
            <w:pict>
              <v:shape id="_x0000_s1026" o:spid="_x0000_s1026" o:spt="202" type="#_x0000_t202" style="position:absolute;left:0pt;margin-top:284.2pt;height:0.05pt;width:227.25pt;mso-position-horizontal:center;mso-position-horizontal-relative:margin;mso-wrap-distance-bottom:0pt;mso-wrap-distance-top:0pt;z-index:251662336;mso-width-relative:page;mso-height-relative:page;" fillcolor="#FFFFFF" filled="t" stroked="f" coordsize="21600,21600" o:gfxdata="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">
                <v:fill on="t" focussize="0,0"/>
                <v:stroke on="f"/>
                <v:imagedata o:title=""/>
                <o:lock v:ext="edit" aspectratio="f"/>
                <v:textbox inset="0mm,0mm,0mm,0mm" style="mso-fit-shape-to-text:t;">
                  <w:txbxContent>
                    <w:p w14:paraId="4B6B4C6C">
                      <w:pPr>
                        <w:pStyle w:val="13"/>
                        <w:rPr>
                          <w:sz w:val="32"/>
                          <w:szCs w:val="24"/>
                        </w:rPr>
                      </w:pPr>
                      <w:r>
                        <w:rPr>
                          <w:sz w:val="22"/>
                        </w:rPr>
                        <w:t xml:space="preserve">Figure </w:t>
                      </w:r>
                      <w:r>
                        <w:rPr>
                          <w:sz w:val="22"/>
                        </w:rPr>
                        <w:fldChar w:fldCharType="begin"/>
                      </w:r>
                      <w:r>
                        <w:rPr>
                          <w:sz w:val="22"/>
                        </w:rPr>
                        <w:instrText xml:space="preserve"> SEQ Figure \* ARABIC </w:instrText>
                      </w:r>
                      <w:r>
                        <w:rPr>
                          <w:sz w:val="22"/>
                        </w:rPr>
                        <w:fldChar w:fldCharType="separate"/>
                      </w:r>
                      <w:r>
                        <w:rPr>
                          <w:sz w:val="22"/>
                        </w:rPr>
                        <w:t>4</w:t>
                      </w:r>
                      <w:r>
                        <w:rPr>
                          <w:sz w:val="22"/>
                        </w:rPr>
                        <w:fldChar w:fldCharType="end"/>
                      </w:r>
                      <w:r>
                        <w:rPr>
                          <w:sz w:val="22"/>
                        </w:rPr>
                        <w:t>: Ansoff Matrix (Source: Ansoff, 1957)</w:t>
                      </w:r>
                    </w:p>
                  </w:txbxContent>
                </v:textbox>
                <w10:wrap type="topAndBottom"/>
              </v:shape>
            </w:pict>
          </mc:Fallback>
        </mc:AlternateContent>
      </w:r>
      <w:r>
        <w:rPr>
          <w:lang w:val="en-US"/>
        </w:rPr>
        <w:t>6.2 Ansoff’s Matrix Evaluation</w:t>
      </w:r>
      <w:bookmarkEnd w:id="16"/>
    </w:p>
    <w:p w14:paraId="68FF67FF">
      <w:pPr>
        <w:jc w:val="center"/>
        <w:rPr>
          <w:lang w:val="en-US"/>
        </w:rPr>
      </w:pPr>
      <w:r>
        <w:rPr>
          <w:lang w:eastAsia="en-GB"/>
        </w:rPr>
        <w:drawing>
          <wp:anchor distT="0" distB="0" distL="114300" distR="114300" simplePos="0" relativeHeight="251660288" behindDoc="0" locked="0" layoutInCell="1" allowOverlap="1">
            <wp:simplePos x="0" y="0"/>
            <wp:positionH relativeFrom="column">
              <wp:posOffset>742950</wp:posOffset>
            </wp:positionH>
            <wp:positionV relativeFrom="paragraph">
              <wp:posOffset>-3810</wp:posOffset>
            </wp:positionV>
            <wp:extent cx="4448175" cy="3038475"/>
            <wp:effectExtent l="0" t="0" r="9525" b="9525"/>
            <wp:wrapTopAndBottom/>
            <wp:docPr id="102722417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7224170" name="Picture 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a:xfrm>
                      <a:off x="0" y="0"/>
                      <a:ext cx="4448175" cy="3038475"/>
                    </a:xfrm>
                    <a:prstGeom prst="rect">
                      <a:avLst/>
                    </a:prstGeom>
                    <a:noFill/>
                  </pic:spPr>
                </pic:pic>
              </a:graphicData>
            </a:graphic>
          </wp:anchor>
        </w:drawing>
      </w:r>
    </w:p>
    <w:p w14:paraId="6BA754C5">
      <w:pPr>
        <w:rPr>
          <w:lang w:val="en-US"/>
        </w:rPr>
      </w:pPr>
      <w:r>
        <w:rPr>
          <w:lang w:val="en-US"/>
        </w:rPr>
        <w:t xml:space="preserve">Ansoff Matrix can also be used to evaluate the growth strategy of Burberry where four strategic options are identified: market penetration, market development, product </w:t>
      </w:r>
      <w:r>
        <w:t>development</w:t>
      </w:r>
      <w:r>
        <w:rPr>
          <w:lang w:val="en-US"/>
        </w:rPr>
        <w:t>, and diversification.</w:t>
      </w:r>
    </w:p>
    <w:p w14:paraId="6BD9418A">
      <w:pPr>
        <w:rPr>
          <w:lang w:val="en-US"/>
        </w:rPr>
      </w:pPr>
      <w:r>
        <w:rPr>
          <w:b/>
          <w:bCs/>
          <w:lang w:val="en-US"/>
        </w:rPr>
        <w:t>Market Penetration:</w:t>
      </w:r>
      <w:r>
        <w:rPr>
          <w:lang w:val="en-US"/>
        </w:rPr>
        <w:t xml:space="preserve"> Burberry is further consolidating its leadership in the current luxury markets by marketing, pricing approach and digital experience. It is a low risk strategy but has low growth in the long run (Zhou, 2025).</w:t>
      </w:r>
    </w:p>
    <w:p w14:paraId="1EE52C82">
      <w:pPr>
        <w:rPr>
          <w:lang w:val="en-US"/>
        </w:rPr>
      </w:pPr>
      <w:r>
        <w:rPr>
          <w:b/>
          <w:bCs/>
          <w:lang w:val="en-US"/>
        </w:rPr>
        <w:t>Market Development:</w:t>
      </w:r>
      <w:r>
        <w:rPr>
          <w:lang w:val="en-US"/>
        </w:rPr>
        <w:t xml:space="preserve"> The international expansion especially in Asia-Pacific is a significant source of growth. This approach enables Burberry to cover new segments of consumers and risks being exposed to geopolitical and cultural risks.</w:t>
      </w:r>
    </w:p>
    <w:p w14:paraId="3B2253BC">
      <w:pPr>
        <w:rPr>
          <w:lang w:val="en-US"/>
        </w:rPr>
      </w:pPr>
      <w:r>
        <w:rPr>
          <w:b/>
          <w:bCs/>
          <w:lang w:val="en-US"/>
        </w:rPr>
        <w:t>Product Development:</w:t>
      </w:r>
      <w:r>
        <w:rPr>
          <w:lang w:val="en-US"/>
        </w:rPr>
        <w:t xml:space="preserve"> Burberry spends on new product lines like accessories, footwear and digital fashion experiences. This helps in developing the brands, but should be handled well to avoid the brand losing its essence.</w:t>
      </w:r>
    </w:p>
    <w:p w14:paraId="207ADF9A">
      <w:pPr>
        <w:rPr>
          <w:lang w:val="en-US"/>
        </w:rPr>
      </w:pPr>
      <w:r>
        <w:rPr>
          <w:b/>
          <w:bCs/>
          <w:lang w:val="en-US"/>
        </w:rPr>
        <w:t>Diversification:</w:t>
      </w:r>
      <w:r>
        <w:rPr>
          <w:lang w:val="en-US"/>
        </w:rPr>
        <w:t xml:space="preserve"> There is low diversification, especially in online and trendy-based projects. Nevertheless, excessive diversification is dangerous within luxurious markets in which brand orientation is critical.</w:t>
      </w:r>
    </w:p>
    <w:p w14:paraId="1AD4992E">
      <w:pPr>
        <w:rPr>
          <w:lang w:val="en-US"/>
        </w:rPr>
      </w:pPr>
      <w:r>
        <w:rPr>
          <w:lang w:val="en-US"/>
        </w:rPr>
        <w:t>Altogether, Burberry also largely depends on the market development and product development which are suitable but should be balanced with care to ensure brand exclusivity.</w:t>
      </w:r>
    </w:p>
    <w:p w14:paraId="3791ED40">
      <w:pPr>
        <w:pStyle w:val="3"/>
        <w:rPr>
          <w:lang w:val="en-US"/>
        </w:rPr>
      </w:pPr>
      <w:bookmarkStart w:id="17" w:name="_Toc225617270"/>
      <w:r>
        <w:rPr>
          <w:lang w:val="en-US"/>
        </w:rPr>
        <w:t>6.3 Strategic Recommendations</w:t>
      </w:r>
      <w:bookmarkEnd w:id="17"/>
    </w:p>
    <w:p w14:paraId="0F858506">
      <w:pPr>
        <w:rPr>
          <w:lang w:val="en-US"/>
        </w:rPr>
      </w:pPr>
      <w:r>
        <w:rPr>
          <w:lang w:val="en-US"/>
        </w:rPr>
        <w:t>According to the analysis, it is suggested that Burberry has three strategic recommendations to improve its ability to compete in the long term:</w:t>
      </w:r>
    </w:p>
    <w:p w14:paraId="515FB722">
      <w:pPr>
        <w:rPr>
          <w:b/>
          <w:lang w:val="en-US"/>
        </w:rPr>
      </w:pPr>
      <w:r>
        <w:rPr>
          <w:b/>
          <w:lang w:val="en-US"/>
        </w:rPr>
        <w:t>1. Enhance Digital Luxury Ecosystem</w:t>
      </w:r>
    </w:p>
    <w:p w14:paraId="607CA3D6">
      <w:pPr>
        <w:rPr>
          <w:lang w:val="en-US"/>
        </w:rPr>
      </w:pPr>
      <w:r>
        <w:rPr>
          <w:lang w:val="en-US"/>
        </w:rPr>
        <w:t>Burberry needs to build-on its digital-first luxury approach through AI-enabled personalization, virtual experience of fashion, and immersive digital retail. This corresponds with the world luxury trends where customers are demanding closer experience between online and offline shopping (Macchion, 2024). This has been proven by the brands like Gucci who have already shown to be successful at digital innovation and indicated that digital does not displace the physical experiences of luxury brands, but makes them more desirable.</w:t>
      </w:r>
    </w:p>
    <w:p w14:paraId="7A51AD13">
      <w:pPr>
        <w:rPr>
          <w:b/>
          <w:lang w:val="en-US"/>
        </w:rPr>
      </w:pPr>
      <w:r>
        <w:rPr>
          <w:b/>
          <w:lang w:val="en-US"/>
        </w:rPr>
        <w:t>2. Concentrate on Managed International Growth</w:t>
      </w:r>
    </w:p>
    <w:p w14:paraId="761AA1CD">
      <w:pPr>
        <w:rPr>
          <w:lang w:val="en-US"/>
        </w:rPr>
      </w:pPr>
      <w:r>
        <w:rPr>
          <w:lang w:val="en-US"/>
        </w:rPr>
        <w:t xml:space="preserve">Although international expansion is one of the primarily notable growth drivers, Burberry ought to implement selective market entry strategy instead of widespread expansion. Special emphasis should be made on luxury markets with high growth rates like China, South Korea and Middle East (Kaur et al., 2024). This </w:t>
      </w:r>
      <w:r>
        <w:t>minimises</w:t>
      </w:r>
      <w:r>
        <w:rPr>
          <w:lang w:val="en-US"/>
        </w:rPr>
        <w:t xml:space="preserve"> geopolitical risk and maximizes returns. The brand exclusivity that is maintained due to controlled growth also plays an important role in the luxury positioning.</w:t>
      </w:r>
    </w:p>
    <w:p w14:paraId="1BBDFEC7">
      <w:pPr>
        <w:rPr>
          <w:lang w:val="en-US"/>
        </w:rPr>
      </w:pPr>
    </w:p>
    <w:p w14:paraId="477ED3BE">
      <w:pPr>
        <w:rPr>
          <w:b/>
          <w:lang w:val="en-US"/>
        </w:rPr>
      </w:pPr>
      <w:r>
        <w:rPr>
          <w:b/>
          <w:lang w:val="en-US"/>
        </w:rPr>
        <w:t>3. Strengthen Brand Tradition and Uniqueness</w:t>
      </w:r>
    </w:p>
    <w:p w14:paraId="7167A2A2">
      <w:pPr>
        <w:rPr>
          <w:lang w:val="en-US"/>
        </w:rPr>
      </w:pPr>
      <w:r>
        <w:rPr>
          <w:lang w:val="en-US"/>
        </w:rPr>
        <w:t>Burberry still needs to strengthen the British heritage and iconic product presence. Brand scarcity and authenticity are a major cause of perceived value in the context of luxury theory. The overexposure danger is undermining exclusivity, which occurred during previous periods of aggressive growth (Zhang and Hao, 2024). Thus, over-distribution should be restricted and pricing, availability of products and partnerships should be strictly controlled at Burberry.</w:t>
      </w:r>
    </w:p>
    <w:p w14:paraId="67AB47BF">
      <w:pPr>
        <w:pStyle w:val="3"/>
        <w:rPr>
          <w:lang w:val="en-US"/>
        </w:rPr>
      </w:pPr>
      <w:bookmarkStart w:id="18" w:name="_Toc225617271"/>
      <w:r>
        <w:rPr>
          <w:lang w:val="en-US"/>
        </w:rPr>
        <w:t>6.4 Recommendations Justification</w:t>
      </w:r>
      <w:bookmarkEnd w:id="18"/>
    </w:p>
    <w:p w14:paraId="33D4A094">
      <w:pPr>
        <w:rPr>
          <w:lang w:val="en-US"/>
        </w:rPr>
      </w:pPr>
      <w:r>
        <w:rPr>
          <w:lang w:val="en-US"/>
        </w:rPr>
        <w:t>These suggestions are based on the theory of strategic management. According to the Resource-Based View (RBV), sustainable competitive advantage is created through distinctive, valuable, and non- imitable resources, which include the brand heritage of the company and digital capabilities like those of Burberry. Increasing the strength of these resources secures the competitiveness in the long term.</w:t>
      </w:r>
    </w:p>
    <w:p w14:paraId="3DBAB35A">
      <w:pPr>
        <w:rPr>
          <w:lang w:val="en-US"/>
        </w:rPr>
      </w:pPr>
      <w:r>
        <w:rPr>
          <w:lang w:val="en-US"/>
        </w:rPr>
        <w:t>Further, the Matrix provided by Ansoff can justify a conservative diversification and internationalization plan, which means that reflected growth plans mitigate risks and do not lose relevance in the market. The success of the digital turn of the luxury brand Gucci, the controlled exclusivity model of Louis Vuitton, and other examples of successful luxury brands in real-life illustrate that luxury brands are effective in terms of balance between innovation and preservation of the tradition.</w:t>
      </w:r>
    </w:p>
    <w:p w14:paraId="6E56CE2D">
      <w:pPr>
        <w:pStyle w:val="3"/>
        <w:rPr>
          <w:lang w:val="en-US"/>
        </w:rPr>
      </w:pPr>
      <w:bookmarkStart w:id="19" w:name="_Toc225617272"/>
      <w:r>
        <w:rPr>
          <w:lang w:val="en-US"/>
        </w:rPr>
        <w:t>6.5 Conclusion</w:t>
      </w:r>
      <w:bookmarkEnd w:id="19"/>
    </w:p>
    <w:p w14:paraId="1E4B9CBF">
      <w:r>
        <w:rPr>
          <w:lang w:val="en-US"/>
        </w:rPr>
        <w:t>On the whole, the existing strategy of Burberry is powerful, though it needs precise improvement. The organization must aim at enhancing digital strengths, being selective in global expansion, and securing brand exclusivity. Such measures will guarantee that Burberry maintains its competitive edge in the highly digitalized and competitive luxury fashion market, which is growing more global.</w:t>
      </w:r>
    </w:p>
    <w:p w14:paraId="62286A88"/>
    <w:p w14:paraId="2466BE88">
      <w:pPr>
        <w:spacing w:line="278" w:lineRule="auto"/>
        <w:jc w:val="left"/>
        <w:rPr>
          <w:rFonts w:asciiTheme="majorHAnsi" w:hAnsiTheme="majorHAnsi" w:eastAsiaTheme="majorEastAsia" w:cstheme="majorBidi"/>
          <w:color w:val="104862" w:themeColor="accent1" w:themeShade="BF"/>
          <w:sz w:val="40"/>
          <w:szCs w:val="40"/>
        </w:rPr>
      </w:pPr>
      <w:r>
        <w:br w:type="page"/>
      </w:r>
    </w:p>
    <w:p w14:paraId="0E50403D">
      <w:pPr>
        <w:pStyle w:val="2"/>
      </w:pPr>
      <w:bookmarkStart w:id="20" w:name="_Toc225617273"/>
      <w:r>
        <w:t>Reflection</w:t>
      </w:r>
      <w:bookmarkEnd w:id="20"/>
    </w:p>
    <w:p w14:paraId="735C96CC">
      <w:pPr>
        <w:keepNext/>
        <w:spacing w:line="278" w:lineRule="auto"/>
        <w:jc w:val="center"/>
      </w:pPr>
      <w:r>
        <w:rPr>
          <w:lang w:eastAsia="en-GB"/>
        </w:rPr>
        <w:drawing>
          <wp:inline distT="0" distB="0" distL="0" distR="0">
            <wp:extent cx="2466975" cy="1847850"/>
            <wp:effectExtent l="0" t="0" r="9525" b="0"/>
            <wp:docPr id="146803982" name="Picture 6" descr="Gibbs Reflective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803982" name="Picture 6" descr="Gibbs Reflective Cycl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a:xfrm>
                      <a:off x="0" y="0"/>
                      <a:ext cx="2466975" cy="1847850"/>
                    </a:xfrm>
                    <a:prstGeom prst="rect">
                      <a:avLst/>
                    </a:prstGeom>
                    <a:noFill/>
                    <a:ln>
                      <a:noFill/>
                    </a:ln>
                  </pic:spPr>
                </pic:pic>
              </a:graphicData>
            </a:graphic>
          </wp:inline>
        </w:drawing>
      </w:r>
    </w:p>
    <w:p w14:paraId="6672D67E">
      <w:pPr>
        <w:pStyle w:val="13"/>
        <w:jc w:val="center"/>
        <w:rPr>
          <w:sz w:val="22"/>
          <w:lang w:val="en-US"/>
        </w:rPr>
      </w:pPr>
      <w:r>
        <w:rPr>
          <w:sz w:val="22"/>
        </w:rPr>
        <w:t xml:space="preserve">Figure </w:t>
      </w:r>
      <w:r>
        <w:rPr>
          <w:sz w:val="22"/>
        </w:rPr>
        <w:fldChar w:fldCharType="begin"/>
      </w:r>
      <w:r>
        <w:rPr>
          <w:sz w:val="22"/>
        </w:rPr>
        <w:instrText xml:space="preserve"> SEQ Figure \* ARABIC </w:instrText>
      </w:r>
      <w:r>
        <w:rPr>
          <w:sz w:val="22"/>
        </w:rPr>
        <w:fldChar w:fldCharType="separate"/>
      </w:r>
      <w:r>
        <w:rPr>
          <w:sz w:val="22"/>
        </w:rPr>
        <w:t>5</w:t>
      </w:r>
      <w:r>
        <w:rPr>
          <w:sz w:val="22"/>
        </w:rPr>
        <w:fldChar w:fldCharType="end"/>
      </w:r>
      <w:r>
        <w:rPr>
          <w:sz w:val="22"/>
        </w:rPr>
        <w:t>: Gibbs Reflective Cycle (Source: Gibbs, 1988)</w:t>
      </w:r>
    </w:p>
    <w:p w14:paraId="7B263CB2">
      <w:pPr>
        <w:rPr>
          <w:lang w:val="en-US"/>
        </w:rPr>
      </w:pPr>
      <w:r>
        <w:rPr>
          <w:lang w:val="en-US"/>
        </w:rPr>
        <w:t>This section is a systematic reflection on the steps used in conducting research, analyzing and preparing the strategic management report of Burberry. It is based on Gibbs Reflective Cycle (1988) as it enables an organized assessment of the experience by means of six steps description, feelings, evaluation, analysis, conclusion, and action plan. This is a way of critically evaluating what was done and the level in which the academic and analytical process was effectively handled.</w:t>
      </w:r>
    </w:p>
    <w:p w14:paraId="17BCA0B2">
      <w:pPr>
        <w:pStyle w:val="3"/>
        <w:rPr>
          <w:lang w:val="en-US"/>
        </w:rPr>
      </w:pPr>
      <w:bookmarkStart w:id="21" w:name="_Toc225617274"/>
      <w:r>
        <w:rPr>
          <w:lang w:val="en-US"/>
        </w:rPr>
        <w:t>Experience description</w:t>
      </w:r>
      <w:bookmarkEnd w:id="21"/>
    </w:p>
    <w:p w14:paraId="305D7D4F">
      <w:pPr>
        <w:rPr>
          <w:lang w:val="en-US"/>
        </w:rPr>
      </w:pPr>
      <w:r>
        <w:rPr>
          <w:lang w:val="en-US"/>
        </w:rPr>
        <w:t>The assignment entailed the strategic analysis of Burberry based on different models, such as the SWOT analysis, Ansoff Matrix, Balanced Scorecard, CSR assessment, and VRIO analysis. This was aimed at evaluating both the internal and external environment of the organization and formulation of justifiable strategic recommendations.</w:t>
      </w:r>
    </w:p>
    <w:p w14:paraId="0DB736AE">
      <w:pPr>
        <w:rPr>
          <w:lang w:val="en-US"/>
        </w:rPr>
      </w:pPr>
      <w:r>
        <w:rPr>
          <w:lang w:val="en-US"/>
        </w:rPr>
        <w:t>It started with secondary research involving academic journals, textbooks, company reports and reliable sources on the industry. I preoccupied myself with an insight into the business model, competitive positioning, and strategic direction of Burberry in the worldwide luxury fashion marketplace. I then collected pertinent information and arranged the content in sections which follow a structure and I made sure that it would fit within the assignment brief.</w:t>
      </w:r>
    </w:p>
    <w:p w14:paraId="56C9635E">
      <w:pPr>
        <w:rPr>
          <w:lang w:val="en-US"/>
        </w:rPr>
      </w:pPr>
      <w:r>
        <w:rPr>
          <w:lang w:val="en-US"/>
        </w:rPr>
        <w:t>External opportunities and internal capabilities were checked with the help of frameworks like SWOT and the Matrix of Ansoff, and CSR and the Balanced Scorecard analysis assisted in evaluating sustainability and operational performance. Lastly, strategies were formulated on the basis of established strategic gaps.</w:t>
      </w:r>
    </w:p>
    <w:p w14:paraId="03A81038">
      <w:pPr>
        <w:pStyle w:val="3"/>
        <w:rPr>
          <w:lang w:val="en-US"/>
        </w:rPr>
      </w:pPr>
      <w:bookmarkStart w:id="22" w:name="_Toc225617275"/>
      <w:r>
        <w:rPr>
          <w:lang w:val="en-US"/>
        </w:rPr>
        <w:t>Feelings during the Process</w:t>
      </w:r>
      <w:bookmarkEnd w:id="22"/>
    </w:p>
    <w:p w14:paraId="4C0BCAD2">
      <w:pPr>
        <w:spacing w:line="278" w:lineRule="auto"/>
        <w:rPr>
          <w:lang w:val="en-US"/>
        </w:rPr>
      </w:pPr>
      <w:r>
        <w:rPr>
          <w:lang w:val="en-US"/>
        </w:rPr>
        <w:t>When starting out with the task, I was a bit overwhelmed because of the challenge of combining several strategic frameworks as one coherent report. The necessity to be academic and at the same time generate critical analysis created more pressure.</w:t>
      </w:r>
    </w:p>
    <w:p w14:paraId="76BBC30F">
      <w:pPr>
        <w:spacing w:line="278" w:lineRule="auto"/>
        <w:rPr>
          <w:lang w:val="en-US"/>
        </w:rPr>
      </w:pPr>
      <w:r>
        <w:rPr>
          <w:lang w:val="en-US"/>
        </w:rPr>
        <w:t>My confidence however improved as I advanced. The division of the task into organized parts contributed to preventing complexity and made the workload more manageable. I have also been inspired when I could relate theoretical frameworks with practical corporate strategies especially in regards to corporate digital transformation and sustainability programs of Burberry.</w:t>
      </w:r>
    </w:p>
    <w:p w14:paraId="31420AFD">
      <w:pPr>
        <w:spacing w:line="278" w:lineRule="auto"/>
        <w:rPr>
          <w:lang w:val="en-US"/>
        </w:rPr>
      </w:pPr>
      <w:r>
        <w:rPr>
          <w:lang w:val="en-US"/>
        </w:rPr>
        <w:t>This notwithstanding, I sometimes had a sense of confusion as to the level of critical analysis necessary, particularly in the distinction between descriptive writing and evaluation discussion.</w:t>
      </w:r>
    </w:p>
    <w:p w14:paraId="3B8B7B79">
      <w:pPr>
        <w:pStyle w:val="3"/>
        <w:rPr>
          <w:lang w:val="en-US"/>
        </w:rPr>
      </w:pPr>
      <w:bookmarkStart w:id="23" w:name="_Toc225617276"/>
      <w:r>
        <w:rPr>
          <w:lang w:val="en-US"/>
        </w:rPr>
        <w:t>Evaluation of the Experience</w:t>
      </w:r>
      <w:bookmarkEnd w:id="23"/>
    </w:p>
    <w:p w14:paraId="41E67FF7">
      <w:pPr>
        <w:spacing w:line="278" w:lineRule="auto"/>
        <w:rPr>
          <w:lang w:val="en-US"/>
        </w:rPr>
      </w:pPr>
      <w:r>
        <w:rPr>
          <w:lang w:val="en-US"/>
        </w:rPr>
        <w:t>In general, the process was associated with strengths and limitations.</w:t>
      </w:r>
    </w:p>
    <w:p w14:paraId="2ED9FE7C">
      <w:pPr>
        <w:spacing w:line="278" w:lineRule="auto"/>
        <w:rPr>
          <w:lang w:val="en-US"/>
        </w:rPr>
      </w:pPr>
      <w:r>
        <w:rPr>
          <w:lang w:val="en-US"/>
        </w:rPr>
        <w:t>One of the major strengths was the use of structured frameworks that were clear and directed in analysis. SWOT and Ansoff Matrix were some of the tools used to conduct the systematic analysis of the strategic position of Burberry. Besides, the connection between theory and practice enhanced the academic quality of the report.</w:t>
      </w:r>
    </w:p>
    <w:p w14:paraId="05BF6EF0">
      <w:pPr>
        <w:spacing w:line="278" w:lineRule="auto"/>
        <w:rPr>
          <w:lang w:val="en-US"/>
        </w:rPr>
      </w:pPr>
      <w:r>
        <w:rPr>
          <w:lang w:val="en-US"/>
        </w:rPr>
        <w:t>The other strength was the capability to synthesize information in various sources. This enabled a deeper insight into the strategic issues of Burberry such as risks of brand dilution, international expansion and digital transformation initiatives.</w:t>
      </w:r>
    </w:p>
    <w:p w14:paraId="16D645A6">
      <w:pPr>
        <w:spacing w:line="278" w:lineRule="auto"/>
        <w:rPr>
          <w:lang w:val="en-US"/>
        </w:rPr>
      </w:pPr>
      <w:r>
        <w:rPr>
          <w:lang w:val="en-US"/>
        </w:rPr>
        <w:t>Nevertheless, restrictions were also present. The inability to be always critical in the tone of the report was one of the weaknesses. The writing at places was too descriptive and not analytical. The other constraint was time management since, a more thorough involvement with academic literature would have enhanced the justification of recommendations.</w:t>
      </w:r>
    </w:p>
    <w:p w14:paraId="4F2CA611">
      <w:pPr>
        <w:pStyle w:val="3"/>
        <w:rPr>
          <w:lang w:val="en-US"/>
        </w:rPr>
      </w:pPr>
      <w:r>
        <w:rPr>
          <w:lang w:val="en-US"/>
        </w:rPr>
        <w:t xml:space="preserve"> </w:t>
      </w:r>
      <w:bookmarkStart w:id="24" w:name="_Toc225617277"/>
      <w:r>
        <w:rPr>
          <w:lang w:val="en-US"/>
        </w:rPr>
        <w:t>Analysis.</w:t>
      </w:r>
      <w:bookmarkEnd w:id="24"/>
    </w:p>
    <w:p w14:paraId="4888694C">
      <w:pPr>
        <w:spacing w:line="278" w:lineRule="auto"/>
        <w:rPr>
          <w:lang w:val="en-US"/>
        </w:rPr>
      </w:pPr>
      <w:r>
        <w:rPr>
          <w:lang w:val="en-US"/>
        </w:rPr>
        <w:t>The experience helped to understand the necessity of the systematic analysis of the process of strategic management. SWOT or VRIO frameworks came in handy especially when it came to categorizing detailed information into manageable sections. Nevertheless, I also got to know, that frameworks cannot work without superimposing them with critical interpretation.</w:t>
      </w:r>
    </w:p>
    <w:p w14:paraId="23235511">
      <w:pPr>
        <w:spacing w:line="278" w:lineRule="auto"/>
        <w:rPr>
          <w:lang w:val="en-US"/>
        </w:rPr>
      </w:pPr>
      <w:r>
        <w:rPr>
          <w:lang w:val="en-US"/>
        </w:rPr>
        <w:t>To take a case in point, defining the strength of Burberry as brand heritage is not sufficient, but it should be evaluated critically in its terms of how it develops sustained competitive advantage under the Resource-Based View (RBV). Likewise, identifying the opportunity of expanding internationally has to be weighed against geopolitical uncertainty and cultural differences as some of the risks.</w:t>
      </w:r>
    </w:p>
    <w:p w14:paraId="4F1003C1">
      <w:pPr>
        <w:spacing w:line="278" w:lineRule="auto"/>
        <w:rPr>
          <w:lang w:val="en-US"/>
        </w:rPr>
      </w:pPr>
      <w:r>
        <w:rPr>
          <w:lang w:val="en-US"/>
        </w:rPr>
        <w:t>The other important lesson learned was the need to integrate theory and practice. The concepts of academic models like the Matrix developed by Ansoff can only be significant when it comes to real strategic choices. Market development and product development strategies can be traced in the global operation and digital innovation undertakings in the case of Burberry.</w:t>
      </w:r>
    </w:p>
    <w:p w14:paraId="40C5F800">
      <w:pPr>
        <w:spacing w:line="278" w:lineRule="auto"/>
        <w:rPr>
          <w:lang w:val="en-US"/>
        </w:rPr>
      </w:pPr>
      <w:r>
        <w:rPr>
          <w:lang w:val="en-US"/>
        </w:rPr>
        <w:t>I also got to know that reflective practice enhances academic performance through constant process of self-assessment and self-improvement. This assisted me in understanding the gaps in my analysis and concreteness in writing.</w:t>
      </w:r>
    </w:p>
    <w:p w14:paraId="701243CE">
      <w:pPr>
        <w:pStyle w:val="3"/>
        <w:rPr>
          <w:lang w:val="en-US"/>
        </w:rPr>
      </w:pPr>
      <w:bookmarkStart w:id="25" w:name="_Toc225617278"/>
      <w:r>
        <w:rPr>
          <w:lang w:val="en-US"/>
        </w:rPr>
        <w:t>Conclusion</w:t>
      </w:r>
      <w:bookmarkEnd w:id="25"/>
    </w:p>
    <w:p w14:paraId="3D93BA7F">
      <w:pPr>
        <w:spacing w:line="278" w:lineRule="auto"/>
        <w:rPr>
          <w:lang w:val="en-US"/>
        </w:rPr>
      </w:pPr>
      <w:r>
        <w:rPr>
          <w:lang w:val="en-US"/>
        </w:rPr>
        <w:t>To sum up, the researching and the process of the strategic report preparation on Burberry was interesting and extremely useful intellectually. It helped me to learn the concepts of strategic management more as well as to be able to apply theoretical frameworks to the real business environment.</w:t>
      </w:r>
    </w:p>
    <w:p w14:paraId="66148861">
      <w:pPr>
        <w:spacing w:line="278" w:lineRule="auto"/>
        <w:rPr>
          <w:lang w:val="en-US"/>
        </w:rPr>
      </w:pPr>
      <w:r>
        <w:rPr>
          <w:lang w:val="en-US"/>
        </w:rPr>
        <w:t xml:space="preserve">I also had more analytical and critical thinking especially at the level of assessing strategic decisions and </w:t>
      </w:r>
      <w:r>
        <w:t>organisational</w:t>
      </w:r>
      <w:r>
        <w:rPr>
          <w:lang w:val="en-US"/>
        </w:rPr>
        <w:t xml:space="preserve"> performance. Nevertheless, I also realized what I could do better, including becoming more critical, managing time more effectively, and refining the academic writing style.</w:t>
      </w:r>
    </w:p>
    <w:p w14:paraId="36D97B6A">
      <w:pPr>
        <w:spacing w:line="278" w:lineRule="auto"/>
        <w:rPr>
          <w:lang w:val="en-US"/>
        </w:rPr>
      </w:pPr>
      <w:r>
        <w:rPr>
          <w:lang w:val="en-US"/>
        </w:rPr>
        <w:t>On the whole, the experience has played an important role in my academic growth and knowledge of corporate strategy in the global luxury environment.</w:t>
      </w:r>
    </w:p>
    <w:p w14:paraId="5D68B761">
      <w:pPr>
        <w:pStyle w:val="3"/>
        <w:rPr>
          <w:lang w:val="en-US"/>
        </w:rPr>
      </w:pPr>
      <w:bookmarkStart w:id="26" w:name="_Toc225617279"/>
      <w:r>
        <w:rPr>
          <w:lang w:val="en-US"/>
        </w:rPr>
        <w:t>Future Improvement Action Plan.</w:t>
      </w:r>
      <w:bookmarkEnd w:id="26"/>
    </w:p>
    <w:p w14:paraId="45582EBD">
      <w:pPr>
        <w:spacing w:line="278" w:lineRule="auto"/>
        <w:rPr>
          <w:lang w:val="en-US"/>
        </w:rPr>
      </w:pPr>
      <w:r>
        <w:rPr>
          <w:lang w:val="en-US"/>
        </w:rPr>
        <w:t>In order to enhance further performance, a number of steps will be implemented:</w:t>
      </w:r>
    </w:p>
    <w:p w14:paraId="58886F00">
      <w:pPr>
        <w:spacing w:line="278" w:lineRule="auto"/>
        <w:rPr>
          <w:b/>
          <w:lang w:val="en-US"/>
        </w:rPr>
      </w:pPr>
      <w:r>
        <w:rPr>
          <w:b/>
          <w:lang w:val="en-US"/>
        </w:rPr>
        <w:t>1. Become a better critical analyst.</w:t>
      </w:r>
    </w:p>
    <w:p w14:paraId="3350CE67">
      <w:pPr>
        <w:spacing w:line="278" w:lineRule="auto"/>
        <w:rPr>
          <w:lang w:val="en-US"/>
        </w:rPr>
      </w:pPr>
      <w:r>
        <w:rPr>
          <w:lang w:val="en-US"/>
        </w:rPr>
        <w:t>Be more evaluative instead of descriptive by continually asking yourself why and how decisions are made.</w:t>
      </w:r>
    </w:p>
    <w:p w14:paraId="0533578C">
      <w:pPr>
        <w:spacing w:line="278" w:lineRule="auto"/>
        <w:rPr>
          <w:b/>
          <w:lang w:val="en-US"/>
        </w:rPr>
      </w:pPr>
      <w:r>
        <w:rPr>
          <w:b/>
          <w:lang w:val="en-US"/>
        </w:rPr>
        <w:t>2. Enhance academic reading</w:t>
      </w:r>
    </w:p>
    <w:p w14:paraId="7F83BFF3">
      <w:pPr>
        <w:spacing w:line="278" w:lineRule="auto"/>
        <w:rPr>
          <w:lang w:val="en-US"/>
        </w:rPr>
      </w:pPr>
      <w:r>
        <w:rPr>
          <w:lang w:val="en-US"/>
        </w:rPr>
        <w:t>Increase the involvement in peer-reviewed journals and literature of strategic management to enhance theoretical support.</w:t>
      </w:r>
    </w:p>
    <w:p w14:paraId="23EEDA81">
      <w:pPr>
        <w:spacing w:line="278" w:lineRule="auto"/>
        <w:rPr>
          <w:b/>
          <w:lang w:val="en-US"/>
        </w:rPr>
      </w:pPr>
      <w:r>
        <w:rPr>
          <w:b/>
          <w:lang w:val="en-US"/>
        </w:rPr>
        <w:t>3. Better time management</w:t>
      </w:r>
    </w:p>
    <w:p w14:paraId="6F0DC7B4">
      <w:pPr>
        <w:spacing w:line="278" w:lineRule="auto"/>
        <w:rPr>
          <w:lang w:val="en-US"/>
        </w:rPr>
      </w:pPr>
      <w:r>
        <w:rPr>
          <w:lang w:val="en-US"/>
        </w:rPr>
        <w:t>Research, writing and editing time blocks should be set in order to have a more balanced development of each of the parts.</w:t>
      </w:r>
    </w:p>
    <w:p w14:paraId="0602368F">
      <w:pPr>
        <w:spacing w:line="278" w:lineRule="auto"/>
        <w:rPr>
          <w:b/>
          <w:lang w:val="en-US"/>
        </w:rPr>
      </w:pPr>
      <w:r>
        <w:rPr>
          <w:b/>
          <w:lang w:val="en-US"/>
        </w:rPr>
        <w:t>4. Enhance the use of structures.</w:t>
      </w:r>
    </w:p>
    <w:p w14:paraId="652CF52D">
      <w:pPr>
        <w:spacing w:line="278" w:lineRule="auto"/>
        <w:rPr>
          <w:lang w:val="en-US"/>
        </w:rPr>
      </w:pPr>
      <w:r>
        <w:rPr>
          <w:lang w:val="en-US"/>
        </w:rPr>
        <w:t>Make sure that every framework is not applied in a descriptive way but applied to the implications of strategy critically.</w:t>
      </w:r>
    </w:p>
    <w:p w14:paraId="7884B727">
      <w:pPr>
        <w:spacing w:line="278" w:lineRule="auto"/>
        <w:rPr>
          <w:b/>
          <w:lang w:val="en-US"/>
        </w:rPr>
      </w:pPr>
      <w:r>
        <w:rPr>
          <w:b/>
          <w:lang w:val="en-US"/>
        </w:rPr>
        <w:t>5. Enhance reflective practice.</w:t>
      </w:r>
    </w:p>
    <w:p w14:paraId="0FF64713">
      <w:pPr>
        <w:spacing w:line="278" w:lineRule="auto"/>
        <w:rPr>
          <w:lang w:val="en-US"/>
        </w:rPr>
      </w:pPr>
      <w:r>
        <w:rPr>
          <w:lang w:val="en-US"/>
        </w:rPr>
        <w:t>To improve learning outcomes and self-awareness, use the Gibbs cycle or the Kolb model when doing further assignments.</w:t>
      </w:r>
    </w:p>
    <w:p w14:paraId="0D3BE63F">
      <w:pPr>
        <w:spacing w:line="278" w:lineRule="auto"/>
        <w:jc w:val="left"/>
        <w:rPr>
          <w:rFonts w:asciiTheme="majorHAnsi" w:hAnsiTheme="majorHAnsi" w:eastAsiaTheme="majorEastAsia" w:cstheme="majorBidi"/>
          <w:color w:val="104862" w:themeColor="accent1" w:themeShade="BF"/>
          <w:sz w:val="40"/>
          <w:szCs w:val="40"/>
          <w:lang w:val="en-US"/>
        </w:rPr>
      </w:pPr>
      <w:r>
        <w:rPr>
          <w:lang w:val="en-US"/>
        </w:rPr>
        <w:br w:type="page"/>
      </w:r>
    </w:p>
    <w:p w14:paraId="2AAACE99">
      <w:pPr>
        <w:pStyle w:val="2"/>
        <w:rPr>
          <w:lang w:val="en-US"/>
        </w:rPr>
      </w:pPr>
      <w:bookmarkStart w:id="27" w:name="_Toc225617280"/>
      <w:r>
        <w:rPr>
          <w:lang w:val="en-US"/>
        </w:rPr>
        <w:t>References</w:t>
      </w:r>
      <w:bookmarkEnd w:id="27"/>
    </w:p>
    <w:p w14:paraId="2234882F">
      <w:pPr>
        <w:rPr>
          <w:lang w:val="en-US"/>
        </w:rPr>
      </w:pPr>
      <w:r>
        <w:rPr>
          <w:lang w:val="en-US"/>
        </w:rPr>
        <w:t>Al-Jaberi, S.M.T., 2022. The direct effect of brand strategy and brand communication in building a strong brand equity the case of Burberry.</w:t>
      </w:r>
    </w:p>
    <w:p w14:paraId="5F88AB9E">
      <w:pPr>
        <w:rPr>
          <w:lang w:val="en-US"/>
        </w:rPr>
      </w:pPr>
      <w:r>
        <w:rPr>
          <w:lang w:val="en-US"/>
        </w:rPr>
        <w:t>Alokshe, M.M., Adedokun, M.W. and Iyiola, K., 2025. Advanced manufacturing technologies, strategic agility, business network and sustained competitive performance: an empirical evidence from an emerging economy. Humanities and Social Sciences Communications, 12(1), pp.1-16.</w:t>
      </w:r>
    </w:p>
    <w:p w14:paraId="0FB2C782">
      <w:pPr>
        <w:rPr>
          <w:lang w:val="en-US"/>
        </w:rPr>
      </w:pPr>
      <w:r>
        <w:rPr>
          <w:lang w:val="en-US"/>
        </w:rPr>
        <w:t>Ansoff, H.I., 1957. Strategies for diversification. Harvard business review, 35(5), pp.113-124.</w:t>
      </w:r>
    </w:p>
    <w:p w14:paraId="18E0CDDE">
      <w:pPr>
        <w:rPr>
          <w:lang w:val="en-US"/>
        </w:rPr>
      </w:pPr>
      <w:r>
        <w:rPr>
          <w:lang w:val="en-US"/>
        </w:rPr>
        <w:t>Arraya, M., 2024. Core infrastructure: The company's backbone and its importance in business competitiveness. In Business Competitiveness and Sustainability (pp. 126-150). Routledge.</w:t>
      </w:r>
    </w:p>
    <w:p w14:paraId="76F2DB0C">
      <w:pPr>
        <w:rPr>
          <w:lang w:val="en-US"/>
        </w:rPr>
      </w:pPr>
      <w:r>
        <w:rPr>
          <w:lang w:val="en-US"/>
        </w:rPr>
        <w:t>Burberry 2025. Annual Report 2024/25. London: Burberry Group plc. Available at: https://www.burberryplc.com</w:t>
      </w:r>
    </w:p>
    <w:p w14:paraId="05185555">
      <w:pPr>
        <w:rPr>
          <w:lang w:val="en-US"/>
        </w:rPr>
      </w:pPr>
      <w:r>
        <w:rPr>
          <w:lang w:val="en-US"/>
        </w:rPr>
        <w:t>Cattaneo, E. ed., 2023. Managing luxury brands: A complete guide to contemporary luxury brand strategies. Kogan Page Publishers.</w:t>
      </w:r>
    </w:p>
    <w:p w14:paraId="4F8A3677">
      <w:pPr>
        <w:rPr>
          <w:lang w:val="en-US"/>
        </w:rPr>
      </w:pPr>
      <w:r>
        <w:rPr>
          <w:lang w:val="en-US"/>
        </w:rPr>
        <w:t>Connor-Crabb, A., Bulman, S., Bunyan, C., Guo, Y., Hulme, A., Rainton, S., Solomon, L. and Toms, S., 2025. Sustainable and Circular Practices in the UK Fashion and Textile Industry.</w:t>
      </w:r>
    </w:p>
    <w:p w14:paraId="00A10875">
      <w:pPr>
        <w:rPr>
          <w:lang w:val="en-US"/>
        </w:rPr>
      </w:pPr>
      <w:r>
        <w:rPr>
          <w:lang w:val="en-US"/>
        </w:rPr>
        <w:t>Dhlamini, J., 2022. Strategy: An understanding of strategy for business and public policy settings. Journal of Contemporary Management, 19(2), pp.108-134.</w:t>
      </w:r>
    </w:p>
    <w:p w14:paraId="404EB85B">
      <w:pPr>
        <w:rPr>
          <w:lang w:val="en-US"/>
        </w:rPr>
      </w:pPr>
      <w:r>
        <w:rPr>
          <w:lang w:val="en-US"/>
        </w:rPr>
        <w:t>Gibbs, G. 1988. Learning by doing: A guide to teaching and learning methods. Oxford: Oxford Polytechnic.</w:t>
      </w:r>
    </w:p>
    <w:p w14:paraId="3BFDBC72">
      <w:pPr>
        <w:rPr>
          <w:lang w:val="en-US"/>
        </w:rPr>
      </w:pPr>
      <w:r>
        <w:rPr>
          <w:lang w:val="en-US"/>
        </w:rPr>
        <w:t>Grant, R.M., 2021. Contemporary strategy analysis. John Wiley &amp; Sons.</w:t>
      </w:r>
    </w:p>
    <w:p w14:paraId="7FB11B68">
      <w:pPr>
        <w:rPr>
          <w:lang w:val="en-US"/>
        </w:rPr>
      </w:pPr>
      <w:r>
        <w:rPr>
          <w:lang w:val="en-US"/>
        </w:rPr>
        <w:t>Kang, E.Y. and Sung, Y.H., 2022. Luxury and sustainability: The role of message appeals and objectivity on luxury brands’ green corporate social responsibility. Journal of Marketing Communications, 28(3), pp.291-312.</w:t>
      </w:r>
    </w:p>
    <w:p w14:paraId="18F01B04">
      <w:pPr>
        <w:rPr>
          <w:lang w:val="en-US"/>
        </w:rPr>
      </w:pPr>
      <w:r>
        <w:rPr>
          <w:lang w:val="en-US"/>
        </w:rPr>
        <w:t>Kaplan, R.S., 2009. Conceptual foundations of the balanced scorecard. Handbooks of management accounting research, 3, pp.1253-1269.</w:t>
      </w:r>
    </w:p>
    <w:p w14:paraId="66869FC0">
      <w:pPr>
        <w:rPr>
          <w:lang w:val="en-US"/>
        </w:rPr>
      </w:pPr>
      <w:r>
        <w:rPr>
          <w:lang w:val="en-US"/>
        </w:rPr>
        <w:t>Kaur, H., Choudhary, S., Manoj, A. and Tyagi, M. 2024. ‘Creating a sustainable future: Insights into brand marketing in the luxury fashion industry’, Journal of Global Fashion Marketing, 15(2), pp. 1–18. https://doi.org/10.1080/23311975.2024.2328391</w:t>
      </w:r>
    </w:p>
    <w:p w14:paraId="181654BF">
      <w:pPr>
        <w:rPr>
          <w:lang w:val="en-US"/>
        </w:rPr>
      </w:pPr>
      <w:r>
        <w:rPr>
          <w:lang w:val="en-US"/>
        </w:rPr>
        <w:t>Macchion, L. 2024. ‘Corporate social responsibility and risk management: Charting the course for a sustainable future of the fashion industry’, Global Sustainability. Cambridge University Press. Available at: https://www.cambridge.org</w:t>
      </w:r>
    </w:p>
    <w:p w14:paraId="58B65F09">
      <w:pPr>
        <w:rPr>
          <w:lang w:val="en-US"/>
        </w:rPr>
      </w:pPr>
      <w:r>
        <w:rPr>
          <w:lang w:val="en-US"/>
        </w:rPr>
        <w:t>MacGregor Pelikánová, R. and Sani, M., 2023. Luxury, slow and fast fashion: A case study on the (un) sustainable creating of shared values. Equilibrium. Quarterly Journal of Economics and Economic Policy, 18(3), pp.813-851.</w:t>
      </w:r>
    </w:p>
    <w:p w14:paraId="7E46EA5C">
      <w:pPr>
        <w:rPr>
          <w:lang w:val="en-US"/>
        </w:rPr>
      </w:pPr>
      <w:r>
        <w:rPr>
          <w:lang w:val="en-US"/>
        </w:rPr>
        <w:t>Mandelli, A., Piancatelli, C. and Arbore, A., 2021. Communication, business and digital transformation: the case of Burberry.</w:t>
      </w:r>
    </w:p>
    <w:p w14:paraId="186F61B8">
      <w:pPr>
        <w:rPr>
          <w:lang w:val="en-US"/>
        </w:rPr>
      </w:pPr>
      <w:r>
        <w:rPr>
          <w:lang w:val="en-US"/>
        </w:rPr>
        <w:t>Morais, J.R.P.B.D., 2020. Burberry: the new era of a British icon.</w:t>
      </w:r>
    </w:p>
    <w:p w14:paraId="477BDA78">
      <w:pPr>
        <w:rPr>
          <w:lang w:val="en-US"/>
        </w:rPr>
      </w:pPr>
      <w:r>
        <w:rPr>
          <w:lang w:val="en-US"/>
        </w:rPr>
        <w:t>Sedovs, E. and Volkova, T. 2024. ‘Sustainability: Is it a strategic management research fashion?’, Sustainability, 16(17), p. 7434. Available at: https://doi.org/10.3390/su16177434</w:t>
      </w:r>
    </w:p>
    <w:p w14:paraId="23D3610A">
      <w:pPr>
        <w:rPr>
          <w:lang w:val="en-US"/>
        </w:rPr>
      </w:pPr>
      <w:r>
        <w:rPr>
          <w:lang w:val="en-US"/>
        </w:rPr>
        <w:t>Silvano, M., 2020. Playing Against the Rules: How a digital strategy can enhance a Luxury Business (Doctoral dissertation, Universidade Católica Portuguesa).</w:t>
      </w:r>
    </w:p>
    <w:p w14:paraId="7E9F8782">
      <w:pPr>
        <w:rPr>
          <w:lang w:val="en-US"/>
        </w:rPr>
      </w:pPr>
      <w:r>
        <w:rPr>
          <w:lang w:val="en-US"/>
        </w:rPr>
        <w:t>Silvano, M.D.C.L.F., 2020. Playing against the rules: how a digital strategy can enhance a luxury business: the case of Burberry (Master's thesis, Universidade Catolica Portuguesa (Portugal)).</w:t>
      </w:r>
    </w:p>
    <w:p w14:paraId="65E78D29">
      <w:pPr>
        <w:rPr>
          <w:lang w:val="en-US"/>
        </w:rPr>
      </w:pPr>
      <w:r>
        <w:rPr>
          <w:lang w:val="en-US"/>
        </w:rPr>
        <w:t>Zhang, K. and Hao, X. (2024) ‘Corporate social responsibility as the pathway towards sustainability: A state-of-the-art review in Asia economics’, Discover Sustainability, 5(348). Available at: https://link.springer.com</w:t>
      </w:r>
    </w:p>
    <w:p w14:paraId="76859B89">
      <w:pPr>
        <w:rPr>
          <w:lang w:val="en-US"/>
        </w:rPr>
      </w:pPr>
      <w:r>
        <w:rPr>
          <w:lang w:val="en-US"/>
        </w:rPr>
        <w:t>Zhou, B.Y., 2025. Investment Analysis and Asset Selection in Luxury Goods Sector: A Case Study of Burberry, Hermes and LVMH. Finance &amp; Economics, 1(5).</w:t>
      </w:r>
    </w:p>
    <w:sectPr>
      <w:pgSz w:w="12240" w:h="15840"/>
      <w:pgMar w:top="1440" w:right="1440" w:bottom="1440" w:left="1440" w:header="720" w:footer="720" w:gutter="0"/>
      <w:cols w:space="720"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Aptos">
    <w:altName w:val="SimSun"/>
    <w:panose1 w:val="00000000000000000000"/>
    <w:charset w:val="86"/>
    <w:family w:val="swiss"/>
    <w:pitch w:val="default"/>
    <w:sig w:usb0="00000000" w:usb1="00000000" w:usb2="00000000" w:usb3="00000000" w:csb0="0000019F" w:csb1="00000000"/>
  </w:font>
  <w:font w:name="Aptos">
    <w:altName w:val="Segoe Print"/>
    <w:panose1 w:val="00000000000000000000"/>
    <w:charset w:val="00"/>
    <w:family w:val="auto"/>
    <w:pitch w:val="default"/>
    <w:sig w:usb0="00000000" w:usb1="00000000" w:usb2="00000000" w:usb3="00000000" w:csb0="00000000" w:csb1="00000000"/>
  </w:font>
  <w:font w:name="Aptos Display">
    <w:altName w:val="Arial"/>
    <w:panose1 w:val="00000000000000000000"/>
    <w:charset w:val="00"/>
    <w:family w:val="swiss"/>
    <w:pitch w:val="default"/>
    <w:sig w:usb0="00000000" w:usb1="00000000" w:usb2="00000000" w:usb3="00000000" w:csb0="0000019F" w:csb1="00000000"/>
  </w:font>
  <w:font w:name="等线 Light">
    <w:altName w:val="Segoe Print"/>
    <w:panose1 w:val="00000000000000000000"/>
    <w:charset w:val="00"/>
    <w:family w:val="auto"/>
    <w:pitch w:val="default"/>
    <w:sig w:usb0="00000000" w:usb1="00000000" w:usb2="00000000" w:usb3="00000000" w:csb0="00000000" w:csb1="00000000"/>
  </w:font>
  <w:font w:name="等线">
    <w:altName w:val="Microsoft YaHei"/>
    <w:panose1 w:val="00000000000000000000"/>
    <w:charset w:val="00"/>
    <w:family w:val="auto"/>
    <w:pitch w:val="default"/>
    <w:sig w:usb0="00000000" w:usb1="00000000" w:usb2="00000000" w:usb3="00000000" w:csb0="00000000" w:csb1="00000000"/>
  </w:font>
  <w:font w:name="Symbol">
    <w:panose1 w:val="05050102010706020507"/>
    <w:charset w:val="02"/>
    <w:family w:val="roman"/>
    <w:pitch w:val="default"/>
    <w:sig w:usb0="00000000" w:usb1="00000000" w:usb2="00000000" w:usb3="00000000" w:csb0="80000000" w:csb1="00000000"/>
  </w:font>
  <w:font w:name="Segoe Print">
    <w:panose1 w:val="02000600000000000000"/>
    <w:charset w:val="00"/>
    <w:family w:val="auto"/>
    <w:pitch w:val="default"/>
    <w:sig w:usb0="0000028F" w:usb1="00000000" w:usb2="00000000" w:usb3="00000000" w:csb0="2000009F" w:csb1="47010000"/>
  </w:font>
  <w:font w:name="Segoe UI">
    <w:panose1 w:val="020B0502040204020203"/>
    <w:charset w:val="00"/>
    <w:family w:val="auto"/>
    <w:pitch w:val="default"/>
    <w:sig w:usb0="E4002EFF" w:usb1="C000E47F" w:usb2="00000009" w:usb3="00000000" w:csb0="200001FF" w:csb1="00000000"/>
  </w:font>
  <w:font w:name="Microsoft YaHei">
    <w:panose1 w:val="020B0503020204020204"/>
    <w:charset w:val="86"/>
    <w:family w:val="auto"/>
    <w:pitch w:val="default"/>
    <w:sig w:usb0="80000287" w:usb1="2ACF3C50" w:usb2="00000016" w:usb3="00000000" w:csb0="0004001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360" w:lineRule="auto"/>
      </w:pPr>
      <w:r>
        <w:separator/>
      </w:r>
    </w:p>
  </w:footnote>
  <w:footnote w:type="continuationSeparator" w:id="1">
    <w:p>
      <w:pPr>
        <w:spacing w:before="0" w:after="0" w:line="36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229973EF"/>
    <w:multiLevelType w:val="multilevel"/>
    <w:tmpl w:val="229973EF"/>
    <w:lvl w:ilvl="0" w:tentative="0">
      <w:start w:val="1"/>
      <w:numFmt w:val="bullet"/>
      <w:lvlText w:val=""/>
      <w:lvlJc w:val="left"/>
      <w:pPr>
        <w:ind w:left="720" w:hanging="360"/>
      </w:pPr>
      <w:rPr>
        <w:rFonts w:hint="default" w:ascii="Wingdings" w:hAnsi="Wingdings"/>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73"/>
  <w:bordersDoNotSurroundHeader w:val="0"/>
  <w:bordersDoNotSurroundFooter w:val="0"/>
  <w:documentProtection w:enforcement="0"/>
  <w:defaultTabStop w:val="720"/>
  <w:displayHorizontalDrawingGridEvery w:val="1"/>
  <w:displayVerticalDrawingGridEvery w:val="1"/>
  <w:noPunctuationKerning w:val="1"/>
  <w:characterSpacingControl w:val="doNotCompress"/>
  <w:footnotePr>
    <w:footnote w:id="0"/>
    <w:footnote w:id="1"/>
  </w:footnotePr>
  <w:endnotePr>
    <w:endnote w:id="0"/>
    <w:endnote w:id="1"/>
  </w:endnotePr>
  <w:compat>
    <w:doNotExpandShiftReturn/>
    <w:doNotWrapTextWithPunct/>
    <w:doNotUseEastAsianBreak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446BA"/>
    <w:rsid w:val="001446BA"/>
    <w:rsid w:val="002C0A7A"/>
    <w:rsid w:val="00473D03"/>
    <w:rsid w:val="00801AD3"/>
    <w:rsid w:val="008149EF"/>
    <w:rsid w:val="00882317"/>
    <w:rsid w:val="008C2227"/>
    <w:rsid w:val="008D3600"/>
    <w:rsid w:val="00A15AAF"/>
    <w:rsid w:val="00D86278"/>
    <w:rsid w:val="00D9168F"/>
    <w:rsid w:val="00F36263"/>
    <w:rsid w:val="00FF3CAA"/>
    <w:rsid w:val="34401B48"/>
    <w:rsid w:val="366D7BCF"/>
    <w:rsid w:val="5F2E567C"/>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SimSun"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semiHidden="0" w:name="toc 1"/>
    <w:lsdException w:uiPriority="39" w:semiHidden="0"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name="header"/>
    <w:lsdException w:uiPriority="99" w:name="footer"/>
    <w:lsdException w:uiPriority="99" w:name="index heading"/>
    <w:lsdException w:qFormat="1" w:uiPriority="35" w:semiHidden="0"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qFormat="1" w:unhideWhenUsed="0" w:uiPriority="39" w:semiHidden="0" w:name="Table Grid"/>
    <w:lsdException w:uiPriority="99" w:name="Table Theme"/>
    <w:lsdException w:qFormat="1" w:unhideWhenUsed="0" w:uiPriority="1" w:semiHidden="0" w:name="No Spacing"/>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qFormat="1" w:unhideWhenUsed="0" w:uiPriority="29" w:semiHidden="0" w:name="Quote"/>
    <w:lsdException w:qFormat="1" w:unhideWhenUsed="0" w:uiPriority="30" w:semiHidden="0" w:name="Intense Quote"/>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360" w:lineRule="auto"/>
      <w:jc w:val="both"/>
    </w:pPr>
    <w:rPr>
      <w:rFonts w:ascii="Arial" w:hAnsi="Arial" w:eastAsiaTheme="minorHAnsi" w:cstheme="minorBidi"/>
      <w:kern w:val="2"/>
      <w:sz w:val="24"/>
      <w:szCs w:val="24"/>
      <w:lang w:val="en-GB" w:eastAsia="en-US" w:bidi="ar-SA"/>
      <w14:ligatures w14:val="standardContextual"/>
    </w:rPr>
  </w:style>
  <w:style w:type="paragraph" w:styleId="2">
    <w:name w:val="heading 1"/>
    <w:basedOn w:val="1"/>
    <w:next w:val="1"/>
    <w:link w:val="21"/>
    <w:qFormat/>
    <w:uiPriority w:val="9"/>
    <w:pPr>
      <w:keepNext/>
      <w:keepLines/>
      <w:spacing w:before="360" w:after="80"/>
      <w:outlineLvl w:val="0"/>
    </w:pPr>
    <w:rPr>
      <w:rFonts w:asciiTheme="majorHAnsi" w:hAnsiTheme="majorHAnsi" w:eastAsiaTheme="majorEastAsia" w:cstheme="majorBidi"/>
      <w:color w:val="104862" w:themeColor="accent1" w:themeShade="BF"/>
      <w:sz w:val="40"/>
      <w:szCs w:val="40"/>
    </w:rPr>
  </w:style>
  <w:style w:type="paragraph" w:styleId="3">
    <w:name w:val="heading 2"/>
    <w:basedOn w:val="1"/>
    <w:next w:val="1"/>
    <w:link w:val="22"/>
    <w:unhideWhenUsed/>
    <w:qFormat/>
    <w:uiPriority w:val="9"/>
    <w:pPr>
      <w:keepNext/>
      <w:keepLines/>
      <w:spacing w:before="160" w:after="80"/>
      <w:outlineLvl w:val="1"/>
    </w:pPr>
    <w:rPr>
      <w:rFonts w:asciiTheme="majorHAnsi" w:hAnsiTheme="majorHAnsi" w:eastAsiaTheme="majorEastAsia" w:cstheme="majorBidi"/>
      <w:color w:val="104862" w:themeColor="accent1" w:themeShade="BF"/>
      <w:sz w:val="32"/>
      <w:szCs w:val="32"/>
    </w:rPr>
  </w:style>
  <w:style w:type="paragraph" w:styleId="4">
    <w:name w:val="heading 3"/>
    <w:basedOn w:val="1"/>
    <w:next w:val="1"/>
    <w:link w:val="23"/>
    <w:semiHidden/>
    <w:unhideWhenUsed/>
    <w:qFormat/>
    <w:uiPriority w:val="9"/>
    <w:pPr>
      <w:keepNext/>
      <w:keepLines/>
      <w:spacing w:before="160" w:after="80"/>
      <w:outlineLvl w:val="2"/>
    </w:pPr>
    <w:rPr>
      <w:rFonts w:eastAsiaTheme="majorEastAsia" w:cstheme="majorBidi"/>
      <w:color w:val="104862" w:themeColor="accent1" w:themeShade="BF"/>
      <w:sz w:val="28"/>
      <w:szCs w:val="28"/>
    </w:rPr>
  </w:style>
  <w:style w:type="paragraph" w:styleId="5">
    <w:name w:val="heading 4"/>
    <w:basedOn w:val="1"/>
    <w:next w:val="1"/>
    <w:link w:val="24"/>
    <w:semiHidden/>
    <w:unhideWhenUsed/>
    <w:qFormat/>
    <w:uiPriority w:val="9"/>
    <w:pPr>
      <w:keepNext/>
      <w:keepLines/>
      <w:spacing w:before="80" w:after="40"/>
      <w:outlineLvl w:val="3"/>
    </w:pPr>
    <w:rPr>
      <w:rFonts w:eastAsiaTheme="majorEastAsia" w:cstheme="majorBidi"/>
      <w:i/>
      <w:iCs/>
      <w:color w:val="104862" w:themeColor="accent1" w:themeShade="BF"/>
    </w:rPr>
  </w:style>
  <w:style w:type="paragraph" w:styleId="6">
    <w:name w:val="heading 5"/>
    <w:basedOn w:val="1"/>
    <w:next w:val="1"/>
    <w:link w:val="25"/>
    <w:semiHidden/>
    <w:unhideWhenUsed/>
    <w:qFormat/>
    <w:uiPriority w:val="9"/>
    <w:pPr>
      <w:keepNext/>
      <w:keepLines/>
      <w:spacing w:before="80" w:after="40"/>
      <w:outlineLvl w:val="4"/>
    </w:pPr>
    <w:rPr>
      <w:rFonts w:eastAsiaTheme="majorEastAsia" w:cstheme="majorBidi"/>
      <w:color w:val="104862" w:themeColor="accent1" w:themeShade="BF"/>
    </w:rPr>
  </w:style>
  <w:style w:type="paragraph" w:styleId="7">
    <w:name w:val="heading 6"/>
    <w:basedOn w:val="1"/>
    <w:next w:val="1"/>
    <w:link w:val="26"/>
    <w:semiHidden/>
    <w:unhideWhenUsed/>
    <w:qFormat/>
    <w:uiPriority w:val="9"/>
    <w:pPr>
      <w:keepNext/>
      <w:keepLines/>
      <w:spacing w:before="40" w:after="0"/>
      <w:outlineLvl w:val="5"/>
    </w:pPr>
    <w:rPr>
      <w:rFonts w:eastAsiaTheme="majorEastAsia" w:cstheme="majorBidi"/>
      <w:i/>
      <w:iCs/>
      <w:color w:val="595959" w:themeColor="text1" w:themeTint="A6"/>
      <w14:textFill>
        <w14:solidFill>
          <w14:schemeClr w14:val="tx1">
            <w14:lumMod w14:val="65000"/>
            <w14:lumOff w14:val="35000"/>
          </w14:schemeClr>
        </w14:solidFill>
      </w14:textFill>
    </w:rPr>
  </w:style>
  <w:style w:type="paragraph" w:styleId="8">
    <w:name w:val="heading 7"/>
    <w:basedOn w:val="1"/>
    <w:next w:val="1"/>
    <w:link w:val="27"/>
    <w:semiHidden/>
    <w:unhideWhenUsed/>
    <w:qFormat/>
    <w:uiPriority w:val="9"/>
    <w:pPr>
      <w:keepNext/>
      <w:keepLines/>
      <w:spacing w:before="40" w:after="0"/>
      <w:outlineLvl w:val="6"/>
    </w:pPr>
    <w:rPr>
      <w:rFonts w:eastAsiaTheme="majorEastAsia" w:cstheme="majorBidi"/>
      <w:color w:val="595959" w:themeColor="text1" w:themeTint="A6"/>
      <w14:textFill>
        <w14:solidFill>
          <w14:schemeClr w14:val="tx1">
            <w14:lumMod w14:val="65000"/>
            <w14:lumOff w14:val="35000"/>
          </w14:schemeClr>
        </w14:solidFill>
      </w14:textFill>
    </w:rPr>
  </w:style>
  <w:style w:type="paragraph" w:styleId="9">
    <w:name w:val="heading 8"/>
    <w:basedOn w:val="1"/>
    <w:next w:val="1"/>
    <w:link w:val="28"/>
    <w:semiHidden/>
    <w:unhideWhenUsed/>
    <w:qFormat/>
    <w:uiPriority w:val="9"/>
    <w:pPr>
      <w:keepNext/>
      <w:keepLines/>
      <w:spacing w:after="0"/>
      <w:outlineLvl w:val="7"/>
    </w:pPr>
    <w:rPr>
      <w:rFonts w:eastAsiaTheme="majorEastAsia" w:cstheme="majorBidi"/>
      <w:i/>
      <w:iCs/>
      <w:color w:val="262626" w:themeColor="text1" w:themeTint="D9"/>
      <w14:textFill>
        <w14:solidFill>
          <w14:schemeClr w14:val="tx1">
            <w14:lumMod w14:val="85000"/>
            <w14:lumOff w14:val="15000"/>
          </w14:schemeClr>
        </w14:solidFill>
      </w14:textFill>
    </w:rPr>
  </w:style>
  <w:style w:type="paragraph" w:styleId="10">
    <w:name w:val="heading 9"/>
    <w:basedOn w:val="1"/>
    <w:next w:val="1"/>
    <w:link w:val="29"/>
    <w:semiHidden/>
    <w:unhideWhenUsed/>
    <w:qFormat/>
    <w:uiPriority w:val="9"/>
    <w:pPr>
      <w:keepNext/>
      <w:keepLines/>
      <w:spacing w:after="0"/>
      <w:outlineLvl w:val="8"/>
    </w:pPr>
    <w:rPr>
      <w:rFonts w:eastAsiaTheme="majorEastAsia" w:cstheme="majorBidi"/>
      <w:color w:val="262626" w:themeColor="text1" w:themeTint="D9"/>
      <w14:textFill>
        <w14:solidFill>
          <w14:schemeClr w14:val="tx1">
            <w14:lumMod w14:val="85000"/>
            <w14:lumOff w14:val="15000"/>
          </w14:schemeClr>
        </w14:solidFill>
      </w14:textFill>
    </w:rPr>
  </w:style>
  <w:style w:type="character" w:default="1" w:styleId="11">
    <w:name w:val="Default Paragraph Font"/>
    <w:semiHidden/>
    <w:unhideWhenUsed/>
    <w:uiPriority w:val="1"/>
  </w:style>
  <w:style w:type="table" w:default="1" w:styleId="12">
    <w:name w:val="Normal Table"/>
    <w:semiHidden/>
    <w:unhideWhenUsed/>
    <w:uiPriority w:val="99"/>
    <w:tblPr>
      <w:tblCellMar>
        <w:top w:w="0" w:type="dxa"/>
        <w:left w:w="108" w:type="dxa"/>
        <w:bottom w:w="0" w:type="dxa"/>
        <w:right w:w="108" w:type="dxa"/>
      </w:tblCellMar>
    </w:tblPr>
  </w:style>
  <w:style w:type="paragraph" w:styleId="13">
    <w:name w:val="caption"/>
    <w:basedOn w:val="1"/>
    <w:next w:val="1"/>
    <w:unhideWhenUsed/>
    <w:qFormat/>
    <w:uiPriority w:val="35"/>
    <w:pPr>
      <w:spacing w:after="200" w:line="240" w:lineRule="auto"/>
    </w:pPr>
    <w:rPr>
      <w:i/>
      <w:iCs/>
      <w:color w:val="0E2841" w:themeColor="text2"/>
      <w:sz w:val="18"/>
      <w:szCs w:val="18"/>
      <w14:textFill>
        <w14:solidFill>
          <w14:schemeClr w14:val="tx2"/>
        </w14:solidFill>
      </w14:textFill>
    </w:rPr>
  </w:style>
  <w:style w:type="character" w:styleId="14">
    <w:name w:val="Hyperlink"/>
    <w:basedOn w:val="11"/>
    <w:unhideWhenUsed/>
    <w:qFormat/>
    <w:uiPriority w:val="99"/>
    <w:rPr>
      <w:color w:val="467886" w:themeColor="hyperlink"/>
      <w:u w:val="single"/>
      <w14:textFill>
        <w14:solidFill>
          <w14:schemeClr w14:val="hlink"/>
        </w14:solidFill>
      </w14:textFill>
    </w:rPr>
  </w:style>
  <w:style w:type="character" w:styleId="15">
    <w:name w:val="Strong"/>
    <w:basedOn w:val="11"/>
    <w:qFormat/>
    <w:uiPriority w:val="22"/>
    <w:rPr>
      <w:b/>
      <w:bCs/>
    </w:rPr>
  </w:style>
  <w:style w:type="paragraph" w:styleId="16">
    <w:name w:val="Subtitle"/>
    <w:basedOn w:val="1"/>
    <w:next w:val="1"/>
    <w:link w:val="31"/>
    <w:qFormat/>
    <w:uiPriority w:val="11"/>
    <w:rPr>
      <w:rFonts w:eastAsiaTheme="majorEastAsia" w:cstheme="majorBidi"/>
      <w:color w:val="595959" w:themeColor="text1" w:themeTint="A6"/>
      <w:spacing w:val="15"/>
      <w:sz w:val="28"/>
      <w:szCs w:val="28"/>
      <w14:textFill>
        <w14:solidFill>
          <w14:schemeClr w14:val="tx1">
            <w14:lumMod w14:val="65000"/>
            <w14:lumOff w14:val="35000"/>
          </w14:schemeClr>
        </w14:solidFill>
      </w14:textFill>
    </w:rPr>
  </w:style>
  <w:style w:type="table" w:styleId="17">
    <w:name w:val="Table Grid"/>
    <w:basedOn w:val="12"/>
    <w:qFormat/>
    <w:uiPriority w:val="39"/>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
  </w:style>
  <w:style w:type="paragraph" w:styleId="18">
    <w:name w:val="Title"/>
    <w:basedOn w:val="1"/>
    <w:next w:val="1"/>
    <w:link w:val="30"/>
    <w:qFormat/>
    <w:uiPriority w:val="10"/>
    <w:pPr>
      <w:spacing w:after="80" w:line="240" w:lineRule="auto"/>
      <w:contextualSpacing/>
    </w:pPr>
    <w:rPr>
      <w:rFonts w:asciiTheme="majorHAnsi" w:hAnsiTheme="majorHAnsi" w:eastAsiaTheme="majorEastAsia" w:cstheme="majorBidi"/>
      <w:spacing w:val="-10"/>
      <w:kern w:val="28"/>
      <w:sz w:val="56"/>
      <w:szCs w:val="56"/>
    </w:rPr>
  </w:style>
  <w:style w:type="paragraph" w:styleId="19">
    <w:name w:val="toc 1"/>
    <w:basedOn w:val="1"/>
    <w:next w:val="1"/>
    <w:autoRedefine/>
    <w:unhideWhenUsed/>
    <w:qFormat/>
    <w:uiPriority w:val="39"/>
    <w:pPr>
      <w:spacing w:after="100"/>
    </w:pPr>
  </w:style>
  <w:style w:type="paragraph" w:styleId="20">
    <w:name w:val="toc 2"/>
    <w:basedOn w:val="1"/>
    <w:next w:val="1"/>
    <w:autoRedefine/>
    <w:unhideWhenUsed/>
    <w:uiPriority w:val="39"/>
    <w:pPr>
      <w:spacing w:after="100"/>
      <w:ind w:left="240"/>
    </w:pPr>
  </w:style>
  <w:style w:type="character" w:customStyle="1" w:styleId="21">
    <w:name w:val="Heading 1 Char"/>
    <w:basedOn w:val="11"/>
    <w:link w:val="2"/>
    <w:uiPriority w:val="9"/>
    <w:rPr>
      <w:rFonts w:asciiTheme="majorHAnsi" w:hAnsiTheme="majorHAnsi" w:eastAsiaTheme="majorEastAsia" w:cstheme="majorBidi"/>
      <w:color w:val="104862" w:themeColor="accent1" w:themeShade="BF"/>
      <w:sz w:val="40"/>
      <w:szCs w:val="40"/>
      <w:lang w:val="en-GB"/>
    </w:rPr>
  </w:style>
  <w:style w:type="character" w:customStyle="1" w:styleId="22">
    <w:name w:val="Heading 2 Char"/>
    <w:basedOn w:val="11"/>
    <w:link w:val="3"/>
    <w:uiPriority w:val="9"/>
    <w:rPr>
      <w:rFonts w:asciiTheme="majorHAnsi" w:hAnsiTheme="majorHAnsi" w:eastAsiaTheme="majorEastAsia" w:cstheme="majorBidi"/>
      <w:color w:val="104862" w:themeColor="accent1" w:themeShade="BF"/>
      <w:sz w:val="32"/>
      <w:szCs w:val="32"/>
      <w:lang w:val="en-GB"/>
    </w:rPr>
  </w:style>
  <w:style w:type="character" w:customStyle="1" w:styleId="23">
    <w:name w:val="Heading 3 Char"/>
    <w:basedOn w:val="11"/>
    <w:link w:val="4"/>
    <w:semiHidden/>
    <w:uiPriority w:val="9"/>
    <w:rPr>
      <w:rFonts w:eastAsiaTheme="majorEastAsia" w:cstheme="majorBidi"/>
      <w:color w:val="104862" w:themeColor="accent1" w:themeShade="BF"/>
      <w:sz w:val="28"/>
      <w:szCs w:val="28"/>
      <w:lang w:val="en-GB"/>
    </w:rPr>
  </w:style>
  <w:style w:type="character" w:customStyle="1" w:styleId="24">
    <w:name w:val="Heading 4 Char"/>
    <w:basedOn w:val="11"/>
    <w:link w:val="5"/>
    <w:semiHidden/>
    <w:uiPriority w:val="9"/>
    <w:rPr>
      <w:rFonts w:eastAsiaTheme="majorEastAsia" w:cstheme="majorBidi"/>
      <w:i/>
      <w:iCs/>
      <w:color w:val="104862" w:themeColor="accent1" w:themeShade="BF"/>
      <w:lang w:val="en-GB"/>
    </w:rPr>
  </w:style>
  <w:style w:type="character" w:customStyle="1" w:styleId="25">
    <w:name w:val="Heading 5 Char"/>
    <w:basedOn w:val="11"/>
    <w:link w:val="6"/>
    <w:semiHidden/>
    <w:uiPriority w:val="9"/>
    <w:rPr>
      <w:rFonts w:eastAsiaTheme="majorEastAsia" w:cstheme="majorBidi"/>
      <w:color w:val="104862" w:themeColor="accent1" w:themeShade="BF"/>
      <w:lang w:val="en-GB"/>
    </w:rPr>
  </w:style>
  <w:style w:type="character" w:customStyle="1" w:styleId="26">
    <w:name w:val="Heading 6 Char"/>
    <w:basedOn w:val="11"/>
    <w:link w:val="7"/>
    <w:semiHidden/>
    <w:uiPriority w:val="9"/>
    <w:rPr>
      <w:rFonts w:eastAsiaTheme="majorEastAsia" w:cstheme="majorBidi"/>
      <w:i/>
      <w:iCs/>
      <w:color w:val="595959" w:themeColor="text1" w:themeTint="A6"/>
      <w:lang w:val="en-GB"/>
      <w14:textFill>
        <w14:solidFill>
          <w14:schemeClr w14:val="tx1">
            <w14:lumMod w14:val="65000"/>
            <w14:lumOff w14:val="35000"/>
          </w14:schemeClr>
        </w14:solidFill>
      </w14:textFill>
    </w:rPr>
  </w:style>
  <w:style w:type="character" w:customStyle="1" w:styleId="27">
    <w:name w:val="Heading 7 Char"/>
    <w:basedOn w:val="11"/>
    <w:link w:val="8"/>
    <w:semiHidden/>
    <w:uiPriority w:val="9"/>
    <w:rPr>
      <w:rFonts w:eastAsiaTheme="majorEastAsia" w:cstheme="majorBidi"/>
      <w:color w:val="595959" w:themeColor="text1" w:themeTint="A6"/>
      <w:lang w:val="en-GB"/>
      <w14:textFill>
        <w14:solidFill>
          <w14:schemeClr w14:val="tx1">
            <w14:lumMod w14:val="65000"/>
            <w14:lumOff w14:val="35000"/>
          </w14:schemeClr>
        </w14:solidFill>
      </w14:textFill>
    </w:rPr>
  </w:style>
  <w:style w:type="character" w:customStyle="1" w:styleId="28">
    <w:name w:val="Heading 8 Char"/>
    <w:basedOn w:val="11"/>
    <w:link w:val="9"/>
    <w:semiHidden/>
    <w:uiPriority w:val="9"/>
    <w:rPr>
      <w:rFonts w:eastAsiaTheme="majorEastAsia" w:cstheme="majorBidi"/>
      <w:i/>
      <w:iCs/>
      <w:color w:val="262626" w:themeColor="text1" w:themeTint="D9"/>
      <w:lang w:val="en-GB"/>
      <w14:textFill>
        <w14:solidFill>
          <w14:schemeClr w14:val="tx1">
            <w14:lumMod w14:val="85000"/>
            <w14:lumOff w14:val="15000"/>
          </w14:schemeClr>
        </w14:solidFill>
      </w14:textFill>
    </w:rPr>
  </w:style>
  <w:style w:type="character" w:customStyle="1" w:styleId="29">
    <w:name w:val="Heading 9 Char"/>
    <w:basedOn w:val="11"/>
    <w:link w:val="10"/>
    <w:semiHidden/>
    <w:uiPriority w:val="9"/>
    <w:rPr>
      <w:rFonts w:eastAsiaTheme="majorEastAsia" w:cstheme="majorBidi"/>
      <w:color w:val="262626" w:themeColor="text1" w:themeTint="D9"/>
      <w:lang w:val="en-GB"/>
      <w14:textFill>
        <w14:solidFill>
          <w14:schemeClr w14:val="tx1">
            <w14:lumMod w14:val="85000"/>
            <w14:lumOff w14:val="15000"/>
          </w14:schemeClr>
        </w14:solidFill>
      </w14:textFill>
    </w:rPr>
  </w:style>
  <w:style w:type="character" w:customStyle="1" w:styleId="30">
    <w:name w:val="Title Char"/>
    <w:basedOn w:val="11"/>
    <w:link w:val="18"/>
    <w:uiPriority w:val="10"/>
    <w:rPr>
      <w:rFonts w:asciiTheme="majorHAnsi" w:hAnsiTheme="majorHAnsi" w:eastAsiaTheme="majorEastAsia" w:cstheme="majorBidi"/>
      <w:spacing w:val="-10"/>
      <w:kern w:val="28"/>
      <w:sz w:val="56"/>
      <w:szCs w:val="56"/>
      <w:lang w:val="en-GB"/>
    </w:rPr>
  </w:style>
  <w:style w:type="character" w:customStyle="1" w:styleId="31">
    <w:name w:val="Subtitle Char"/>
    <w:basedOn w:val="11"/>
    <w:link w:val="16"/>
    <w:uiPriority w:val="11"/>
    <w:rPr>
      <w:rFonts w:eastAsiaTheme="majorEastAsia" w:cstheme="majorBidi"/>
      <w:color w:val="595959" w:themeColor="text1" w:themeTint="A6"/>
      <w:spacing w:val="15"/>
      <w:sz w:val="28"/>
      <w:szCs w:val="28"/>
      <w:lang w:val="en-GB"/>
      <w14:textFill>
        <w14:solidFill>
          <w14:schemeClr w14:val="tx1">
            <w14:lumMod w14:val="65000"/>
            <w14:lumOff w14:val="35000"/>
          </w14:schemeClr>
        </w14:solidFill>
      </w14:textFill>
    </w:rPr>
  </w:style>
  <w:style w:type="paragraph" w:styleId="32">
    <w:name w:val="Quote"/>
    <w:basedOn w:val="1"/>
    <w:next w:val="1"/>
    <w:link w:val="33"/>
    <w:qFormat/>
    <w:uiPriority w:val="29"/>
    <w:pPr>
      <w:spacing w:before="160"/>
      <w:jc w:val="center"/>
    </w:pPr>
    <w:rPr>
      <w:i/>
      <w:iCs/>
      <w:color w:val="404040" w:themeColor="text1" w:themeTint="BF"/>
      <w14:textFill>
        <w14:solidFill>
          <w14:schemeClr w14:val="tx1">
            <w14:lumMod w14:val="75000"/>
            <w14:lumOff w14:val="25000"/>
          </w14:schemeClr>
        </w14:solidFill>
      </w14:textFill>
    </w:rPr>
  </w:style>
  <w:style w:type="character" w:customStyle="1" w:styleId="33">
    <w:name w:val="Quote Char"/>
    <w:basedOn w:val="11"/>
    <w:link w:val="32"/>
    <w:uiPriority w:val="29"/>
    <w:rPr>
      <w:i/>
      <w:iCs/>
      <w:color w:val="404040" w:themeColor="text1" w:themeTint="BF"/>
      <w:lang w:val="en-GB"/>
      <w14:textFill>
        <w14:solidFill>
          <w14:schemeClr w14:val="tx1">
            <w14:lumMod w14:val="75000"/>
            <w14:lumOff w14:val="25000"/>
          </w14:schemeClr>
        </w14:solidFill>
      </w14:textFill>
    </w:rPr>
  </w:style>
  <w:style w:type="paragraph" w:styleId="34">
    <w:name w:val="List Paragraph"/>
    <w:basedOn w:val="1"/>
    <w:qFormat/>
    <w:uiPriority w:val="34"/>
    <w:pPr>
      <w:ind w:left="720"/>
      <w:contextualSpacing/>
    </w:pPr>
  </w:style>
  <w:style w:type="character" w:customStyle="1" w:styleId="35">
    <w:name w:val="Intense Emphasis"/>
    <w:basedOn w:val="11"/>
    <w:qFormat/>
    <w:uiPriority w:val="21"/>
    <w:rPr>
      <w:i/>
      <w:iCs/>
      <w:color w:val="104862" w:themeColor="accent1" w:themeShade="BF"/>
    </w:rPr>
  </w:style>
  <w:style w:type="paragraph" w:styleId="36">
    <w:name w:val="Intense Quote"/>
    <w:basedOn w:val="1"/>
    <w:next w:val="1"/>
    <w:link w:val="37"/>
    <w:qFormat/>
    <w:uiPriority w:val="30"/>
    <w:pPr>
      <w:pBdr>
        <w:top w:val="single" w:color="0F4761" w:themeColor="accent1" w:themeShade="BF" w:sz="4" w:space="10"/>
        <w:bottom w:val="single" w:color="0F4761" w:themeColor="accent1" w:themeShade="BF" w:sz="4" w:space="10"/>
      </w:pBdr>
      <w:spacing w:before="360" w:after="360"/>
      <w:ind w:left="864" w:right="864"/>
      <w:jc w:val="center"/>
    </w:pPr>
    <w:rPr>
      <w:i/>
      <w:iCs/>
      <w:color w:val="104862" w:themeColor="accent1" w:themeShade="BF"/>
    </w:rPr>
  </w:style>
  <w:style w:type="character" w:customStyle="1" w:styleId="37">
    <w:name w:val="Intense Quote Char"/>
    <w:basedOn w:val="11"/>
    <w:link w:val="36"/>
    <w:uiPriority w:val="30"/>
    <w:rPr>
      <w:i/>
      <w:iCs/>
      <w:color w:val="104862" w:themeColor="accent1" w:themeShade="BF"/>
      <w:lang w:val="en-GB"/>
    </w:rPr>
  </w:style>
  <w:style w:type="character" w:customStyle="1" w:styleId="38">
    <w:name w:val="Intense Reference"/>
    <w:basedOn w:val="11"/>
    <w:qFormat/>
    <w:uiPriority w:val="32"/>
    <w:rPr>
      <w:b/>
      <w:bCs/>
      <w:smallCaps/>
      <w:color w:val="104862" w:themeColor="accent1" w:themeShade="BF"/>
      <w:spacing w:val="5"/>
    </w:rPr>
  </w:style>
  <w:style w:type="paragraph" w:styleId="39">
    <w:name w:val="No Spacing"/>
    <w:qFormat/>
    <w:uiPriority w:val="1"/>
    <w:pPr>
      <w:spacing w:after="0" w:line="240" w:lineRule="auto"/>
      <w:jc w:val="both"/>
    </w:pPr>
    <w:rPr>
      <w:rFonts w:ascii="Calibri" w:hAnsi="Calibri" w:eastAsiaTheme="minorHAnsi" w:cstheme="minorBidi"/>
      <w:kern w:val="2"/>
      <w:sz w:val="24"/>
      <w:szCs w:val="24"/>
      <w:lang w:val="en-GB" w:eastAsia="en-US" w:bidi="ar-SA"/>
      <w14:ligatures w14:val="standardContextual"/>
    </w:rPr>
  </w:style>
  <w:style w:type="table" w:customStyle="1" w:styleId="40">
    <w:name w:val="Grid Table 1 Light Accent 3"/>
    <w:basedOn w:val="12"/>
    <w:uiPriority w:val="46"/>
    <w:pPr>
      <w:spacing w:after="0" w:line="240" w:lineRule="auto"/>
    </w:pPr>
    <w:tblPr>
      <w:tblBorders>
        <w:top w:val="single" w:color="84E291" w:themeColor="accent3" w:themeTint="66" w:sz="4" w:space="0"/>
        <w:left w:val="single" w:color="84E291" w:themeColor="accent3" w:themeTint="66" w:sz="4" w:space="0"/>
        <w:bottom w:val="single" w:color="84E291" w:themeColor="accent3" w:themeTint="66" w:sz="4" w:space="0"/>
        <w:right w:val="single" w:color="84E291" w:themeColor="accent3" w:themeTint="66" w:sz="4" w:space="0"/>
        <w:insideH w:val="single" w:color="84E291" w:themeColor="accent3" w:themeTint="66" w:sz="4" w:space="0"/>
        <w:insideV w:val="single" w:color="84E291" w:themeColor="accent3" w:themeTint="66" w:sz="4" w:space="0"/>
      </w:tblBorders>
      <w:tblCellMar>
        <w:top w:w="0" w:type="dxa"/>
        <w:left w:w="108" w:type="dxa"/>
        <w:bottom w:w="0" w:type="dxa"/>
        <w:right w:w="108" w:type="dxa"/>
      </w:tblCellMar>
    </w:tblPr>
    <w:tblStylePr w:type="firstRow">
      <w:rPr>
        <w:b/>
        <w:bCs/>
      </w:rPr>
      <w:tcPr>
        <w:tcBorders>
          <w:bottom w:val="single" w:color="47D45A" w:themeColor="accent3" w:themeTint="99" w:sz="12" w:space="0"/>
        </w:tcBorders>
      </w:tcPr>
    </w:tblStylePr>
    <w:tblStylePr w:type="lastRow">
      <w:rPr>
        <w:b/>
        <w:bCs/>
      </w:rPr>
      <w:tcPr>
        <w:tcBorders>
          <w:top w:val="double" w:color="47D45A" w:themeColor="accent3" w:themeTint="99" w:sz="2" w:space="0"/>
        </w:tcBorders>
      </w:tcPr>
    </w:tblStylePr>
    <w:tblStylePr w:type="firstCol">
      <w:rPr>
        <w:b/>
        <w:bCs/>
      </w:rPr>
    </w:tblStylePr>
    <w:tblStylePr w:type="lastCol">
      <w:rPr>
        <w:b/>
        <w:bCs/>
      </w:rPr>
    </w:tblStylePr>
  </w:style>
  <w:style w:type="paragraph" w:customStyle="1" w:styleId="41">
    <w:name w:val="TOC Heading"/>
    <w:basedOn w:val="2"/>
    <w:next w:val="1"/>
    <w:unhideWhenUsed/>
    <w:qFormat/>
    <w:uiPriority w:val="39"/>
    <w:pPr>
      <w:spacing w:before="240" w:after="0" w:line="259" w:lineRule="auto"/>
      <w:jc w:val="left"/>
      <w:outlineLvl w:val="9"/>
    </w:pPr>
    <w:rPr>
      <w:kern w:val="0"/>
      <w:sz w:val="32"/>
      <w:szCs w:val="32"/>
      <w:lang w:val="en-US"/>
      <w14:ligatures w14:val="none"/>
    </w:rPr>
  </w:style>
</w:styles>
</file>

<file path=word/_rels/document.xml.rels><?xml version="1.0" encoding="UTF-8" standalone="yes"?>
<Relationships xmlns="http://schemas.openxmlformats.org/package/2006/relationships"><Relationship Id="rId9" Type="http://schemas.openxmlformats.org/officeDocument/2006/relationships/image" Target="media/image4.png"/><Relationship Id="rId8" Type="http://schemas.openxmlformats.org/officeDocument/2006/relationships/image" Target="media/image3.png"/><Relationship Id="rId7" Type="http://schemas.openxmlformats.org/officeDocument/2006/relationships/image" Target="media/image2.jpeg"/><Relationship Id="rId6" Type="http://schemas.openxmlformats.org/officeDocument/2006/relationships/image" Target="media/image1.png"/><Relationship Id="rId5" Type="http://schemas.openxmlformats.org/officeDocument/2006/relationships/theme" Target="theme/theme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5" Type="http://schemas.openxmlformats.org/officeDocument/2006/relationships/fontTable" Target="fontTable.xml"/><Relationship Id="rId14" Type="http://schemas.openxmlformats.org/officeDocument/2006/relationships/customXml" Target="../customXml/item2.xml"/><Relationship Id="rId13" Type="http://schemas.openxmlformats.org/officeDocument/2006/relationships/numbering" Target="numbering.xml"/><Relationship Id="rId12" Type="http://schemas.openxmlformats.org/officeDocument/2006/relationships/customXml" Target="../customXml/item1.xml"/><Relationship Id="rId11" Type="http://schemas.openxmlformats.org/officeDocument/2006/relationships/image" Target="media/image6.png"/><Relationship Id="rId10" Type="http://schemas.openxmlformats.org/officeDocument/2006/relationships/image" Target="media/image5.png"/><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hpExts>
    <customShpInfo spid="_x0000_s1026" textRotate="1"/>
  </customShpExts>
</s:customDat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503BEA48-B711-4516-A687-CD41AD0DC3ED}">
  <ds:schemaRefs/>
</ds:datastoreItem>
</file>

<file path=docProps/app.xml><?xml version="1.0" encoding="utf-8"?>
<Properties xmlns="http://schemas.openxmlformats.org/officeDocument/2006/extended-properties" xmlns:vt="http://schemas.openxmlformats.org/officeDocument/2006/docPropsVTypes">
  <Template>Normal</Template>
  <Pages>29</Pages>
  <Words>6014</Words>
  <Characters>36756</Characters>
  <Lines>318</Lines>
  <Paragraphs>89</Paragraphs>
  <TotalTime>56</TotalTime>
  <ScaleCrop>false</ScaleCrop>
  <LinksUpToDate>false</LinksUpToDate>
  <CharactersWithSpaces>42535</CharactersWithSpaces>
  <Application>WPS Office_12.2.0.23197_F1E327BC-269C-435d-A152-05C5408002CA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2026-03-28T13:09:00Z</dcterms:created>
  <dc:creator>Sabbir</dc:creator>
  <cp:lastModifiedBy>Bishazit</cp:lastModifiedBy>
  <dcterms:modified xsi:type="dcterms:W3CDTF">2026-03-28T22:05:22Z</dcterms:modified>
  <cp:revision>3</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1033-12.2.0.23197</vt:lpwstr>
  </property>
  <property fmtid="{D5CDD505-2E9C-101B-9397-08002B2CF9AE}" pid="3" name="ICV">
    <vt:lpwstr>1AAA125F88314C83A57A0D56FEDB13A1_12</vt:lpwstr>
  </property>
</Properties>
</file>