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49B72" w14:textId="77777777" w:rsidR="004F5EEC" w:rsidRDefault="004F5EEC" w:rsidP="004F5EEC">
      <w:pPr>
        <w:pStyle w:val="Title"/>
        <w:jc w:val="center"/>
      </w:pPr>
    </w:p>
    <w:p w14:paraId="7C3C09F3" w14:textId="77777777" w:rsidR="004F5EEC" w:rsidRDefault="004F5EEC" w:rsidP="004F5EEC">
      <w:pPr>
        <w:pStyle w:val="Title"/>
        <w:jc w:val="center"/>
      </w:pPr>
    </w:p>
    <w:p w14:paraId="2656AF8E" w14:textId="77777777" w:rsidR="004F5EEC" w:rsidRDefault="004F5EEC" w:rsidP="004F5EEC">
      <w:pPr>
        <w:pStyle w:val="Title"/>
        <w:jc w:val="center"/>
      </w:pPr>
    </w:p>
    <w:p w14:paraId="6699B339" w14:textId="77777777" w:rsidR="004F5EEC" w:rsidRDefault="004F5EEC" w:rsidP="004F5EEC">
      <w:pPr>
        <w:pStyle w:val="Title"/>
        <w:jc w:val="center"/>
      </w:pPr>
    </w:p>
    <w:p w14:paraId="317D8D57" w14:textId="77777777" w:rsidR="004F5EEC" w:rsidRDefault="004F5EEC" w:rsidP="004F5EEC">
      <w:pPr>
        <w:pStyle w:val="Title"/>
        <w:jc w:val="center"/>
      </w:pPr>
    </w:p>
    <w:p w14:paraId="38A41135" w14:textId="77777777" w:rsidR="004F5EEC" w:rsidRDefault="004F5EEC" w:rsidP="004F5EEC">
      <w:pPr>
        <w:pStyle w:val="Title"/>
        <w:jc w:val="center"/>
      </w:pPr>
    </w:p>
    <w:p w14:paraId="0934E67D" w14:textId="77777777" w:rsidR="004F5EEC" w:rsidRDefault="004F5EEC" w:rsidP="004F5EEC">
      <w:pPr>
        <w:pStyle w:val="Title"/>
        <w:jc w:val="center"/>
      </w:pPr>
    </w:p>
    <w:p w14:paraId="4D7B00C8" w14:textId="77777777" w:rsidR="004F5EEC" w:rsidRDefault="004F5EEC" w:rsidP="004F5EEC">
      <w:pPr>
        <w:pStyle w:val="Title"/>
        <w:jc w:val="center"/>
      </w:pPr>
    </w:p>
    <w:p w14:paraId="02D9DB6A" w14:textId="77777777" w:rsidR="004F5EEC" w:rsidRDefault="004F5EEC" w:rsidP="004F5EEC">
      <w:pPr>
        <w:pStyle w:val="Title"/>
        <w:jc w:val="center"/>
      </w:pPr>
    </w:p>
    <w:p w14:paraId="7AC3346A" w14:textId="77777777" w:rsidR="004F5EEC" w:rsidRDefault="004F5EEC" w:rsidP="004F5EEC">
      <w:pPr>
        <w:pStyle w:val="Title"/>
        <w:jc w:val="center"/>
      </w:pPr>
    </w:p>
    <w:p w14:paraId="2DBECE95" w14:textId="4ED4E0AD" w:rsidR="004F5EEC" w:rsidRDefault="004F5EEC" w:rsidP="004F5EEC">
      <w:pPr>
        <w:pStyle w:val="Title"/>
        <w:jc w:val="center"/>
      </w:pPr>
      <w:r>
        <w:t xml:space="preserve">Criminal </w:t>
      </w:r>
      <w:r w:rsidR="008570A7">
        <w:t>L</w:t>
      </w:r>
      <w:r>
        <w:t>aw</w:t>
      </w:r>
    </w:p>
    <w:p w14:paraId="76B2617F" w14:textId="692B53B8" w:rsidR="008570A7" w:rsidRPr="008570A7" w:rsidRDefault="008570A7" w:rsidP="008570A7">
      <w:pPr>
        <w:jc w:val="center"/>
        <w:rPr>
          <w:b/>
          <w:bCs/>
          <w:color w:val="000000" w:themeColor="text1"/>
        </w:rPr>
      </w:pPr>
      <w:r w:rsidRPr="008570A7">
        <w:rPr>
          <w:b/>
          <w:bCs/>
          <w:color w:val="000000" w:themeColor="text1"/>
        </w:rPr>
        <w:t>Cosmina Hajdu</w:t>
      </w:r>
    </w:p>
    <w:p w14:paraId="795F61BF" w14:textId="57C31BA8" w:rsidR="008570A7" w:rsidRPr="008570A7" w:rsidRDefault="008570A7" w:rsidP="008570A7">
      <w:pPr>
        <w:jc w:val="center"/>
        <w:rPr>
          <w:b/>
          <w:bCs/>
          <w:color w:val="000000" w:themeColor="text1"/>
        </w:rPr>
      </w:pPr>
      <w:r w:rsidRPr="008570A7">
        <w:rPr>
          <w:b/>
          <w:bCs/>
          <w:color w:val="000000" w:themeColor="text1"/>
        </w:rPr>
        <w:t>(2242302)</w:t>
      </w:r>
    </w:p>
    <w:p w14:paraId="0C07EF4B" w14:textId="77777777" w:rsidR="004F5EEC" w:rsidRDefault="004F5EEC">
      <w:pPr>
        <w:spacing w:after="0"/>
        <w:jc w:val="left"/>
        <w:rPr>
          <w:rFonts w:ascii="Arial" w:hAnsi="Arial" w:cs="Arial"/>
          <w:b/>
          <w:sz w:val="22"/>
        </w:rPr>
      </w:pPr>
    </w:p>
    <w:p w14:paraId="2773B676" w14:textId="77777777" w:rsidR="004F5EEC" w:rsidRDefault="004F5EEC">
      <w:pPr>
        <w:spacing w:after="0"/>
        <w:jc w:val="left"/>
        <w:rPr>
          <w:rFonts w:ascii="Arial" w:hAnsi="Arial" w:cs="Arial"/>
          <w:b/>
          <w:sz w:val="22"/>
        </w:rPr>
      </w:pPr>
    </w:p>
    <w:p w14:paraId="1D2B98C6" w14:textId="77777777" w:rsidR="004F5EEC" w:rsidRDefault="004F5EEC">
      <w:pPr>
        <w:spacing w:after="0"/>
        <w:jc w:val="left"/>
        <w:rPr>
          <w:rFonts w:ascii="Arial" w:hAnsi="Arial" w:cs="Arial"/>
          <w:b/>
          <w:sz w:val="22"/>
        </w:rPr>
      </w:pPr>
    </w:p>
    <w:p w14:paraId="2C90977B" w14:textId="77777777" w:rsidR="004F5EEC" w:rsidRDefault="004F5EEC">
      <w:pPr>
        <w:spacing w:after="0"/>
        <w:jc w:val="left"/>
        <w:rPr>
          <w:rFonts w:ascii="Arial" w:hAnsi="Arial" w:cs="Arial"/>
          <w:b/>
          <w:sz w:val="22"/>
        </w:rPr>
      </w:pPr>
    </w:p>
    <w:p w14:paraId="42102253" w14:textId="77777777" w:rsidR="004F5EEC" w:rsidRDefault="004F5EEC">
      <w:pPr>
        <w:spacing w:after="0"/>
        <w:jc w:val="left"/>
        <w:rPr>
          <w:rFonts w:ascii="Arial" w:hAnsi="Arial" w:cs="Arial"/>
          <w:b/>
          <w:sz w:val="22"/>
        </w:rPr>
      </w:pPr>
    </w:p>
    <w:p w14:paraId="00019F6D" w14:textId="77777777" w:rsidR="004F5EEC" w:rsidRDefault="004F5EEC">
      <w:pPr>
        <w:spacing w:after="0"/>
        <w:jc w:val="left"/>
        <w:rPr>
          <w:rFonts w:ascii="Arial" w:hAnsi="Arial" w:cs="Arial"/>
          <w:b/>
          <w:sz w:val="22"/>
        </w:rPr>
      </w:pPr>
    </w:p>
    <w:p w14:paraId="594DC0D5" w14:textId="77777777" w:rsidR="004F5EEC" w:rsidRDefault="004F5EEC">
      <w:pPr>
        <w:spacing w:after="0"/>
        <w:jc w:val="left"/>
        <w:rPr>
          <w:rFonts w:ascii="Arial" w:hAnsi="Arial" w:cs="Arial"/>
          <w:b/>
          <w:sz w:val="22"/>
        </w:rPr>
      </w:pPr>
    </w:p>
    <w:p w14:paraId="16EB99FA" w14:textId="77777777" w:rsidR="004F5EEC" w:rsidRDefault="004F5EEC">
      <w:pPr>
        <w:spacing w:after="0"/>
        <w:jc w:val="left"/>
        <w:rPr>
          <w:rFonts w:ascii="Arial" w:hAnsi="Arial" w:cs="Arial"/>
          <w:b/>
          <w:sz w:val="22"/>
        </w:rPr>
      </w:pPr>
    </w:p>
    <w:p w14:paraId="677ED10D" w14:textId="77777777" w:rsidR="004F5EEC" w:rsidRDefault="004F5EEC">
      <w:pPr>
        <w:spacing w:after="0"/>
        <w:jc w:val="left"/>
        <w:rPr>
          <w:rFonts w:ascii="Arial" w:hAnsi="Arial" w:cs="Arial"/>
          <w:b/>
          <w:sz w:val="22"/>
        </w:rPr>
      </w:pPr>
    </w:p>
    <w:p w14:paraId="0726D9A3" w14:textId="77777777" w:rsidR="004F5EEC" w:rsidRDefault="004F5EEC">
      <w:pPr>
        <w:spacing w:after="0"/>
        <w:jc w:val="left"/>
        <w:rPr>
          <w:rFonts w:ascii="Arial" w:hAnsi="Arial" w:cs="Arial"/>
          <w:b/>
          <w:sz w:val="22"/>
        </w:rPr>
      </w:pPr>
      <w:r>
        <w:rPr>
          <w:rFonts w:ascii="Arial" w:hAnsi="Arial" w:cs="Arial"/>
          <w:b/>
          <w:sz w:val="22"/>
        </w:rPr>
        <w:br w:type="page"/>
      </w:r>
    </w:p>
    <w:p w14:paraId="7877E3A1" w14:textId="77777777" w:rsidR="004F5EEC" w:rsidRDefault="004F5EEC">
      <w:pPr>
        <w:spacing w:after="0"/>
        <w:jc w:val="left"/>
        <w:rPr>
          <w:rFonts w:eastAsiaTheme="majorEastAsia" w:cstheme="majorBidi"/>
          <w:b/>
          <w:sz w:val="28"/>
          <w:szCs w:val="32"/>
        </w:rPr>
      </w:pPr>
    </w:p>
    <w:sdt>
      <w:sdtPr>
        <w:rPr>
          <w:rFonts w:ascii="Times New Roman" w:eastAsiaTheme="minorHAnsi" w:hAnsi="Times New Roman" w:cstheme="minorBidi"/>
          <w:b w:val="0"/>
          <w:bCs w:val="0"/>
          <w:color w:val="000000" w:themeColor="text1"/>
          <w:kern w:val="2"/>
          <w:sz w:val="24"/>
          <w:szCs w:val="22"/>
          <w:lang w:val="en-GB"/>
          <w14:ligatures w14:val="standardContextual"/>
        </w:rPr>
        <w:id w:val="71248733"/>
        <w:docPartObj>
          <w:docPartGallery w:val="Table of Contents"/>
          <w:docPartUnique/>
        </w:docPartObj>
      </w:sdtPr>
      <w:sdtEndPr>
        <w:rPr>
          <w:noProof/>
          <w:color w:val="auto"/>
        </w:rPr>
      </w:sdtEndPr>
      <w:sdtContent>
        <w:p w14:paraId="2A649824" w14:textId="77777777" w:rsidR="004F5EEC" w:rsidRPr="009475C8" w:rsidRDefault="004F5EEC" w:rsidP="004F5EEC">
          <w:pPr>
            <w:pStyle w:val="TOCHeading"/>
            <w:jc w:val="center"/>
            <w:rPr>
              <w:rStyle w:val="TitleChar"/>
              <w:sz w:val="28"/>
              <w:szCs w:val="48"/>
            </w:rPr>
          </w:pPr>
          <w:r w:rsidRPr="009475C8">
            <w:rPr>
              <w:rStyle w:val="TitleChar"/>
              <w:sz w:val="28"/>
              <w:szCs w:val="48"/>
            </w:rPr>
            <w:t>Table of Contents</w:t>
          </w:r>
        </w:p>
        <w:p w14:paraId="42504052" w14:textId="5135A603" w:rsidR="009475C8" w:rsidRDefault="004F5EEC">
          <w:pPr>
            <w:pStyle w:val="TOC1"/>
            <w:tabs>
              <w:tab w:val="right" w:leader="dot" w:pos="9016"/>
            </w:tabs>
            <w:rPr>
              <w:rFonts w:eastAsiaTheme="minorEastAsia" w:cstheme="minorBidi"/>
              <w:b w:val="0"/>
              <w:bCs w:val="0"/>
              <w:caps w:val="0"/>
              <w:noProof/>
              <w:kern w:val="0"/>
              <w:u w:val="none"/>
              <w:lang w:val="en-US"/>
              <w14:ligatures w14:val="none"/>
            </w:rPr>
          </w:pPr>
          <w:r>
            <w:rPr>
              <w:b w:val="0"/>
              <w:bCs w:val="0"/>
            </w:rPr>
            <w:fldChar w:fldCharType="begin"/>
          </w:r>
          <w:r>
            <w:instrText xml:space="preserve"> TOC \o "1-3" \h \z \u </w:instrText>
          </w:r>
          <w:r>
            <w:rPr>
              <w:b w:val="0"/>
              <w:bCs w:val="0"/>
            </w:rPr>
            <w:fldChar w:fldCharType="separate"/>
          </w:r>
          <w:hyperlink w:anchor="_Toc151650914" w:history="1">
            <w:r w:rsidR="009475C8" w:rsidRPr="004966B9">
              <w:rPr>
                <w:rStyle w:val="Hyperlink"/>
                <w:noProof/>
              </w:rPr>
              <w:t>CASE SCENARIO</w:t>
            </w:r>
            <w:r w:rsidR="009475C8">
              <w:rPr>
                <w:noProof/>
                <w:webHidden/>
              </w:rPr>
              <w:tab/>
            </w:r>
            <w:r w:rsidR="009475C8">
              <w:rPr>
                <w:noProof/>
                <w:webHidden/>
              </w:rPr>
              <w:fldChar w:fldCharType="begin"/>
            </w:r>
            <w:r w:rsidR="009475C8">
              <w:rPr>
                <w:noProof/>
                <w:webHidden/>
              </w:rPr>
              <w:instrText xml:space="preserve"> PAGEREF _Toc151650914 \h </w:instrText>
            </w:r>
            <w:r w:rsidR="009475C8">
              <w:rPr>
                <w:noProof/>
                <w:webHidden/>
              </w:rPr>
            </w:r>
            <w:r w:rsidR="009475C8">
              <w:rPr>
                <w:noProof/>
                <w:webHidden/>
              </w:rPr>
              <w:fldChar w:fldCharType="separate"/>
            </w:r>
            <w:r w:rsidR="009475C8">
              <w:rPr>
                <w:noProof/>
                <w:webHidden/>
              </w:rPr>
              <w:t>3</w:t>
            </w:r>
            <w:r w:rsidR="009475C8">
              <w:rPr>
                <w:noProof/>
                <w:webHidden/>
              </w:rPr>
              <w:fldChar w:fldCharType="end"/>
            </w:r>
          </w:hyperlink>
        </w:p>
        <w:p w14:paraId="1BC066B4" w14:textId="1FE2EBB7" w:rsidR="009475C8" w:rsidRDefault="004748E2">
          <w:pPr>
            <w:pStyle w:val="TOC1"/>
            <w:tabs>
              <w:tab w:val="right" w:leader="dot" w:pos="9016"/>
            </w:tabs>
            <w:rPr>
              <w:rFonts w:eastAsiaTheme="minorEastAsia" w:cstheme="minorBidi"/>
              <w:b w:val="0"/>
              <w:bCs w:val="0"/>
              <w:caps w:val="0"/>
              <w:noProof/>
              <w:kern w:val="0"/>
              <w:u w:val="none"/>
              <w:lang w:val="en-US"/>
              <w14:ligatures w14:val="none"/>
            </w:rPr>
          </w:pPr>
          <w:hyperlink w:anchor="_Toc151650915" w:history="1">
            <w:r w:rsidR="009475C8" w:rsidRPr="004966B9">
              <w:rPr>
                <w:rStyle w:val="Hyperlink"/>
                <w:noProof/>
              </w:rPr>
              <w:t>ISSUE:</w:t>
            </w:r>
            <w:r w:rsidR="009475C8">
              <w:rPr>
                <w:noProof/>
                <w:webHidden/>
              </w:rPr>
              <w:tab/>
            </w:r>
            <w:r w:rsidR="009475C8">
              <w:rPr>
                <w:noProof/>
                <w:webHidden/>
              </w:rPr>
              <w:fldChar w:fldCharType="begin"/>
            </w:r>
            <w:r w:rsidR="009475C8">
              <w:rPr>
                <w:noProof/>
                <w:webHidden/>
              </w:rPr>
              <w:instrText xml:space="preserve"> PAGEREF _Toc151650915 \h </w:instrText>
            </w:r>
            <w:r w:rsidR="009475C8">
              <w:rPr>
                <w:noProof/>
                <w:webHidden/>
              </w:rPr>
            </w:r>
            <w:r w:rsidR="009475C8">
              <w:rPr>
                <w:noProof/>
                <w:webHidden/>
              </w:rPr>
              <w:fldChar w:fldCharType="separate"/>
            </w:r>
            <w:r w:rsidR="009475C8">
              <w:rPr>
                <w:noProof/>
                <w:webHidden/>
              </w:rPr>
              <w:t>4</w:t>
            </w:r>
            <w:r w:rsidR="009475C8">
              <w:rPr>
                <w:noProof/>
                <w:webHidden/>
              </w:rPr>
              <w:fldChar w:fldCharType="end"/>
            </w:r>
          </w:hyperlink>
        </w:p>
        <w:p w14:paraId="3F30C3DC" w14:textId="427B168B" w:rsidR="009475C8" w:rsidRDefault="004748E2">
          <w:pPr>
            <w:pStyle w:val="TOC1"/>
            <w:tabs>
              <w:tab w:val="right" w:leader="dot" w:pos="9016"/>
            </w:tabs>
            <w:rPr>
              <w:rFonts w:eastAsiaTheme="minorEastAsia" w:cstheme="minorBidi"/>
              <w:b w:val="0"/>
              <w:bCs w:val="0"/>
              <w:caps w:val="0"/>
              <w:noProof/>
              <w:kern w:val="0"/>
              <w:u w:val="none"/>
              <w:lang w:val="en-US"/>
              <w14:ligatures w14:val="none"/>
            </w:rPr>
          </w:pPr>
          <w:hyperlink w:anchor="_Toc151650916" w:history="1">
            <w:r w:rsidR="009475C8" w:rsidRPr="004966B9">
              <w:rPr>
                <w:rStyle w:val="Hyperlink"/>
                <w:noProof/>
              </w:rPr>
              <w:t>LEGISLATION FOR THE CASE</w:t>
            </w:r>
            <w:r w:rsidR="009475C8">
              <w:rPr>
                <w:noProof/>
                <w:webHidden/>
              </w:rPr>
              <w:tab/>
            </w:r>
            <w:r w:rsidR="009475C8">
              <w:rPr>
                <w:noProof/>
                <w:webHidden/>
              </w:rPr>
              <w:fldChar w:fldCharType="begin"/>
            </w:r>
            <w:r w:rsidR="009475C8">
              <w:rPr>
                <w:noProof/>
                <w:webHidden/>
              </w:rPr>
              <w:instrText xml:space="preserve"> PAGEREF _Toc151650916 \h </w:instrText>
            </w:r>
            <w:r w:rsidR="009475C8">
              <w:rPr>
                <w:noProof/>
                <w:webHidden/>
              </w:rPr>
            </w:r>
            <w:r w:rsidR="009475C8">
              <w:rPr>
                <w:noProof/>
                <w:webHidden/>
              </w:rPr>
              <w:fldChar w:fldCharType="separate"/>
            </w:r>
            <w:r w:rsidR="009475C8">
              <w:rPr>
                <w:noProof/>
                <w:webHidden/>
              </w:rPr>
              <w:t>4</w:t>
            </w:r>
            <w:r w:rsidR="009475C8">
              <w:rPr>
                <w:noProof/>
                <w:webHidden/>
              </w:rPr>
              <w:fldChar w:fldCharType="end"/>
            </w:r>
          </w:hyperlink>
        </w:p>
        <w:p w14:paraId="4CD698CD" w14:textId="3B588B43" w:rsidR="009475C8" w:rsidRDefault="004748E2">
          <w:pPr>
            <w:pStyle w:val="TOC1"/>
            <w:tabs>
              <w:tab w:val="right" w:leader="dot" w:pos="9016"/>
            </w:tabs>
            <w:rPr>
              <w:rFonts w:eastAsiaTheme="minorEastAsia" w:cstheme="minorBidi"/>
              <w:b w:val="0"/>
              <w:bCs w:val="0"/>
              <w:caps w:val="0"/>
              <w:noProof/>
              <w:kern w:val="0"/>
              <w:u w:val="none"/>
              <w:lang w:val="en-US"/>
              <w14:ligatures w14:val="none"/>
            </w:rPr>
          </w:pPr>
          <w:hyperlink w:anchor="_Toc151650917" w:history="1">
            <w:r w:rsidR="009475C8" w:rsidRPr="004966B9">
              <w:rPr>
                <w:rStyle w:val="Hyperlink"/>
                <w:noProof/>
              </w:rPr>
              <w:t>ANALYSIS</w:t>
            </w:r>
            <w:r w:rsidR="009475C8">
              <w:rPr>
                <w:noProof/>
                <w:webHidden/>
              </w:rPr>
              <w:tab/>
            </w:r>
            <w:r w:rsidR="009475C8">
              <w:rPr>
                <w:noProof/>
                <w:webHidden/>
              </w:rPr>
              <w:fldChar w:fldCharType="begin"/>
            </w:r>
            <w:r w:rsidR="009475C8">
              <w:rPr>
                <w:noProof/>
                <w:webHidden/>
              </w:rPr>
              <w:instrText xml:space="preserve"> PAGEREF _Toc151650917 \h </w:instrText>
            </w:r>
            <w:r w:rsidR="009475C8">
              <w:rPr>
                <w:noProof/>
                <w:webHidden/>
              </w:rPr>
            </w:r>
            <w:r w:rsidR="009475C8">
              <w:rPr>
                <w:noProof/>
                <w:webHidden/>
              </w:rPr>
              <w:fldChar w:fldCharType="separate"/>
            </w:r>
            <w:r w:rsidR="009475C8">
              <w:rPr>
                <w:noProof/>
                <w:webHidden/>
              </w:rPr>
              <w:t>6</w:t>
            </w:r>
            <w:r w:rsidR="009475C8">
              <w:rPr>
                <w:noProof/>
                <w:webHidden/>
              </w:rPr>
              <w:fldChar w:fldCharType="end"/>
            </w:r>
          </w:hyperlink>
        </w:p>
        <w:p w14:paraId="5FB0CE0E" w14:textId="08929EAE" w:rsidR="009475C8" w:rsidRDefault="004748E2">
          <w:pPr>
            <w:pStyle w:val="TOC1"/>
            <w:tabs>
              <w:tab w:val="right" w:leader="dot" w:pos="9016"/>
            </w:tabs>
            <w:rPr>
              <w:rFonts w:eastAsiaTheme="minorEastAsia" w:cstheme="minorBidi"/>
              <w:b w:val="0"/>
              <w:bCs w:val="0"/>
              <w:caps w:val="0"/>
              <w:noProof/>
              <w:kern w:val="0"/>
              <w:u w:val="none"/>
              <w:lang w:val="en-US"/>
              <w14:ligatures w14:val="none"/>
            </w:rPr>
          </w:pPr>
          <w:hyperlink w:anchor="_Toc151650918" w:history="1">
            <w:r w:rsidR="009475C8" w:rsidRPr="004966B9">
              <w:rPr>
                <w:rStyle w:val="Hyperlink"/>
                <w:noProof/>
              </w:rPr>
              <w:t>CONCLUSION</w:t>
            </w:r>
            <w:r w:rsidR="009475C8">
              <w:rPr>
                <w:noProof/>
                <w:webHidden/>
              </w:rPr>
              <w:tab/>
            </w:r>
            <w:r w:rsidR="009475C8">
              <w:rPr>
                <w:noProof/>
                <w:webHidden/>
              </w:rPr>
              <w:fldChar w:fldCharType="begin"/>
            </w:r>
            <w:r w:rsidR="009475C8">
              <w:rPr>
                <w:noProof/>
                <w:webHidden/>
              </w:rPr>
              <w:instrText xml:space="preserve"> PAGEREF _Toc151650918 \h </w:instrText>
            </w:r>
            <w:r w:rsidR="009475C8">
              <w:rPr>
                <w:noProof/>
                <w:webHidden/>
              </w:rPr>
            </w:r>
            <w:r w:rsidR="009475C8">
              <w:rPr>
                <w:noProof/>
                <w:webHidden/>
              </w:rPr>
              <w:fldChar w:fldCharType="separate"/>
            </w:r>
            <w:r w:rsidR="009475C8">
              <w:rPr>
                <w:noProof/>
                <w:webHidden/>
              </w:rPr>
              <w:t>8</w:t>
            </w:r>
            <w:r w:rsidR="009475C8">
              <w:rPr>
                <w:noProof/>
                <w:webHidden/>
              </w:rPr>
              <w:fldChar w:fldCharType="end"/>
            </w:r>
          </w:hyperlink>
        </w:p>
        <w:p w14:paraId="1CDDEA45" w14:textId="21AB6DB9" w:rsidR="009475C8" w:rsidRDefault="004748E2">
          <w:pPr>
            <w:pStyle w:val="TOC1"/>
            <w:tabs>
              <w:tab w:val="right" w:leader="dot" w:pos="9016"/>
            </w:tabs>
            <w:rPr>
              <w:rFonts w:eastAsiaTheme="minorEastAsia" w:cstheme="minorBidi"/>
              <w:b w:val="0"/>
              <w:bCs w:val="0"/>
              <w:caps w:val="0"/>
              <w:noProof/>
              <w:kern w:val="0"/>
              <w:u w:val="none"/>
              <w:lang w:val="en-US"/>
              <w14:ligatures w14:val="none"/>
            </w:rPr>
          </w:pPr>
          <w:hyperlink w:anchor="_Toc151650919" w:history="1">
            <w:r w:rsidR="009475C8" w:rsidRPr="004966B9">
              <w:rPr>
                <w:rStyle w:val="Hyperlink"/>
                <w:noProof/>
              </w:rPr>
              <w:t>REFERENCES-</w:t>
            </w:r>
            <w:r w:rsidR="009475C8">
              <w:rPr>
                <w:noProof/>
                <w:webHidden/>
              </w:rPr>
              <w:tab/>
            </w:r>
            <w:r w:rsidR="009475C8">
              <w:rPr>
                <w:noProof/>
                <w:webHidden/>
              </w:rPr>
              <w:fldChar w:fldCharType="begin"/>
            </w:r>
            <w:r w:rsidR="009475C8">
              <w:rPr>
                <w:noProof/>
                <w:webHidden/>
              </w:rPr>
              <w:instrText xml:space="preserve"> PAGEREF _Toc151650919 \h </w:instrText>
            </w:r>
            <w:r w:rsidR="009475C8">
              <w:rPr>
                <w:noProof/>
                <w:webHidden/>
              </w:rPr>
            </w:r>
            <w:r w:rsidR="009475C8">
              <w:rPr>
                <w:noProof/>
                <w:webHidden/>
              </w:rPr>
              <w:fldChar w:fldCharType="separate"/>
            </w:r>
            <w:r w:rsidR="009475C8">
              <w:rPr>
                <w:noProof/>
                <w:webHidden/>
              </w:rPr>
              <w:t>9</w:t>
            </w:r>
            <w:r w:rsidR="009475C8">
              <w:rPr>
                <w:noProof/>
                <w:webHidden/>
              </w:rPr>
              <w:fldChar w:fldCharType="end"/>
            </w:r>
          </w:hyperlink>
        </w:p>
        <w:p w14:paraId="4DF30B9E" w14:textId="08712439" w:rsidR="004F5EEC" w:rsidRDefault="004F5EEC">
          <w:r>
            <w:rPr>
              <w:b/>
              <w:bCs/>
              <w:noProof/>
            </w:rPr>
            <w:fldChar w:fldCharType="end"/>
          </w:r>
        </w:p>
      </w:sdtContent>
    </w:sdt>
    <w:p w14:paraId="00119274" w14:textId="77777777" w:rsidR="004F5EEC" w:rsidRDefault="004F5EEC">
      <w:pPr>
        <w:spacing w:after="0"/>
        <w:jc w:val="left"/>
        <w:rPr>
          <w:rFonts w:eastAsiaTheme="majorEastAsia" w:cstheme="majorBidi"/>
          <w:b/>
          <w:sz w:val="28"/>
          <w:szCs w:val="32"/>
        </w:rPr>
      </w:pPr>
      <w:r>
        <w:br w:type="page"/>
      </w:r>
    </w:p>
    <w:p w14:paraId="3D2C2EC1" w14:textId="77777777" w:rsidR="00C1294A" w:rsidRDefault="000B6F76" w:rsidP="00D06CCA">
      <w:pPr>
        <w:pStyle w:val="Heading1"/>
      </w:pPr>
      <w:bookmarkStart w:id="0" w:name="_Toc151650914"/>
      <w:r>
        <w:lastRenderedPageBreak/>
        <w:t>CASE SCENARIO</w:t>
      </w:r>
      <w:bookmarkEnd w:id="0"/>
      <w:r w:rsidR="009D4301">
        <w:t xml:space="preserve"> </w:t>
      </w:r>
    </w:p>
    <w:p w14:paraId="630A67F2" w14:textId="4EF6FD07" w:rsidR="003A6C7D" w:rsidRPr="003A6C7D" w:rsidRDefault="003A6C7D" w:rsidP="003A6C7D">
      <w:r w:rsidRPr="003A6C7D">
        <w:t xml:space="preserve">Carla and Jamie are </w:t>
      </w:r>
      <w:r w:rsidR="004748E2" w:rsidRPr="003A6C7D">
        <w:t>a married couple</w:t>
      </w:r>
      <w:r w:rsidRPr="003A6C7D">
        <w:t xml:space="preserve">, who have been married over the 15 years. They both are facing the martial problems. Carla had to face her husband Jamie about his viscous drinking and betrayal in a complex dilemma that can result for her being criminally liable. One evening, After, drinking Jamie being at intoxicated level, admits in front of her to that before some months she had a brief affair with Emma, a co-worker. </w:t>
      </w:r>
      <w:r w:rsidR="004748E2" w:rsidRPr="003A6C7D">
        <w:t>After</w:t>
      </w:r>
      <w:r w:rsidRPr="003A6C7D">
        <w:t xml:space="preserve"> this scenario they had tense disagreement and dispute, in which Carla stabs Jamie in the chest with a sharp object that too with a kitchen knife, wounding him seriously, Jamie suffers severe injuries when Carla, overwhelmed with grief and rage.</w:t>
      </w:r>
    </w:p>
    <w:p w14:paraId="2142A17B" w14:textId="77777777" w:rsidR="000B6F76" w:rsidRDefault="00674F07" w:rsidP="00C2121E">
      <w:r>
        <w:t>Moreover, for applying the</w:t>
      </w:r>
      <w:r w:rsidR="000B6F76">
        <w:t xml:space="preserve"> possible charges</w:t>
      </w:r>
      <w:r>
        <w:t xml:space="preserve"> on Carla</w:t>
      </w:r>
      <w:r w:rsidR="000B6F76">
        <w:t xml:space="preserve">, Carla </w:t>
      </w:r>
      <w:r>
        <w:t>can</w:t>
      </w:r>
      <w:r w:rsidR="000B6F76">
        <w:t xml:space="preserve"> be charged with attempted murder. Her </w:t>
      </w:r>
      <w:r w:rsidR="00FD760D">
        <w:t>emotive</w:t>
      </w:r>
      <w:r w:rsidR="000B6F76">
        <w:t xml:space="preserve"> </w:t>
      </w:r>
      <w:r w:rsidR="00FD760D">
        <w:t>state</w:t>
      </w:r>
      <w:r w:rsidR="000B6F76">
        <w:t xml:space="preserve"> at the time of the dispute and Jamie's </w:t>
      </w:r>
      <w:r w:rsidR="00FD760D">
        <w:t>admittance</w:t>
      </w:r>
      <w:r w:rsidR="000B6F76">
        <w:t xml:space="preserve"> of </w:t>
      </w:r>
      <w:r w:rsidR="00FD760D">
        <w:t>disloyalty</w:t>
      </w:r>
      <w:r w:rsidR="000B6F76">
        <w:t xml:space="preserve"> might be </w:t>
      </w:r>
      <w:r w:rsidR="00FD760D">
        <w:t>applicable</w:t>
      </w:r>
      <w:r w:rsidR="000B6F76">
        <w:t xml:space="preserve"> </w:t>
      </w:r>
      <w:r w:rsidR="00FD760D">
        <w:t>for</w:t>
      </w:r>
      <w:r w:rsidR="000B6F76">
        <w:t xml:space="preserve"> a </w:t>
      </w:r>
      <w:r w:rsidR="002E7408">
        <w:t>defence</w:t>
      </w:r>
      <w:r w:rsidR="000B6F76">
        <w:t xml:space="preserve"> of provocation, which </w:t>
      </w:r>
      <w:r w:rsidR="00FD760D">
        <w:t>can</w:t>
      </w:r>
      <w:r w:rsidR="000B6F76">
        <w:t xml:space="preserve"> </w:t>
      </w:r>
      <w:r w:rsidR="00FD760D">
        <w:t>ease</w:t>
      </w:r>
      <w:r w:rsidR="000B6F76">
        <w:t xml:space="preserve"> the charge from murder to manslaughter. Carla may also </w:t>
      </w:r>
      <w:r w:rsidR="00FD760D">
        <w:t>claim</w:t>
      </w:r>
      <w:r w:rsidR="000B6F76">
        <w:t xml:space="preserve"> </w:t>
      </w:r>
      <w:r w:rsidR="00FD760D">
        <w:t xml:space="preserve">for </w:t>
      </w:r>
      <w:r w:rsidR="002E7408">
        <w:t>self-defence</w:t>
      </w:r>
      <w:r w:rsidR="000B6F76">
        <w:t xml:space="preserve">, </w:t>
      </w:r>
      <w:r w:rsidR="00FD760D">
        <w:t>speaking</w:t>
      </w:r>
      <w:r w:rsidR="000B6F76">
        <w:t xml:space="preserve"> that she had a </w:t>
      </w:r>
      <w:r w:rsidR="00C2121E">
        <w:t>reasonable</w:t>
      </w:r>
      <w:r w:rsidR="000B6F76">
        <w:t xml:space="preserve"> belief that her acts were required to defend herself against Jamie's </w:t>
      </w:r>
      <w:r w:rsidR="00C2121E">
        <w:t>drunkenness</w:t>
      </w:r>
      <w:r w:rsidR="000B6F76">
        <w:t xml:space="preserve"> and </w:t>
      </w:r>
      <w:r w:rsidR="00C2121E">
        <w:t>belligerence</w:t>
      </w:r>
      <w:r w:rsidR="000B6F76">
        <w:t>.</w:t>
      </w:r>
      <w:r w:rsidR="00C2121E">
        <w:t xml:space="preserve"> For considering this</w:t>
      </w:r>
      <w:r w:rsidR="000B6F76">
        <w:t xml:space="preserve">, it </w:t>
      </w:r>
      <w:r w:rsidR="00C2121E">
        <w:t>is important to</w:t>
      </w:r>
      <w:r w:rsidR="000B6F76">
        <w:t xml:space="preserve"> consider the facts of the case, her </w:t>
      </w:r>
      <w:r w:rsidR="00C2121E">
        <w:t>emotive</w:t>
      </w:r>
      <w:r w:rsidR="000B6F76">
        <w:t xml:space="preserve"> condition, and Jamie's </w:t>
      </w:r>
      <w:r w:rsidR="00C2121E">
        <w:t>concession</w:t>
      </w:r>
      <w:r w:rsidR="000B6F76">
        <w:t>.</w:t>
      </w:r>
    </w:p>
    <w:p w14:paraId="1439BB1C" w14:textId="77777777" w:rsidR="004A10A6" w:rsidRDefault="004A10A6">
      <w:pPr>
        <w:spacing w:after="0"/>
        <w:jc w:val="left"/>
        <w:rPr>
          <w:b/>
          <w:bCs/>
        </w:rPr>
      </w:pPr>
    </w:p>
    <w:p w14:paraId="05CBE955" w14:textId="77777777" w:rsidR="004A10A6" w:rsidRDefault="004A10A6">
      <w:pPr>
        <w:spacing w:after="0"/>
        <w:jc w:val="left"/>
        <w:rPr>
          <w:b/>
          <w:bCs/>
        </w:rPr>
      </w:pPr>
    </w:p>
    <w:p w14:paraId="4BC51BA3" w14:textId="77777777" w:rsidR="009475C8" w:rsidRDefault="009475C8">
      <w:pPr>
        <w:spacing w:after="0" w:line="240" w:lineRule="auto"/>
        <w:jc w:val="left"/>
        <w:rPr>
          <w:rFonts w:eastAsiaTheme="majorEastAsia" w:cstheme="majorBidi"/>
          <w:b/>
          <w:sz w:val="28"/>
          <w:szCs w:val="32"/>
        </w:rPr>
      </w:pPr>
      <w:r>
        <w:br w:type="page"/>
      </w:r>
    </w:p>
    <w:p w14:paraId="7AC31248" w14:textId="42BF9BB4" w:rsidR="00D06CCA" w:rsidRDefault="00D06CCA" w:rsidP="00D06CCA">
      <w:pPr>
        <w:pStyle w:val="Heading1"/>
      </w:pPr>
      <w:bookmarkStart w:id="1" w:name="_Toc151650915"/>
      <w:r>
        <w:lastRenderedPageBreak/>
        <w:t>ISSUE:</w:t>
      </w:r>
      <w:bookmarkEnd w:id="1"/>
    </w:p>
    <w:p w14:paraId="7207E919" w14:textId="08D4501A" w:rsidR="009475C8" w:rsidRDefault="00D06CCA" w:rsidP="009475C8">
      <w:r>
        <w:t xml:space="preserve">As per case scenario, the issue of the case is </w:t>
      </w:r>
      <w:r w:rsidR="00E516E8">
        <w:t xml:space="preserve">that one of the </w:t>
      </w:r>
      <w:r w:rsidR="004748E2">
        <w:t>parties</w:t>
      </w:r>
      <w:r w:rsidR="00E516E8">
        <w:t xml:space="preserve"> is having the criminal liability, where in the intention of the allegation </w:t>
      </w:r>
      <w:r w:rsidR="004748E2">
        <w:t>must</w:t>
      </w:r>
      <w:r w:rsidR="00E516E8">
        <w:t xml:space="preserve"> be derived. </w:t>
      </w:r>
    </w:p>
    <w:p w14:paraId="4C628AE1" w14:textId="186654B6" w:rsidR="00C2121E" w:rsidRPr="009D56B3" w:rsidRDefault="00C2121E" w:rsidP="009475C8">
      <w:pPr>
        <w:pStyle w:val="Heading1"/>
      </w:pPr>
      <w:bookmarkStart w:id="2" w:name="_Toc151650916"/>
      <w:r w:rsidRPr="009D56B3">
        <w:t>LEGISLATION FOR THE CASE</w:t>
      </w:r>
      <w:bookmarkEnd w:id="2"/>
    </w:p>
    <w:p w14:paraId="169446C1" w14:textId="28CC8862" w:rsidR="00C2121E" w:rsidRPr="009475C8" w:rsidRDefault="00C2121E" w:rsidP="00C2121E">
      <w:pPr>
        <w:rPr>
          <w:b/>
          <w:bCs/>
        </w:rPr>
      </w:pPr>
      <w:r w:rsidRPr="009D56B3">
        <w:rPr>
          <w:b/>
          <w:bCs/>
        </w:rPr>
        <w:t>CRIMINAL LIABILITY-</w:t>
      </w:r>
    </w:p>
    <w:p w14:paraId="516B275D" w14:textId="77777777" w:rsidR="000B6F76" w:rsidRPr="001C14D3" w:rsidRDefault="00C2121E" w:rsidP="001C14D3">
      <w:pPr>
        <w:pStyle w:val="ListParagraph"/>
        <w:numPr>
          <w:ilvl w:val="0"/>
          <w:numId w:val="6"/>
        </w:numPr>
        <w:rPr>
          <w:b/>
          <w:bCs/>
        </w:rPr>
      </w:pPr>
      <w:r w:rsidRPr="001C14D3">
        <w:rPr>
          <w:b/>
          <w:bCs/>
        </w:rPr>
        <w:t xml:space="preserve">(contrary to s. 18, Offences Against the Person Act 1861) </w:t>
      </w:r>
      <w:r w:rsidR="009D56B3" w:rsidRPr="001C14D3">
        <w:rPr>
          <w:b/>
          <w:bCs/>
        </w:rPr>
        <w:t xml:space="preserve">attempting to murder </w:t>
      </w:r>
      <w:r w:rsidRPr="001C14D3">
        <w:rPr>
          <w:b/>
          <w:bCs/>
        </w:rPr>
        <w:t xml:space="preserve">along with inflicting grievous bodily harm (contrary to s. 20) </w:t>
      </w:r>
    </w:p>
    <w:p w14:paraId="16D1FF0B" w14:textId="0D63BDB8" w:rsidR="009D56B3" w:rsidRDefault="009D56B3" w:rsidP="009D56B3">
      <w:pPr>
        <w:pStyle w:val="ListParagraph"/>
        <w:ind w:left="360"/>
      </w:pPr>
      <w:r>
        <w:t xml:space="preserve">The act </w:t>
      </w:r>
      <w:r w:rsidR="00A77AFD">
        <w:t>covers the crime of the attempting to murder along with Grievous bodily harm (GBH)</w:t>
      </w:r>
      <w:r w:rsidR="00E13742" w:rsidRPr="00E13742">
        <w:t xml:space="preserve"> (legislation.gov.uk, 2023)</w:t>
      </w:r>
      <w:r w:rsidR="00A77AFD">
        <w:t xml:space="preserve">. This act covers the laws related to the crime of </w:t>
      </w:r>
      <w:r w:rsidR="004748E2">
        <w:t>the</w:t>
      </w:r>
      <w:r w:rsidR="00A77AFD">
        <w:t xml:space="preserve"> manslaughter, and crime of GBH. The act states about the penalties of these crime. </w:t>
      </w:r>
    </w:p>
    <w:p w14:paraId="1131FDD3" w14:textId="77777777" w:rsidR="00A77AFD" w:rsidRDefault="00A77AFD" w:rsidP="00A77AFD">
      <w:r>
        <w:t xml:space="preserve">           1-Burglary- </w:t>
      </w:r>
      <w:r w:rsidRPr="00584487">
        <w:rPr>
          <w:b/>
        </w:rPr>
        <w:t>Burglary contrary to s 9(1)(a)</w:t>
      </w:r>
      <w:r w:rsidR="00CC14B3" w:rsidRPr="00584487">
        <w:rPr>
          <w:b/>
        </w:rPr>
        <w:t xml:space="preserve"> </w:t>
      </w:r>
      <w:r w:rsidRPr="00584487">
        <w:rPr>
          <w:b/>
        </w:rPr>
        <w:t>TA 1968</w:t>
      </w:r>
      <w:r w:rsidR="00302091">
        <w:t xml:space="preserve"> -</w:t>
      </w:r>
      <w:r>
        <w:t>Burglary takes place when someone arrives a structure or a portion of one with the intention of committin</w:t>
      </w:r>
      <w:r w:rsidR="00220833">
        <w:t>g any of the crime as mentioned</w:t>
      </w:r>
      <w:r>
        <w:t xml:space="preserve"> below</w:t>
      </w:r>
      <w:r w:rsidR="00580BD6">
        <w:t>-</w:t>
      </w:r>
    </w:p>
    <w:p w14:paraId="45E33D4D" w14:textId="77777777" w:rsidR="00A77AFD" w:rsidRDefault="00580BD6" w:rsidP="00580BD6">
      <w:pPr>
        <w:pStyle w:val="ListParagraph"/>
        <w:numPr>
          <w:ilvl w:val="2"/>
          <w:numId w:val="4"/>
        </w:numPr>
      </w:pPr>
      <w:r>
        <w:t>pilfering</w:t>
      </w:r>
      <w:r w:rsidR="00A77AFD">
        <w:t xml:space="preserve"> something from within or outside of a building</w:t>
      </w:r>
    </w:p>
    <w:p w14:paraId="39B38EE9" w14:textId="77777777" w:rsidR="00A77AFD" w:rsidRDefault="00580BD6" w:rsidP="00580BD6">
      <w:pPr>
        <w:pStyle w:val="ListParagraph"/>
        <w:numPr>
          <w:ilvl w:val="2"/>
          <w:numId w:val="4"/>
        </w:numPr>
      </w:pPr>
      <w:r>
        <w:t>dispensing</w:t>
      </w:r>
      <w:r w:rsidR="00A77AFD">
        <w:t xml:space="preserve"> GBH to any person or individual within</w:t>
      </w:r>
    </w:p>
    <w:p w14:paraId="387E559D" w14:textId="77777777" w:rsidR="00A77AFD" w:rsidRDefault="00580BD6" w:rsidP="00580BD6">
      <w:pPr>
        <w:pStyle w:val="ListParagraph"/>
        <w:numPr>
          <w:ilvl w:val="2"/>
          <w:numId w:val="4"/>
        </w:numPr>
      </w:pPr>
      <w:r>
        <w:t>causation</w:t>
      </w:r>
      <w:r w:rsidR="00A77AFD">
        <w:t xml:space="preserve"> any kind of </w:t>
      </w:r>
      <w:r>
        <w:t>illegitimate</w:t>
      </w:r>
      <w:r w:rsidR="00A77AFD">
        <w:t xml:space="preserve"> harm to the building or its contents</w:t>
      </w:r>
    </w:p>
    <w:p w14:paraId="61A74120" w14:textId="77777777" w:rsidR="00580BD6" w:rsidRDefault="00580BD6" w:rsidP="00580BD6">
      <w:pPr>
        <w:ind w:left="360"/>
      </w:pPr>
      <w:r>
        <w:t xml:space="preserve">     1.1-Burglary – MENS REA</w:t>
      </w:r>
    </w:p>
    <w:p w14:paraId="687A4157" w14:textId="7F05B2A4" w:rsidR="00580BD6" w:rsidRDefault="00580BD6" w:rsidP="00580BD6">
      <w:pPr>
        <w:pStyle w:val="ListParagraph"/>
        <w:numPr>
          <w:ilvl w:val="3"/>
          <w:numId w:val="5"/>
        </w:numPr>
      </w:pPr>
      <w:r>
        <w:t xml:space="preserve">Being uncaring or aware that he was </w:t>
      </w:r>
      <w:r w:rsidR="004748E2">
        <w:t>trespasser.</w:t>
      </w:r>
    </w:p>
    <w:p w14:paraId="352982D8" w14:textId="5E62C7AD" w:rsidR="00580BD6" w:rsidRDefault="00580BD6" w:rsidP="00580BD6">
      <w:pPr>
        <w:pStyle w:val="ListParagraph"/>
        <w:numPr>
          <w:ilvl w:val="3"/>
          <w:numId w:val="5"/>
        </w:numPr>
      </w:pPr>
      <w:r>
        <w:t xml:space="preserve">Being inconsiderate or aware that the building it was or being </w:t>
      </w:r>
      <w:r w:rsidR="004748E2">
        <w:t>reckless.</w:t>
      </w:r>
    </w:p>
    <w:p w14:paraId="148D62F3" w14:textId="19BA0305" w:rsidR="00580BD6" w:rsidRPr="00A77AFD" w:rsidRDefault="00580BD6" w:rsidP="00580BD6">
      <w:pPr>
        <w:pStyle w:val="ListParagraph"/>
        <w:numPr>
          <w:ilvl w:val="3"/>
          <w:numId w:val="5"/>
        </w:numPr>
      </w:pPr>
      <w:r>
        <w:t>With the intention of raiding, causing GBH, or damaging the property or whatsoever inside illegitimately</w:t>
      </w:r>
      <w:r w:rsidR="004748E2">
        <w:t xml:space="preserve">. </w:t>
      </w:r>
    </w:p>
    <w:p w14:paraId="0F19CCE3" w14:textId="77777777" w:rsidR="00A77AFD" w:rsidRPr="009D56B3" w:rsidRDefault="00A77AFD" w:rsidP="00A77AFD"/>
    <w:p w14:paraId="6BD5D450" w14:textId="77777777" w:rsidR="00521ECC" w:rsidRDefault="00580BD6">
      <w:pPr>
        <w:spacing w:after="0"/>
        <w:jc w:val="left"/>
      </w:pPr>
      <w:r w:rsidRPr="00FD3879">
        <w:rPr>
          <w:b/>
          <w:bCs/>
        </w:rPr>
        <w:t>2.</w:t>
      </w:r>
      <w:r>
        <w:t xml:space="preserve"> </w:t>
      </w:r>
      <w:r w:rsidR="001C14D3">
        <w:t xml:space="preserve"> </w:t>
      </w:r>
      <w:r w:rsidR="00521ECC" w:rsidRPr="00521ECC">
        <w:rPr>
          <w:b/>
          <w:bCs/>
        </w:rPr>
        <w:t xml:space="preserve">The 2009 </w:t>
      </w:r>
      <w:r w:rsidR="00FD3879">
        <w:rPr>
          <w:b/>
          <w:bCs/>
        </w:rPr>
        <w:t>Co</w:t>
      </w:r>
      <w:r w:rsidR="00521ECC" w:rsidRPr="00521ECC">
        <w:rPr>
          <w:b/>
          <w:bCs/>
        </w:rPr>
        <w:t>roners and Justice Act</w:t>
      </w:r>
      <w:r w:rsidR="00521ECC" w:rsidRPr="00521ECC">
        <w:t xml:space="preserve">: - </w:t>
      </w:r>
      <w:r w:rsidR="00521ECC" w:rsidRPr="00521ECC">
        <w:rPr>
          <w:b/>
          <w:bCs/>
        </w:rPr>
        <w:t>Defence of Loss of Control</w:t>
      </w:r>
      <w:r w:rsidR="00521ECC" w:rsidRPr="00521ECC">
        <w:t xml:space="preserve">:  </w:t>
      </w:r>
    </w:p>
    <w:p w14:paraId="053EF594" w14:textId="77777777" w:rsidR="000B6F76" w:rsidRDefault="00521ECC">
      <w:pPr>
        <w:spacing w:after="0"/>
        <w:jc w:val="left"/>
      </w:pPr>
      <w:r w:rsidRPr="00521ECC">
        <w:t xml:space="preserve">This Act recognised </w:t>
      </w:r>
      <w:r>
        <w:t xml:space="preserve">  </w:t>
      </w:r>
      <w:r w:rsidRPr="00521ECC">
        <w:t>the "loss of control" partial defence to murder.</w:t>
      </w:r>
      <w:r>
        <w:t xml:space="preserve"> There are </w:t>
      </w:r>
      <w:r w:rsidRPr="00521ECC">
        <w:t>Certain</w:t>
      </w:r>
      <w:r>
        <w:t xml:space="preserve">   conditions that </w:t>
      </w:r>
      <w:r w:rsidRPr="00521ECC">
        <w:t xml:space="preserve">must be </w:t>
      </w:r>
      <w:r>
        <w:t>fulfil</w:t>
      </w:r>
      <w:r w:rsidRPr="00521ECC">
        <w:t xml:space="preserve"> in order for this defence to be relevant, such as classifying the "qualifying trigger" that </w:t>
      </w:r>
      <w:r>
        <w:t>lead</w:t>
      </w:r>
      <w:r w:rsidRPr="00521ECC">
        <w:t xml:space="preserve"> in the loss of control that </w:t>
      </w:r>
      <w:r>
        <w:t>cause</w:t>
      </w:r>
      <w:r w:rsidRPr="00521ECC">
        <w:t xml:space="preserve"> </w:t>
      </w:r>
      <w:r>
        <w:t xml:space="preserve">for </w:t>
      </w:r>
      <w:r w:rsidRPr="00521ECC">
        <w:t>the</w:t>
      </w:r>
      <w:r>
        <w:t xml:space="preserve"> happening of the </w:t>
      </w:r>
      <w:r w:rsidRPr="00521ECC">
        <w:t>offense.</w:t>
      </w:r>
      <w:r>
        <w:t xml:space="preserve"> It covers </w:t>
      </w:r>
      <w:r>
        <w:rPr>
          <w:color w:val="000000"/>
        </w:rPr>
        <w:t>Partial defences to murder: loss of control and diminished responsibility; and infanticide: It covers some of the likes Sections 52, and 54 to 57 of the Coroners and Justice Act</w:t>
      </w:r>
      <w:r w:rsidRPr="00521ECC">
        <w:rPr>
          <w:color w:val="000000"/>
        </w:rPr>
        <w:t xml:space="preserve"> </w:t>
      </w:r>
      <w:r>
        <w:rPr>
          <w:color w:val="000000"/>
        </w:rPr>
        <w:t xml:space="preserve">(justicee.gov.uk ,2023). </w:t>
      </w:r>
    </w:p>
    <w:p w14:paraId="5B5FF3A0" w14:textId="77777777" w:rsidR="00580BD6" w:rsidRDefault="00FD3879">
      <w:pPr>
        <w:spacing w:after="0"/>
        <w:jc w:val="left"/>
      </w:pPr>
      <w:r>
        <w:lastRenderedPageBreak/>
        <w:t xml:space="preserve">      </w:t>
      </w:r>
    </w:p>
    <w:p w14:paraId="0B121832" w14:textId="77777777" w:rsidR="00FD3879" w:rsidRDefault="00FD3879">
      <w:pPr>
        <w:spacing w:after="0"/>
        <w:jc w:val="left"/>
      </w:pPr>
    </w:p>
    <w:p w14:paraId="5036EC30" w14:textId="77777777" w:rsidR="00BF2727" w:rsidRDefault="00FD3879">
      <w:pPr>
        <w:spacing w:after="0"/>
        <w:jc w:val="left"/>
      </w:pPr>
      <w:r>
        <w:t xml:space="preserve">3. </w:t>
      </w:r>
      <w:r w:rsidRPr="00FD3879">
        <w:rPr>
          <w:b/>
          <w:bCs/>
        </w:rPr>
        <w:t>Homicide Act of 1957: - defence of Diminished Responsibility</w:t>
      </w:r>
    </w:p>
    <w:p w14:paraId="660FC5DA" w14:textId="7B490791" w:rsidR="00FD3879" w:rsidRDefault="00FD3879">
      <w:pPr>
        <w:spacing w:after="0"/>
        <w:jc w:val="left"/>
      </w:pPr>
      <w:r w:rsidRPr="00FD3879">
        <w:t>The def</w:t>
      </w:r>
      <w:r>
        <w:t>ence</w:t>
      </w:r>
      <w:r w:rsidRPr="00FD3879">
        <w:t xml:space="preserve"> of reduced blame in homicide cases is explained in this Act. If the alleged can establish that a standard mental health illness ominously reduced their competence to accept accountability for their acts, </w:t>
      </w:r>
      <w:r w:rsidR="004748E2" w:rsidRPr="00FD3879">
        <w:t>its</w:t>
      </w:r>
      <w:r w:rsidRPr="00FD3879">
        <w:t xml:space="preserve"> authorities </w:t>
      </w:r>
      <w:r>
        <w:t xml:space="preserve">to be </w:t>
      </w:r>
      <w:r w:rsidRPr="00FD3879">
        <w:t>partial defence</w:t>
      </w:r>
      <w:r w:rsidR="005D371F">
        <w:t xml:space="preserve"> (legislation.gov.uk 2023).</w:t>
      </w:r>
    </w:p>
    <w:p w14:paraId="062622ED" w14:textId="77777777" w:rsidR="00FD3879" w:rsidRDefault="00FD3879">
      <w:pPr>
        <w:spacing w:after="0"/>
        <w:jc w:val="left"/>
      </w:pPr>
    </w:p>
    <w:p w14:paraId="001692B4" w14:textId="77777777" w:rsidR="00ED6899" w:rsidRDefault="00ED6899">
      <w:pPr>
        <w:spacing w:after="0"/>
        <w:jc w:val="left"/>
      </w:pPr>
    </w:p>
    <w:p w14:paraId="7D06A422" w14:textId="77777777" w:rsidR="004F5EEC" w:rsidRDefault="004F5EEC">
      <w:pPr>
        <w:spacing w:after="0"/>
        <w:jc w:val="left"/>
      </w:pPr>
    </w:p>
    <w:p w14:paraId="02D394A8" w14:textId="77777777" w:rsidR="004F5EEC" w:rsidRDefault="004F5EEC">
      <w:pPr>
        <w:spacing w:after="0"/>
        <w:jc w:val="left"/>
      </w:pPr>
    </w:p>
    <w:p w14:paraId="09FAAC4E" w14:textId="77777777" w:rsidR="004F5EEC" w:rsidRDefault="004F5EEC">
      <w:pPr>
        <w:spacing w:after="0"/>
        <w:jc w:val="left"/>
      </w:pPr>
    </w:p>
    <w:p w14:paraId="70B0D373" w14:textId="77777777" w:rsidR="004F5EEC" w:rsidRDefault="004F5EEC">
      <w:pPr>
        <w:spacing w:after="0"/>
        <w:jc w:val="left"/>
      </w:pPr>
    </w:p>
    <w:p w14:paraId="4AACCC91" w14:textId="77777777" w:rsidR="004F5EEC" w:rsidRDefault="004F5EEC">
      <w:pPr>
        <w:spacing w:after="0"/>
        <w:jc w:val="left"/>
      </w:pPr>
    </w:p>
    <w:p w14:paraId="0B1FF17A" w14:textId="77777777" w:rsidR="009475C8" w:rsidRDefault="009475C8">
      <w:pPr>
        <w:spacing w:after="0" w:line="240" w:lineRule="auto"/>
        <w:jc w:val="left"/>
        <w:rPr>
          <w:rFonts w:eastAsiaTheme="majorEastAsia" w:cstheme="majorBidi"/>
          <w:b/>
          <w:sz w:val="28"/>
          <w:szCs w:val="32"/>
        </w:rPr>
      </w:pPr>
      <w:r>
        <w:br w:type="page"/>
      </w:r>
    </w:p>
    <w:p w14:paraId="6230B3A9" w14:textId="4998EF44" w:rsidR="009D56B3" w:rsidRDefault="00ED6899" w:rsidP="00ED6899">
      <w:pPr>
        <w:pStyle w:val="Heading1"/>
      </w:pPr>
      <w:bookmarkStart w:id="3" w:name="_Toc151650917"/>
      <w:r>
        <w:lastRenderedPageBreak/>
        <w:t>ANALYSIS</w:t>
      </w:r>
      <w:bookmarkEnd w:id="3"/>
    </w:p>
    <w:p w14:paraId="01694433" w14:textId="77777777" w:rsidR="00ED6899" w:rsidRDefault="00ED6899" w:rsidP="00ED6899">
      <w:r>
        <w:t>This analysis will cover the connection of the legislation with adherence to the Carla’s case, with case laws</w:t>
      </w:r>
      <w:r w:rsidR="00B12765">
        <w:t xml:space="preserve">. </w:t>
      </w:r>
    </w:p>
    <w:p w14:paraId="3E69F7EC" w14:textId="420C141E" w:rsidR="00B12765" w:rsidRDefault="00B12765" w:rsidP="001920B5">
      <w:pPr>
        <w:ind w:left="720" w:hanging="720"/>
      </w:pPr>
      <w:r>
        <w:t>In adher</w:t>
      </w:r>
      <w:r w:rsidR="003012FF">
        <w:t>e</w:t>
      </w:r>
      <w:r>
        <w:t xml:space="preserve">nce to </w:t>
      </w:r>
      <w:r w:rsidRPr="001920B5">
        <w:rPr>
          <w:b/>
          <w:bCs/>
          <w:i/>
          <w:iCs/>
        </w:rPr>
        <w:t>Section 18</w:t>
      </w:r>
      <w:r>
        <w:t xml:space="preserve"> </w:t>
      </w:r>
      <w:r w:rsidR="003012FF">
        <w:t xml:space="preserve">of </w:t>
      </w:r>
      <w:r w:rsidR="003012FF" w:rsidRPr="00444228">
        <w:rPr>
          <w:b/>
          <w:bCs/>
          <w:i/>
          <w:iCs/>
        </w:rPr>
        <w:t>Offences</w:t>
      </w:r>
      <w:r w:rsidRPr="00444228">
        <w:rPr>
          <w:b/>
          <w:bCs/>
          <w:i/>
          <w:iCs/>
        </w:rPr>
        <w:t xml:space="preserve"> Against the Person Act 1861</w:t>
      </w:r>
      <w:r>
        <w:t xml:space="preserve">: Carla's acts, </w:t>
      </w:r>
      <w:r w:rsidR="003012FF">
        <w:t>specifically</w:t>
      </w:r>
      <w:r>
        <w:t xml:space="preserve"> the stabbing of Jamie and the </w:t>
      </w:r>
      <w:r w:rsidR="003012FF">
        <w:t>causing</w:t>
      </w:r>
      <w:r>
        <w:t xml:space="preserve"> </w:t>
      </w:r>
      <w:r w:rsidR="003012FF">
        <w:t>major</w:t>
      </w:r>
      <w:r>
        <w:t xml:space="preserve"> injuries, </w:t>
      </w:r>
      <w:r w:rsidR="003012FF">
        <w:t>can</w:t>
      </w:r>
      <w:r>
        <w:t xml:space="preserve"> be considered </w:t>
      </w:r>
      <w:r w:rsidR="003012FF">
        <w:t>as an offence</w:t>
      </w:r>
      <w:r>
        <w:t xml:space="preserve"> under </w:t>
      </w:r>
      <w:r w:rsidR="003012FF">
        <w:t>t</w:t>
      </w:r>
      <w:r>
        <w:t xml:space="preserve">his section. </w:t>
      </w:r>
      <w:r w:rsidR="003012FF">
        <w:t>Also, offences like a</w:t>
      </w:r>
      <w:r>
        <w:t xml:space="preserve">ttempts to kill and </w:t>
      </w:r>
      <w:r w:rsidR="003012FF">
        <w:t xml:space="preserve">to </w:t>
      </w:r>
      <w:r>
        <w:t xml:space="preserve">cause grievous bodily harm (GBH) are covered </w:t>
      </w:r>
      <w:r w:rsidR="003012FF">
        <w:t>under</w:t>
      </w:r>
      <w:r>
        <w:t xml:space="preserve"> this section. The prosecution </w:t>
      </w:r>
      <w:r w:rsidR="003012FF">
        <w:t>can</w:t>
      </w:r>
      <w:r>
        <w:t xml:space="preserve"> demonstrate Carla's </w:t>
      </w:r>
      <w:r w:rsidR="003012FF">
        <w:t>cautious</w:t>
      </w:r>
      <w:r>
        <w:t xml:space="preserve"> intent to kill Jamie or </w:t>
      </w:r>
      <w:r w:rsidR="003012FF">
        <w:t>cause</w:t>
      </w:r>
      <w:r>
        <w:t xml:space="preserve"> him great bodily injury </w:t>
      </w:r>
      <w:r w:rsidR="004748E2">
        <w:t>to</w:t>
      </w:r>
      <w:r>
        <w:t xml:space="preserve"> establish section 18</w:t>
      </w:r>
      <w:r w:rsidR="001920B5">
        <w:t xml:space="preserve"> (legislation.gov.uk 2023).</w:t>
      </w:r>
    </w:p>
    <w:p w14:paraId="0258F6B3" w14:textId="34D45B32" w:rsidR="00B12765" w:rsidRPr="008F2F50" w:rsidRDefault="00830987" w:rsidP="003012FF">
      <w:pPr>
        <w:rPr>
          <w:b/>
          <w:bCs/>
        </w:rPr>
      </w:pPr>
      <w:r>
        <w:t>Defence</w:t>
      </w:r>
      <w:r w:rsidR="003012FF">
        <w:t xml:space="preserve"> of Loss of Control under the 2009 Coroners and Justice Act:</w:t>
      </w:r>
      <w:r>
        <w:t xml:space="preserve"> </w:t>
      </w:r>
      <w:r w:rsidR="003012FF">
        <w:t xml:space="preserve">The defence of loss of control was </w:t>
      </w:r>
      <w:r>
        <w:t>recognised</w:t>
      </w:r>
      <w:r w:rsidR="003012FF">
        <w:t xml:space="preserve"> by the Coroners and Justice Act of 2009. Carla </w:t>
      </w:r>
      <w:r>
        <w:t>can</w:t>
      </w:r>
      <w:r w:rsidR="003012FF">
        <w:t xml:space="preserve"> raise this argument, </w:t>
      </w:r>
      <w:r>
        <w:t xml:space="preserve">by </w:t>
      </w:r>
      <w:r w:rsidR="003012FF">
        <w:t xml:space="preserve">arguing that Jamie's </w:t>
      </w:r>
      <w:r>
        <w:t>revelation</w:t>
      </w:r>
      <w:r w:rsidR="003012FF">
        <w:t xml:space="preserve"> and their continued marital </w:t>
      </w:r>
      <w:r>
        <w:t>difficulties</w:t>
      </w:r>
      <w:r w:rsidR="003012FF">
        <w:t xml:space="preserve"> made her lose her </w:t>
      </w:r>
      <w:r>
        <w:t>self-control</w:t>
      </w:r>
      <w:r w:rsidR="003012FF">
        <w:t xml:space="preserve"> and resulted in the stabbing. Carla </w:t>
      </w:r>
      <w:r>
        <w:t>needs to</w:t>
      </w:r>
      <w:r w:rsidR="003012FF">
        <w:t xml:space="preserve"> demonstrate a "qualifying trigger" that </w:t>
      </w:r>
      <w:r>
        <w:t>added</w:t>
      </w:r>
      <w:r w:rsidR="003012FF">
        <w:t xml:space="preserve"> to her loss of control </w:t>
      </w:r>
      <w:r w:rsidR="004748E2">
        <w:t>for</w:t>
      </w:r>
      <w:r w:rsidR="003012FF">
        <w:t xml:space="preserve"> this </w:t>
      </w:r>
      <w:r>
        <w:t>case</w:t>
      </w:r>
      <w:r w:rsidR="003012FF">
        <w:t xml:space="preserve"> to be successful</w:t>
      </w:r>
      <w:r>
        <w:t xml:space="preserve">. This scenario can be supported by </w:t>
      </w:r>
      <w:r w:rsidR="003012FF">
        <w:t xml:space="preserve">case laws such as </w:t>
      </w:r>
      <w:r w:rsidR="004B5D4F" w:rsidRPr="008F2F50">
        <w:rPr>
          <w:b/>
          <w:bCs/>
        </w:rPr>
        <w:t>R v Clinton [2012] 2 All ER 947; [2012] 1 Cr App R 26; [2012] 3 WLR 515; [2012] Crim LR 539; [2013] QB 1; [2012] EWCA Crim 2</w:t>
      </w:r>
      <w:r w:rsidR="007C7E34" w:rsidRPr="008F2F50">
        <w:rPr>
          <w:b/>
          <w:bCs/>
        </w:rPr>
        <w:t>.</w:t>
      </w:r>
    </w:p>
    <w:p w14:paraId="29FCE76D" w14:textId="1D7CA243" w:rsidR="00830987" w:rsidRDefault="00830987" w:rsidP="003012FF">
      <w:r w:rsidRPr="00830987">
        <w:t xml:space="preserve">Homicide Act of 1957 - </w:t>
      </w:r>
      <w:r>
        <w:t>D</w:t>
      </w:r>
      <w:r w:rsidRPr="00830987">
        <w:t xml:space="preserve">efence of Diminished Responsibility: Carla may </w:t>
      </w:r>
      <w:r w:rsidR="004B5D4F">
        <w:t xml:space="preserve">can use </w:t>
      </w:r>
      <w:r w:rsidRPr="00830987">
        <w:t xml:space="preserve">the Homicide Act of 1957 </w:t>
      </w:r>
      <w:r w:rsidR="004B5D4F">
        <w:t xml:space="preserve">for </w:t>
      </w:r>
      <w:r w:rsidRPr="00830987">
        <w:t xml:space="preserve">defence. </w:t>
      </w:r>
      <w:r w:rsidR="004B5D4F" w:rsidRPr="00830987">
        <w:t>Verification</w:t>
      </w:r>
      <w:r w:rsidRPr="00830987">
        <w:t xml:space="preserve"> of a </w:t>
      </w:r>
      <w:r w:rsidR="004B5D4F" w:rsidRPr="00830987">
        <w:t>recognisable</w:t>
      </w:r>
      <w:r w:rsidRPr="00830987">
        <w:t xml:space="preserve"> mental health problem </w:t>
      </w:r>
      <w:r w:rsidR="004748E2" w:rsidRPr="00830987">
        <w:t>ruining</w:t>
      </w:r>
      <w:r w:rsidRPr="00830987">
        <w:t xml:space="preserve"> the defendant's </w:t>
      </w:r>
      <w:r w:rsidR="004B5D4F" w:rsidRPr="00830987">
        <w:t>power</w:t>
      </w:r>
      <w:r w:rsidRPr="00830987">
        <w:t xml:space="preserve"> to take </w:t>
      </w:r>
      <w:r w:rsidR="004B5D4F" w:rsidRPr="00830987">
        <w:t>accountability</w:t>
      </w:r>
      <w:r w:rsidRPr="00830987">
        <w:t xml:space="preserve"> for her </w:t>
      </w:r>
      <w:r w:rsidR="004B5D4F" w:rsidRPr="00830987">
        <w:t>actions</w:t>
      </w:r>
      <w:r w:rsidRPr="00830987">
        <w:t xml:space="preserve"> at the time of the offense</w:t>
      </w:r>
      <w:r w:rsidR="004B5D4F">
        <w:t xml:space="preserve">, this condition </w:t>
      </w:r>
      <w:r w:rsidRPr="00830987">
        <w:t xml:space="preserve">is required for this defence. </w:t>
      </w:r>
      <w:r w:rsidR="004B5D4F">
        <w:t xml:space="preserve">In the case of </w:t>
      </w:r>
      <w:r w:rsidR="004B5D4F" w:rsidRPr="008F2F50">
        <w:rPr>
          <w:b/>
          <w:bCs/>
        </w:rPr>
        <w:t>R v Byrne [1960] 2 QB 396</w:t>
      </w:r>
      <w:r w:rsidR="004B5D4F">
        <w:t>,</w:t>
      </w:r>
      <w:r w:rsidR="007C7E34">
        <w:t xml:space="preserve"> </w:t>
      </w:r>
      <w:r w:rsidR="004B5D4F" w:rsidRPr="00830987">
        <w:t>between</w:t>
      </w:r>
      <w:r w:rsidRPr="00830987">
        <w:t xml:space="preserve"> other case law, offers </w:t>
      </w:r>
      <w:r w:rsidR="004B5D4F" w:rsidRPr="00830987">
        <w:t>advice</w:t>
      </w:r>
      <w:r w:rsidRPr="00830987">
        <w:t xml:space="preserve"> on the standards for </w:t>
      </w:r>
      <w:r w:rsidR="004B5D4F" w:rsidRPr="00830987">
        <w:t>deciding</w:t>
      </w:r>
      <w:r w:rsidRPr="00830987">
        <w:t xml:space="preserve"> the type and degree of mental disability required for this </w:t>
      </w:r>
      <w:r>
        <w:t>d</w:t>
      </w:r>
      <w:r w:rsidRPr="00830987">
        <w:t>efence.</w:t>
      </w:r>
    </w:p>
    <w:p w14:paraId="6647157E" w14:textId="77777777" w:rsidR="007C7E34" w:rsidRDefault="007C7E34" w:rsidP="003012FF">
      <w:r>
        <w:t xml:space="preserve">Analysis of relevant case laws- </w:t>
      </w:r>
    </w:p>
    <w:p w14:paraId="50106BE6" w14:textId="0D40020B" w:rsidR="007C7E34" w:rsidRPr="008F2F50" w:rsidRDefault="008F2F50" w:rsidP="007C7E34">
      <w:pPr>
        <w:rPr>
          <w:szCs w:val="48"/>
          <w:lang w:val="en-IN"/>
        </w:rPr>
      </w:pPr>
      <w:r w:rsidRPr="008F2F50">
        <w:rPr>
          <w:b/>
          <w:bCs/>
        </w:rPr>
        <w:t>R v Tandy [1989] 1 WLR 350</w:t>
      </w:r>
      <w:r>
        <w:rPr>
          <w:szCs w:val="48"/>
          <w:lang w:val="en-IN"/>
        </w:rPr>
        <w:t xml:space="preserve">-- </w:t>
      </w:r>
      <w:r w:rsidR="007C7E34">
        <w:t xml:space="preserve">The </w:t>
      </w:r>
      <w:r>
        <w:t>importance</w:t>
      </w:r>
      <w:r w:rsidR="007C7E34">
        <w:t xml:space="preserve"> of proportionality in self-defence instances was highlighted </w:t>
      </w:r>
      <w:r>
        <w:t>through</w:t>
      </w:r>
      <w:r w:rsidR="007C7E34">
        <w:t xml:space="preserve"> this case. It made </w:t>
      </w:r>
      <w:r>
        <w:t>unblemished</w:t>
      </w:r>
      <w:r w:rsidR="007C7E34">
        <w:t xml:space="preserve"> that using force in self-defence </w:t>
      </w:r>
      <w:r w:rsidR="004748E2">
        <w:t>should</w:t>
      </w:r>
      <w:r w:rsidR="007C7E34">
        <w:t xml:space="preserve"> be </w:t>
      </w:r>
      <w:r>
        <w:t>suitable</w:t>
      </w:r>
      <w:r w:rsidR="007C7E34">
        <w:t xml:space="preserve"> and in line with the </w:t>
      </w:r>
      <w:r>
        <w:t>apparent</w:t>
      </w:r>
      <w:r w:rsidR="007C7E34">
        <w:t xml:space="preserve"> </w:t>
      </w:r>
      <w:r>
        <w:t>danger</w:t>
      </w:r>
      <w:r w:rsidR="007C7E34">
        <w:t>. Regarding Carla</w:t>
      </w:r>
      <w:r>
        <w:t xml:space="preserve"> case</w:t>
      </w:r>
      <w:r w:rsidR="007C7E34">
        <w:t xml:space="preserve">, this could affect </w:t>
      </w:r>
      <w:r>
        <w:t>in what way</w:t>
      </w:r>
      <w:r w:rsidR="007C7E34">
        <w:t xml:space="preserve"> her self-defence claim is </w:t>
      </w:r>
      <w:r>
        <w:t>assessed</w:t>
      </w:r>
      <w:r w:rsidR="007C7E34">
        <w:t>.</w:t>
      </w:r>
    </w:p>
    <w:p w14:paraId="21082A54" w14:textId="77777777" w:rsidR="007C7E34" w:rsidRPr="00ED6899" w:rsidRDefault="008F2F50" w:rsidP="007C7E34">
      <w:r w:rsidRPr="008F2F50">
        <w:rPr>
          <w:b/>
          <w:bCs/>
        </w:rPr>
        <w:t>R v. AHLUWALIA [1992] 4 All ER 889</w:t>
      </w:r>
      <w:r w:rsidR="007C7E34" w:rsidRPr="008F2F50">
        <w:rPr>
          <w:b/>
          <w:bCs/>
        </w:rPr>
        <w:t>:</w:t>
      </w:r>
      <w:r>
        <w:t xml:space="preserve"> </w:t>
      </w:r>
      <w:r w:rsidR="007C7E34">
        <w:t xml:space="preserve">In this </w:t>
      </w:r>
      <w:r>
        <w:t>example</w:t>
      </w:r>
      <w:r w:rsidR="007C7E34">
        <w:t xml:space="preserve">, the </w:t>
      </w:r>
      <w:r>
        <w:t>passing</w:t>
      </w:r>
      <w:r w:rsidR="007C7E34">
        <w:t xml:space="preserve"> conditions for loss of control were </w:t>
      </w:r>
      <w:r>
        <w:t>described</w:t>
      </w:r>
      <w:r w:rsidR="007C7E34">
        <w:t xml:space="preserve"> and the defence of provocation was </w:t>
      </w:r>
      <w:r>
        <w:t>inspected</w:t>
      </w:r>
      <w:r w:rsidR="007C7E34">
        <w:t xml:space="preserve">. It </w:t>
      </w:r>
      <w:r>
        <w:t xml:space="preserve">can help </w:t>
      </w:r>
      <w:r w:rsidR="007C7E34">
        <w:t>t</w:t>
      </w:r>
      <w:r>
        <w:t>he</w:t>
      </w:r>
      <w:r w:rsidR="007C7E34">
        <w:t xml:space="preserve"> Carla </w:t>
      </w:r>
      <w:r>
        <w:t>in</w:t>
      </w:r>
      <w:r w:rsidR="007C7E34">
        <w:t xml:space="preserve"> rais</w:t>
      </w:r>
      <w:r>
        <w:t>ing</w:t>
      </w:r>
      <w:r w:rsidR="007C7E34">
        <w:t xml:space="preserve"> the defence of loss of control, which </w:t>
      </w:r>
      <w:r>
        <w:t>succeeds</w:t>
      </w:r>
      <w:r w:rsidR="007C7E34">
        <w:t xml:space="preserve"> as a trigger for abuse in the past.</w:t>
      </w:r>
    </w:p>
    <w:p w14:paraId="514C8ED7" w14:textId="3C5FAB0D" w:rsidR="00F71762" w:rsidRPr="00F71762" w:rsidRDefault="00F71762" w:rsidP="00F71762">
      <w:r w:rsidRPr="008F2F50">
        <w:rPr>
          <w:b/>
          <w:bCs/>
        </w:rPr>
        <w:lastRenderedPageBreak/>
        <w:t>R v Clinton [2012] 2 All ER 947; [2012] 1 Cr App R 26; [2012] 3 WLR 515; [2012] Crim LR 539; [2013] QB 1; [2012] EWCA Crim 2</w:t>
      </w:r>
      <w:r>
        <w:rPr>
          <w:b/>
          <w:bCs/>
        </w:rPr>
        <w:t xml:space="preserve">- </w:t>
      </w:r>
      <w:r w:rsidRPr="00F71762">
        <w:t xml:space="preserve">It was </w:t>
      </w:r>
      <w:r>
        <w:t xml:space="preserve">understood by </w:t>
      </w:r>
      <w:r w:rsidRPr="00F71762">
        <w:t xml:space="preserve">this occurrence that a short and unexpected loss of control, even </w:t>
      </w:r>
      <w:r>
        <w:t>though</w:t>
      </w:r>
      <w:r w:rsidRPr="00F71762">
        <w:t xml:space="preserve"> it did not </w:t>
      </w:r>
      <w:r>
        <w:t>take place</w:t>
      </w:r>
      <w:r w:rsidRPr="00F71762">
        <w:t xml:space="preserve"> right away, might assist as the foundation </w:t>
      </w:r>
      <w:r>
        <w:t>of</w:t>
      </w:r>
      <w:r w:rsidRPr="00F71762">
        <w:t xml:space="preserve"> the defence of loss of control. This example</w:t>
      </w:r>
      <w:r>
        <w:t xml:space="preserve"> can</w:t>
      </w:r>
      <w:r w:rsidRPr="00F71762">
        <w:t xml:space="preserve"> be used to evaluate Carla's mental condition previously to the incidence</w:t>
      </w:r>
      <w:r w:rsidR="00EA2F02">
        <w:t xml:space="preserve"> (</w:t>
      </w:r>
      <w:r w:rsidR="00EA2F02" w:rsidRPr="00EA2F02">
        <w:rPr>
          <w:szCs w:val="24"/>
          <w:lang w:val="en-IN"/>
        </w:rPr>
        <w:t>bailii.org</w:t>
      </w:r>
      <w:r w:rsidR="00EA2F02">
        <w:rPr>
          <w:szCs w:val="24"/>
          <w:lang w:val="en-IN"/>
        </w:rPr>
        <w:t>, 2023).</w:t>
      </w:r>
    </w:p>
    <w:p w14:paraId="01109C09" w14:textId="5CEBE7D6" w:rsidR="00105831" w:rsidRDefault="00F71762" w:rsidP="00F71762">
      <w:pPr>
        <w:spacing w:after="0"/>
      </w:pPr>
      <w:r w:rsidRPr="008F2F50">
        <w:rPr>
          <w:b/>
          <w:bCs/>
        </w:rPr>
        <w:t>R v Byrne [1960] 2 QB 396</w:t>
      </w:r>
      <w:r>
        <w:t xml:space="preserve">- </w:t>
      </w:r>
      <w:r w:rsidRPr="00F71762">
        <w:t xml:space="preserve">The values for reduced responsibility were made clear </w:t>
      </w:r>
      <w:r>
        <w:t>through</w:t>
      </w:r>
      <w:r w:rsidRPr="00F71762">
        <w:t xml:space="preserve"> this decision, which underlined that mental functioning defects </w:t>
      </w:r>
      <w:r w:rsidR="004748E2" w:rsidRPr="00F71762">
        <w:t>must</w:t>
      </w:r>
      <w:r w:rsidRPr="00F71762">
        <w:t xml:space="preserve"> considerably harm mental accountability. Carla </w:t>
      </w:r>
      <w:r>
        <w:t>can</w:t>
      </w:r>
      <w:r w:rsidRPr="00F71762">
        <w:t xml:space="preserve"> bring up this </w:t>
      </w:r>
      <w:r>
        <w:t xml:space="preserve">case </w:t>
      </w:r>
      <w:r w:rsidRPr="00F71762">
        <w:t>example to strengthen her case that her mental syndrome has abridged her level of answerability.</w:t>
      </w:r>
    </w:p>
    <w:p w14:paraId="753EB525" w14:textId="77777777" w:rsidR="00105831" w:rsidRDefault="00105831" w:rsidP="00F71762">
      <w:pPr>
        <w:spacing w:after="0"/>
      </w:pPr>
    </w:p>
    <w:p w14:paraId="01B84F46" w14:textId="77777777" w:rsidR="00105831" w:rsidRDefault="00105831" w:rsidP="00105831">
      <w:pPr>
        <w:spacing w:after="0"/>
      </w:pPr>
      <w:r>
        <w:t>Carla's particular intent to cause serious damage or intent to murder must be confirmed in order for her to be held liable under the Section 18 of the Offences Against the Person Act 1861. Also, her accountability may be significantly abridged by the defences of diminished responsibility and lack of control under the 2009 Coroners and Justice Act and the Homicide Act 1957, respectively.</w:t>
      </w:r>
    </w:p>
    <w:p w14:paraId="16C5CEA1" w14:textId="77777777" w:rsidR="00105831" w:rsidRDefault="00105831" w:rsidP="00105831">
      <w:pPr>
        <w:spacing w:after="0"/>
      </w:pPr>
    </w:p>
    <w:p w14:paraId="3D94B1AF" w14:textId="77777777" w:rsidR="00105831" w:rsidRDefault="00105831" w:rsidP="00105831">
      <w:pPr>
        <w:spacing w:after="0"/>
      </w:pPr>
      <w:r>
        <w:t xml:space="preserve">The above stated case laws </w:t>
      </w:r>
      <w:r w:rsidR="00A96BF2">
        <w:t>offer</w:t>
      </w:r>
      <w:r>
        <w:t xml:space="preserve"> Carla beneficial examples for her prospective defences by exactness the benchmarks that must be met in command to prove diminished culpability, loss of control, and the balance of self-defence in </w:t>
      </w:r>
      <w:r w:rsidR="00A96BF2">
        <w:t>equivalent</w:t>
      </w:r>
      <w:r>
        <w:t xml:space="preserve"> </w:t>
      </w:r>
      <w:r w:rsidR="00A96BF2">
        <w:t>circumstances</w:t>
      </w:r>
      <w:r>
        <w:t>.</w:t>
      </w:r>
    </w:p>
    <w:p w14:paraId="0C716417" w14:textId="77777777" w:rsidR="00A96BF2" w:rsidRDefault="00A96BF2" w:rsidP="00A96BF2">
      <w:pPr>
        <w:spacing w:after="0"/>
      </w:pPr>
      <w:r>
        <w:t>These orders and other case law provide establishment for assessing Carla's conceivable criminal accountability and appropriate defences. They effect the evaluation of Carla's accountability by guiding the evaluation of her intents, mental state, and the happenings leading up to the incidence.</w:t>
      </w:r>
    </w:p>
    <w:p w14:paraId="75196DD7" w14:textId="77777777" w:rsidR="00A96BF2" w:rsidRDefault="00A96BF2" w:rsidP="00A96BF2">
      <w:pPr>
        <w:spacing w:after="0"/>
      </w:pPr>
    </w:p>
    <w:p w14:paraId="2F4824EE" w14:textId="77777777" w:rsidR="009475C8" w:rsidRDefault="009475C8">
      <w:pPr>
        <w:spacing w:after="0" w:line="240" w:lineRule="auto"/>
        <w:jc w:val="left"/>
        <w:rPr>
          <w:rFonts w:eastAsiaTheme="majorEastAsia" w:cstheme="majorBidi"/>
          <w:b/>
          <w:sz w:val="28"/>
          <w:szCs w:val="32"/>
        </w:rPr>
      </w:pPr>
      <w:r>
        <w:br w:type="page"/>
      </w:r>
    </w:p>
    <w:p w14:paraId="6B97C6BE" w14:textId="637F8CC4" w:rsidR="00A96BF2" w:rsidRDefault="00A96BF2" w:rsidP="00A96BF2">
      <w:pPr>
        <w:pStyle w:val="Heading1"/>
      </w:pPr>
      <w:bookmarkStart w:id="4" w:name="_Toc151650918"/>
      <w:r>
        <w:lastRenderedPageBreak/>
        <w:t>CONCLUSION</w:t>
      </w:r>
      <w:bookmarkEnd w:id="4"/>
    </w:p>
    <w:p w14:paraId="38B047C2" w14:textId="7A7323A3" w:rsidR="00A677E4" w:rsidRPr="00A677E4" w:rsidRDefault="00A96BF2" w:rsidP="00A677E4">
      <w:r>
        <w:t xml:space="preserve">Carla's case </w:t>
      </w:r>
      <w:r w:rsidR="00A677E4">
        <w:t>proposed</w:t>
      </w:r>
      <w:r>
        <w:t xml:space="preserve"> a </w:t>
      </w:r>
      <w:r w:rsidR="00A677E4">
        <w:t>complex</w:t>
      </w:r>
      <w:r>
        <w:t xml:space="preserve"> analysis of </w:t>
      </w:r>
      <w:r w:rsidR="00A677E4">
        <w:t>possible</w:t>
      </w:r>
      <w:r>
        <w:t xml:space="preserve"> criminal </w:t>
      </w:r>
      <w:r w:rsidR="00A677E4">
        <w:t>accountability</w:t>
      </w:r>
      <w:r>
        <w:t xml:space="preserve"> and </w:t>
      </w:r>
      <w:r w:rsidR="00A677E4">
        <w:t>numerous</w:t>
      </w:r>
      <w:r>
        <w:t xml:space="preserve"> </w:t>
      </w:r>
      <w:r w:rsidR="00A677E4">
        <w:t>fortifications</w:t>
      </w:r>
      <w:r>
        <w:t xml:space="preserve"> within the </w:t>
      </w:r>
      <w:r w:rsidR="00A677E4">
        <w:t>complicated</w:t>
      </w:r>
      <w:r>
        <w:t xml:space="preserve"> </w:t>
      </w:r>
      <w:r w:rsidR="00A677E4">
        <w:t>interface</w:t>
      </w:r>
      <w:r>
        <w:t xml:space="preserve"> of legal </w:t>
      </w:r>
      <w:r w:rsidR="00A677E4">
        <w:t>legislature</w:t>
      </w:r>
      <w:r>
        <w:t xml:space="preserve"> and </w:t>
      </w:r>
      <w:r w:rsidR="00A677E4">
        <w:t>presented</w:t>
      </w:r>
      <w:r>
        <w:t xml:space="preserve"> case law. Carla's </w:t>
      </w:r>
      <w:r w:rsidR="00A677E4">
        <w:t>actions</w:t>
      </w:r>
      <w:r>
        <w:t xml:space="preserve"> are </w:t>
      </w:r>
      <w:r w:rsidR="00A677E4">
        <w:t>positioned</w:t>
      </w:r>
      <w:r>
        <w:t xml:space="preserve"> under legal </w:t>
      </w:r>
      <w:r w:rsidR="00A677E4">
        <w:t>investigation because</w:t>
      </w:r>
      <w:r>
        <w:t xml:space="preserve"> </w:t>
      </w:r>
      <w:r w:rsidR="00A677E4">
        <w:t>of</w:t>
      </w:r>
      <w:r>
        <w:t xml:space="preserve"> the </w:t>
      </w:r>
      <w:r w:rsidR="00A677E4">
        <w:t>anxious</w:t>
      </w:r>
      <w:r>
        <w:t xml:space="preserve"> environment </w:t>
      </w:r>
      <w:r w:rsidR="00A677E4">
        <w:t>formed</w:t>
      </w:r>
      <w:r>
        <w:t xml:space="preserve"> by Jamie's confession </w:t>
      </w:r>
      <w:r w:rsidR="00A677E4">
        <w:t>throughout</w:t>
      </w:r>
      <w:r>
        <w:t xml:space="preserve"> </w:t>
      </w:r>
      <w:r w:rsidR="00A677E4">
        <w:t>the</w:t>
      </w:r>
      <w:r>
        <w:t xml:space="preserve"> period of marital </w:t>
      </w:r>
      <w:r w:rsidR="00A677E4">
        <w:t>conflict</w:t>
      </w:r>
      <w:r>
        <w:t xml:space="preserve">. Carla must </w:t>
      </w:r>
      <w:r w:rsidR="00A677E4">
        <w:t>validate</w:t>
      </w:r>
      <w:r>
        <w:t xml:space="preserve"> her </w:t>
      </w:r>
      <w:r w:rsidR="00A677E4">
        <w:t>specific</w:t>
      </w:r>
      <w:r>
        <w:t xml:space="preserve"> intent to </w:t>
      </w:r>
      <w:r w:rsidR="00A677E4">
        <w:t>exact</w:t>
      </w:r>
      <w:r>
        <w:t xml:space="preserve"> </w:t>
      </w:r>
      <w:r w:rsidR="00A677E4">
        <w:t>abundant</w:t>
      </w:r>
      <w:r>
        <w:t xml:space="preserve"> damage or death </w:t>
      </w:r>
      <w:r w:rsidR="004748E2">
        <w:t>for</w:t>
      </w:r>
      <w:r>
        <w:t xml:space="preserve"> her to be held liable under Section 18 of the Offences Against the Person Act 1861. </w:t>
      </w:r>
      <w:r w:rsidR="00A677E4">
        <w:t>Nevertheless</w:t>
      </w:r>
      <w:r>
        <w:t xml:space="preserve">, she may be able to </w:t>
      </w:r>
      <w:r w:rsidR="004748E2">
        <w:t>be diminishing</w:t>
      </w:r>
      <w:r>
        <w:t xml:space="preserve"> her</w:t>
      </w:r>
      <w:r w:rsidR="00A677E4">
        <w:t>-self guiltiness</w:t>
      </w:r>
      <w:r>
        <w:t xml:space="preserve"> by </w:t>
      </w:r>
      <w:r w:rsidR="00A677E4">
        <w:t>applying</w:t>
      </w:r>
      <w:r>
        <w:t xml:space="preserve"> the defences of decreased responsibility and loss of control, which are </w:t>
      </w:r>
      <w:r w:rsidR="00A677E4">
        <w:t>offered</w:t>
      </w:r>
      <w:r>
        <w:t xml:space="preserve"> under the Homicide Act of 1957 and the 2009 Coroners and Justice Act, respectively. These defences rely on </w:t>
      </w:r>
      <w:r w:rsidR="00A677E4">
        <w:t>showing</w:t>
      </w:r>
      <w:r>
        <w:t xml:space="preserve"> a recognised mental health condition </w:t>
      </w:r>
      <w:r w:rsidR="00A677E4">
        <w:t>harming</w:t>
      </w:r>
      <w:r>
        <w:t xml:space="preserve"> </w:t>
      </w:r>
      <w:r w:rsidR="00A677E4">
        <w:t>accountability</w:t>
      </w:r>
      <w:r>
        <w:t xml:space="preserve"> or </w:t>
      </w:r>
      <w:r w:rsidR="00A677E4">
        <w:t>presenting</w:t>
      </w:r>
      <w:r>
        <w:t xml:space="preserve"> a "qualifying trigger" for loss of control</w:t>
      </w:r>
      <w:r w:rsidR="004748E2">
        <w:t xml:space="preserve">. </w:t>
      </w:r>
      <w:r w:rsidR="00A677E4" w:rsidRPr="00A677E4">
        <w:t>R v. Ahluwalia and R v. Tandy are two relevant case laws that offer light on the significance of emotional triggers and the suitable use of force in defence. In assessing Carla's situation, these examples offer direction, accompanying her accusations of losing control and reasonable self-defence.</w:t>
      </w:r>
    </w:p>
    <w:p w14:paraId="5DBDA422" w14:textId="77777777" w:rsidR="00A96BF2" w:rsidRDefault="00A96BF2" w:rsidP="00A96BF2"/>
    <w:p w14:paraId="4F4E9134" w14:textId="77777777" w:rsidR="00A677E4" w:rsidRPr="00A96BF2" w:rsidRDefault="00A677E4" w:rsidP="00A96BF2"/>
    <w:p w14:paraId="14256477" w14:textId="77777777" w:rsidR="00A96BF2" w:rsidRDefault="00A96BF2" w:rsidP="00A96BF2">
      <w:pPr>
        <w:spacing w:after="0"/>
      </w:pPr>
    </w:p>
    <w:p w14:paraId="798BE445" w14:textId="77777777" w:rsidR="00A96BF2" w:rsidRDefault="00A96BF2" w:rsidP="00A96BF2">
      <w:pPr>
        <w:spacing w:after="0"/>
      </w:pPr>
    </w:p>
    <w:p w14:paraId="06C1305E" w14:textId="77777777" w:rsidR="00A96BF2" w:rsidRDefault="00A96BF2" w:rsidP="00A96BF2">
      <w:pPr>
        <w:spacing w:after="0"/>
      </w:pPr>
    </w:p>
    <w:p w14:paraId="3C693F05" w14:textId="77777777" w:rsidR="00A96BF2" w:rsidRDefault="00A96BF2" w:rsidP="00A96BF2">
      <w:pPr>
        <w:spacing w:after="0"/>
      </w:pPr>
    </w:p>
    <w:p w14:paraId="2CA3777D" w14:textId="77777777" w:rsidR="001C14D3" w:rsidRDefault="001C14D3" w:rsidP="00F71762">
      <w:pPr>
        <w:spacing w:after="0"/>
        <w:rPr>
          <w:rFonts w:eastAsiaTheme="majorEastAsia" w:cstheme="majorBidi"/>
          <w:b/>
          <w:sz w:val="28"/>
          <w:szCs w:val="32"/>
        </w:rPr>
      </w:pPr>
      <w:r>
        <w:br w:type="page"/>
      </w:r>
    </w:p>
    <w:p w14:paraId="162BB3A1" w14:textId="77777777" w:rsidR="00C1294A" w:rsidRDefault="009D56B3" w:rsidP="001C14D3">
      <w:pPr>
        <w:pStyle w:val="Heading1"/>
      </w:pPr>
      <w:bookmarkStart w:id="5" w:name="_Toc151650919"/>
      <w:r>
        <w:lastRenderedPageBreak/>
        <w:t>REFERENCES-</w:t>
      </w:r>
      <w:bookmarkEnd w:id="5"/>
    </w:p>
    <w:p w14:paraId="3CFC04EA" w14:textId="77777777" w:rsidR="001754CF" w:rsidRDefault="001754CF" w:rsidP="004F5EEC">
      <w:pPr>
        <w:ind w:left="720" w:hanging="720"/>
      </w:pPr>
      <w:r w:rsidRPr="00EA2F02">
        <w:rPr>
          <w:szCs w:val="24"/>
          <w:lang w:val="en-IN"/>
        </w:rPr>
        <w:t>bailii.org</w:t>
      </w:r>
      <w:r>
        <w:rPr>
          <w:szCs w:val="24"/>
          <w:lang w:val="en-IN"/>
        </w:rPr>
        <w:t xml:space="preserve">, (2023). </w:t>
      </w:r>
      <w:r w:rsidRPr="00EA2F02">
        <w:rPr>
          <w:szCs w:val="24"/>
          <w:lang w:val="en-IN"/>
        </w:rPr>
        <w:t xml:space="preserve">England and Wales Court of Appeal (Criminal Division) Decisions </w:t>
      </w:r>
      <w:r>
        <w:t xml:space="preserve">[online] Available at: </w:t>
      </w:r>
      <w:r w:rsidRPr="00EA2F02">
        <w:rPr>
          <w:szCs w:val="24"/>
          <w:lang w:val="en-IN"/>
        </w:rPr>
        <w:t>https://www.bailii.org/ew/cases/EWCA/Crim/2012/2.html</w:t>
      </w:r>
      <w:r>
        <w:rPr>
          <w:szCs w:val="24"/>
          <w:lang w:val="en-IN"/>
        </w:rPr>
        <w:t xml:space="preserve"> </w:t>
      </w:r>
      <w:r>
        <w:t>[Accessed 18 Nov. 2023].</w:t>
      </w:r>
    </w:p>
    <w:p w14:paraId="2B5554F5" w14:textId="77777777" w:rsidR="001754CF" w:rsidRDefault="001754CF" w:rsidP="004F5EEC">
      <w:pPr>
        <w:ind w:left="720" w:hanging="720"/>
        <w:rPr>
          <w:szCs w:val="24"/>
          <w:lang w:val="en-IN"/>
        </w:rPr>
      </w:pPr>
      <w:r>
        <w:t>justice.gov.uk (2023). Available at: https://www.justice.gov.uk/downloads/legislation/bills-acts/circulars/moj/2010/circular-12-2010-coroners-justice-act-homicide-provisions.pdf.</w:t>
      </w:r>
    </w:p>
    <w:p w14:paraId="03A90D94" w14:textId="77777777" w:rsidR="001754CF" w:rsidRDefault="001754CF" w:rsidP="005D371F">
      <w:pPr>
        <w:ind w:left="720" w:hanging="720"/>
      </w:pPr>
      <w:r>
        <w:t xml:space="preserve">legislation.gov.uk (2023). </w:t>
      </w:r>
      <w:r w:rsidRPr="005D371F">
        <w:t>Homicide Act 1957</w:t>
      </w:r>
      <w:r>
        <w:t xml:space="preserve"> [online] Available at: </w:t>
      </w:r>
      <w:r w:rsidRPr="001920B5">
        <w:rPr>
          <w:szCs w:val="24"/>
          <w:lang w:val="en-IN"/>
        </w:rPr>
        <w:t>https://www.legislation.gov.uk/ukpga/Eliz2/5-6/11/section/2/enacted</w:t>
      </w:r>
      <w:r>
        <w:rPr>
          <w:szCs w:val="24"/>
          <w:lang w:val="en-IN"/>
        </w:rPr>
        <w:t xml:space="preserve"> </w:t>
      </w:r>
      <w:r w:rsidRPr="001920B5">
        <w:rPr>
          <w:szCs w:val="24"/>
          <w:lang w:val="en-IN"/>
        </w:rPr>
        <w:t>[</w:t>
      </w:r>
      <w:r w:rsidRPr="001920B5">
        <w:t>Accessed 18 Nov. 2023</w:t>
      </w:r>
      <w:r>
        <w:t>].</w:t>
      </w:r>
    </w:p>
    <w:p w14:paraId="077AA0B0" w14:textId="77777777" w:rsidR="001754CF" w:rsidRDefault="001754CF" w:rsidP="001920B5">
      <w:pPr>
        <w:ind w:left="720" w:hanging="720"/>
      </w:pPr>
      <w:r>
        <w:t xml:space="preserve">legislation.gov.uk (2023). </w:t>
      </w:r>
      <w:r w:rsidRPr="001920B5">
        <w:t>Offences against the Person Act 1861</w:t>
      </w:r>
      <w:r>
        <w:t xml:space="preserve"> [online] Available at: </w:t>
      </w:r>
      <w:r w:rsidRPr="001920B5">
        <w:t>https://www.legislation.gov.uk/ukpga/Vict/24-25/100/section/18</w:t>
      </w:r>
      <w:r>
        <w:t xml:space="preserve"> </w:t>
      </w:r>
      <w:r w:rsidRPr="001920B5">
        <w:rPr>
          <w:szCs w:val="24"/>
          <w:lang w:val="en-IN"/>
        </w:rPr>
        <w:t>[</w:t>
      </w:r>
      <w:r w:rsidRPr="001920B5">
        <w:t>Accessed 18 Nov. 2023</w:t>
      </w:r>
      <w:r>
        <w:t>].</w:t>
      </w:r>
    </w:p>
    <w:p w14:paraId="06734314" w14:textId="77777777" w:rsidR="001754CF" w:rsidRDefault="001754CF" w:rsidP="004F5EEC">
      <w:pPr>
        <w:ind w:left="720" w:hanging="720"/>
        <w:rPr>
          <w:szCs w:val="24"/>
          <w:lang w:val="en-IN"/>
        </w:rPr>
      </w:pPr>
      <w:r>
        <w:t>legislation.gov.uk (2023). </w:t>
      </w:r>
      <w:r>
        <w:rPr>
          <w:i/>
          <w:iCs/>
        </w:rPr>
        <w:t>Offences against the Person Act 1861</w:t>
      </w:r>
      <w:r>
        <w:t>. [online] Available at: https://www.legislation.gov.uk/ukpga/Vict/24-25/100/contents#:~:text=18.,to%20do%20grievous%20bodily%20harm.&amp;text=20.,injury%2C%20with%20or%20without%20weapon. [Accessed 18 Nov. 2023].</w:t>
      </w:r>
    </w:p>
    <w:p w14:paraId="7A31E2B2" w14:textId="1BAD83B6" w:rsidR="001920B5" w:rsidRDefault="001920B5" w:rsidP="005D371F">
      <w:pPr>
        <w:ind w:left="720" w:hanging="720"/>
      </w:pPr>
    </w:p>
    <w:p w14:paraId="35671895" w14:textId="74F9A403" w:rsidR="005D371F" w:rsidRDefault="005D371F" w:rsidP="004F5EEC">
      <w:pPr>
        <w:ind w:left="720" w:hanging="720"/>
        <w:rPr>
          <w:szCs w:val="24"/>
          <w:lang w:val="en-IN"/>
        </w:rPr>
      </w:pPr>
    </w:p>
    <w:p w14:paraId="7797A37D" w14:textId="77777777" w:rsidR="004F5EEC" w:rsidRDefault="004F5EEC" w:rsidP="004F5EEC">
      <w:pPr>
        <w:pStyle w:val="NormalWeb"/>
        <w:rPr>
          <w:color w:val="000000"/>
        </w:rPr>
      </w:pPr>
      <w:r>
        <w:rPr>
          <w:color w:val="000000"/>
        </w:rPr>
        <w:t>‌</w:t>
      </w:r>
    </w:p>
    <w:p w14:paraId="0F67FA09" w14:textId="77777777" w:rsidR="004F5EEC" w:rsidRDefault="004F5EEC" w:rsidP="004F5EEC">
      <w:pPr>
        <w:pStyle w:val="NormalWeb"/>
        <w:rPr>
          <w:color w:val="000000"/>
        </w:rPr>
      </w:pPr>
    </w:p>
    <w:p w14:paraId="22EFD60E" w14:textId="77777777" w:rsidR="00521ECC" w:rsidRDefault="00521ECC" w:rsidP="00521ECC">
      <w:pPr>
        <w:pStyle w:val="NormalWeb"/>
        <w:rPr>
          <w:color w:val="000000"/>
        </w:rPr>
      </w:pPr>
    </w:p>
    <w:p w14:paraId="65F3A60F" w14:textId="77777777" w:rsidR="009D56B3" w:rsidRDefault="009D56B3" w:rsidP="009D56B3">
      <w:pPr>
        <w:pStyle w:val="NormalWeb"/>
        <w:rPr>
          <w:color w:val="000000"/>
        </w:rPr>
      </w:pPr>
    </w:p>
    <w:p w14:paraId="4F367885" w14:textId="77777777" w:rsidR="009D56B3" w:rsidRDefault="009D56B3" w:rsidP="00C1294A"/>
    <w:sectPr w:rsidR="009D56B3" w:rsidSect="00521ECC">
      <w:footerReference w:type="even" r:id="rId8"/>
      <w:footerReference w:type="default" r:id="rId9"/>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7D847" w14:textId="77777777" w:rsidR="00B737F9" w:rsidRDefault="00B737F9" w:rsidP="00521ECC">
      <w:pPr>
        <w:spacing w:after="0"/>
      </w:pPr>
      <w:r>
        <w:separator/>
      </w:r>
    </w:p>
  </w:endnote>
  <w:endnote w:type="continuationSeparator" w:id="0">
    <w:p w14:paraId="16F36F83" w14:textId="77777777" w:rsidR="00B737F9" w:rsidRDefault="00B737F9" w:rsidP="00521EC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1544027"/>
      <w:docPartObj>
        <w:docPartGallery w:val="Page Numbers (Bottom of Page)"/>
        <w:docPartUnique/>
      </w:docPartObj>
    </w:sdtPr>
    <w:sdtEndPr>
      <w:rPr>
        <w:rStyle w:val="PageNumber"/>
      </w:rPr>
    </w:sdtEndPr>
    <w:sdtContent>
      <w:p w14:paraId="4A80D80C" w14:textId="77777777" w:rsidR="00521ECC" w:rsidRDefault="00521ECC" w:rsidP="004F4E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ED1056" w14:textId="77777777" w:rsidR="00521ECC" w:rsidRDefault="00521ECC" w:rsidP="00521E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880403"/>
      <w:docPartObj>
        <w:docPartGallery w:val="Page Numbers (Bottom of Page)"/>
        <w:docPartUnique/>
      </w:docPartObj>
    </w:sdtPr>
    <w:sdtEndPr>
      <w:rPr>
        <w:rStyle w:val="PageNumber"/>
      </w:rPr>
    </w:sdtEndPr>
    <w:sdtContent>
      <w:p w14:paraId="58776425" w14:textId="625CE8C6" w:rsidR="00521ECC" w:rsidRDefault="00521ECC" w:rsidP="004F4E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754CF">
          <w:rPr>
            <w:rStyle w:val="PageNumber"/>
            <w:noProof/>
          </w:rPr>
          <w:t>9</w:t>
        </w:r>
        <w:r>
          <w:rPr>
            <w:rStyle w:val="PageNumber"/>
          </w:rPr>
          <w:fldChar w:fldCharType="end"/>
        </w:r>
      </w:p>
    </w:sdtContent>
  </w:sdt>
  <w:p w14:paraId="7749B515" w14:textId="77777777" w:rsidR="00521ECC" w:rsidRDefault="00521ECC" w:rsidP="00521EC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8408D" w14:textId="77777777" w:rsidR="00B737F9" w:rsidRDefault="00B737F9" w:rsidP="00521ECC">
      <w:pPr>
        <w:spacing w:after="0"/>
      </w:pPr>
      <w:r>
        <w:separator/>
      </w:r>
    </w:p>
  </w:footnote>
  <w:footnote w:type="continuationSeparator" w:id="0">
    <w:p w14:paraId="4FFEC04B" w14:textId="77777777" w:rsidR="00B737F9" w:rsidRDefault="00B737F9" w:rsidP="00521EC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5220E"/>
    <w:multiLevelType w:val="hybridMultilevel"/>
    <w:tmpl w:val="43405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0B7299"/>
    <w:multiLevelType w:val="hybridMultilevel"/>
    <w:tmpl w:val="6E286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2849BC"/>
    <w:multiLevelType w:val="hybridMultilevel"/>
    <w:tmpl w:val="A1A6CA2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D680081"/>
    <w:multiLevelType w:val="hybridMultilevel"/>
    <w:tmpl w:val="D61EFFCE"/>
    <w:lvl w:ilvl="0" w:tplc="805813E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F490235"/>
    <w:multiLevelType w:val="hybridMultilevel"/>
    <w:tmpl w:val="FFA0207E"/>
    <w:lvl w:ilvl="0" w:tplc="805813E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842A56"/>
    <w:multiLevelType w:val="hybridMultilevel"/>
    <w:tmpl w:val="C7861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7382300">
    <w:abstractNumId w:val="3"/>
  </w:num>
  <w:num w:numId="2" w16cid:durableId="1046834949">
    <w:abstractNumId w:val="4"/>
  </w:num>
  <w:num w:numId="3" w16cid:durableId="1107698770">
    <w:abstractNumId w:val="1"/>
  </w:num>
  <w:num w:numId="4" w16cid:durableId="1223523550">
    <w:abstractNumId w:val="5"/>
  </w:num>
  <w:num w:numId="5" w16cid:durableId="1537817372">
    <w:abstractNumId w:val="0"/>
  </w:num>
  <w:num w:numId="6" w16cid:durableId="10947143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94A"/>
    <w:rsid w:val="000B6F76"/>
    <w:rsid w:val="000E170D"/>
    <w:rsid w:val="000E66AD"/>
    <w:rsid w:val="000F35C8"/>
    <w:rsid w:val="00105831"/>
    <w:rsid w:val="001754CF"/>
    <w:rsid w:val="001920B5"/>
    <w:rsid w:val="001C14D3"/>
    <w:rsid w:val="00220833"/>
    <w:rsid w:val="002E7408"/>
    <w:rsid w:val="003012FF"/>
    <w:rsid w:val="00302091"/>
    <w:rsid w:val="003A6C7D"/>
    <w:rsid w:val="00441021"/>
    <w:rsid w:val="00444228"/>
    <w:rsid w:val="004748E2"/>
    <w:rsid w:val="004A10A6"/>
    <w:rsid w:val="004B5D4F"/>
    <w:rsid w:val="004C5EAE"/>
    <w:rsid w:val="004F5EEC"/>
    <w:rsid w:val="00521ECC"/>
    <w:rsid w:val="005509F3"/>
    <w:rsid w:val="00580BD6"/>
    <w:rsid w:val="00584487"/>
    <w:rsid w:val="005D371F"/>
    <w:rsid w:val="0060421A"/>
    <w:rsid w:val="00674F07"/>
    <w:rsid w:val="006B1D82"/>
    <w:rsid w:val="00710710"/>
    <w:rsid w:val="00792F8B"/>
    <w:rsid w:val="007C7E34"/>
    <w:rsid w:val="00830987"/>
    <w:rsid w:val="008570A7"/>
    <w:rsid w:val="00896F6E"/>
    <w:rsid w:val="008F2F50"/>
    <w:rsid w:val="009475C8"/>
    <w:rsid w:val="0094795D"/>
    <w:rsid w:val="009D4301"/>
    <w:rsid w:val="009D56B3"/>
    <w:rsid w:val="00A677E4"/>
    <w:rsid w:val="00A77AFD"/>
    <w:rsid w:val="00A96BF2"/>
    <w:rsid w:val="00B12765"/>
    <w:rsid w:val="00B45013"/>
    <w:rsid w:val="00B737F9"/>
    <w:rsid w:val="00BA6A70"/>
    <w:rsid w:val="00BF2727"/>
    <w:rsid w:val="00BF7E79"/>
    <w:rsid w:val="00C1294A"/>
    <w:rsid w:val="00C2121E"/>
    <w:rsid w:val="00CC14B3"/>
    <w:rsid w:val="00D06CCA"/>
    <w:rsid w:val="00D37230"/>
    <w:rsid w:val="00D42FD8"/>
    <w:rsid w:val="00D63666"/>
    <w:rsid w:val="00DA3A8E"/>
    <w:rsid w:val="00DC48F1"/>
    <w:rsid w:val="00E13742"/>
    <w:rsid w:val="00E516E8"/>
    <w:rsid w:val="00EA2F02"/>
    <w:rsid w:val="00ED6899"/>
    <w:rsid w:val="00F71762"/>
    <w:rsid w:val="00FD3879"/>
    <w:rsid w:val="00FD76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6E41C0"/>
  <w15:chartTrackingRefBased/>
  <w15:docId w15:val="{622A72C2-B4D4-AC42-B876-EFD00F956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021"/>
    <w:pPr>
      <w:spacing w:after="160" w:line="360" w:lineRule="auto"/>
      <w:jc w:val="both"/>
    </w:pPr>
    <w:rPr>
      <w:rFonts w:ascii="Times New Roman" w:hAnsi="Times New Roman"/>
      <w:szCs w:val="22"/>
      <w:lang w:val="en-GB"/>
    </w:rPr>
  </w:style>
  <w:style w:type="paragraph" w:styleId="Heading1">
    <w:name w:val="heading 1"/>
    <w:basedOn w:val="Normal"/>
    <w:next w:val="Normal"/>
    <w:link w:val="Heading1Char"/>
    <w:uiPriority w:val="9"/>
    <w:qFormat/>
    <w:rsid w:val="00D06CCA"/>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F7E79"/>
    <w:rPr>
      <w:rFonts w:ascii="Times New Roman" w:hAnsi="Times New Roman"/>
      <w:b/>
      <w:bCs/>
      <w:i w:val="0"/>
      <w:color w:val="000000" w:themeColor="text1"/>
      <w:sz w:val="28"/>
      <w:u w:val="none"/>
    </w:rPr>
  </w:style>
  <w:style w:type="paragraph" w:styleId="ListParagraph">
    <w:name w:val="List Paragraph"/>
    <w:basedOn w:val="Normal"/>
    <w:uiPriority w:val="34"/>
    <w:qFormat/>
    <w:rsid w:val="009D56B3"/>
    <w:pPr>
      <w:ind w:left="720"/>
      <w:contextualSpacing/>
    </w:pPr>
  </w:style>
  <w:style w:type="paragraph" w:styleId="NormalWeb">
    <w:name w:val="Normal (Web)"/>
    <w:basedOn w:val="Normal"/>
    <w:uiPriority w:val="99"/>
    <w:semiHidden/>
    <w:unhideWhenUsed/>
    <w:rsid w:val="009D56B3"/>
    <w:pPr>
      <w:spacing w:before="100" w:beforeAutospacing="1" w:after="100" w:afterAutospacing="1"/>
      <w:jc w:val="left"/>
    </w:pPr>
    <w:rPr>
      <w:rFonts w:eastAsia="Times New Roman" w:cs="Times New Roman"/>
      <w:kern w:val="0"/>
      <w:szCs w:val="24"/>
      <w:lang w:val="en-IN" w:eastAsia="en-GB"/>
      <w14:ligatures w14:val="none"/>
    </w:rPr>
  </w:style>
  <w:style w:type="paragraph" w:styleId="Footer">
    <w:name w:val="footer"/>
    <w:basedOn w:val="Normal"/>
    <w:link w:val="FooterChar"/>
    <w:uiPriority w:val="99"/>
    <w:unhideWhenUsed/>
    <w:rsid w:val="00521ECC"/>
    <w:pPr>
      <w:tabs>
        <w:tab w:val="center" w:pos="4513"/>
        <w:tab w:val="right" w:pos="9026"/>
      </w:tabs>
      <w:spacing w:after="0"/>
    </w:pPr>
  </w:style>
  <w:style w:type="character" w:customStyle="1" w:styleId="FooterChar">
    <w:name w:val="Footer Char"/>
    <w:basedOn w:val="DefaultParagraphFont"/>
    <w:link w:val="Footer"/>
    <w:uiPriority w:val="99"/>
    <w:rsid w:val="00521ECC"/>
    <w:rPr>
      <w:rFonts w:ascii="Times New Roman" w:hAnsi="Times New Roman"/>
      <w:color w:val="000000" w:themeColor="text1"/>
      <w:szCs w:val="22"/>
      <w:lang w:val="en-GB"/>
    </w:rPr>
  </w:style>
  <w:style w:type="character" w:styleId="PageNumber">
    <w:name w:val="page number"/>
    <w:basedOn w:val="DefaultParagraphFont"/>
    <w:uiPriority w:val="99"/>
    <w:semiHidden/>
    <w:unhideWhenUsed/>
    <w:rsid w:val="00521ECC"/>
  </w:style>
  <w:style w:type="character" w:customStyle="1" w:styleId="Heading1Char">
    <w:name w:val="Heading 1 Char"/>
    <w:basedOn w:val="DefaultParagraphFont"/>
    <w:link w:val="Heading1"/>
    <w:uiPriority w:val="9"/>
    <w:rsid w:val="00D06CCA"/>
    <w:rPr>
      <w:rFonts w:ascii="Times New Roman" w:eastAsiaTheme="majorEastAsia" w:hAnsi="Times New Roman" w:cstheme="majorBidi"/>
      <w:b/>
      <w:color w:val="000000" w:themeColor="text1"/>
      <w:sz w:val="28"/>
      <w:szCs w:val="32"/>
      <w:lang w:val="en-GB"/>
    </w:rPr>
  </w:style>
  <w:style w:type="paragraph" w:styleId="NoSpacing">
    <w:name w:val="No Spacing"/>
    <w:uiPriority w:val="1"/>
    <w:qFormat/>
    <w:rsid w:val="00D06CCA"/>
    <w:pPr>
      <w:jc w:val="both"/>
    </w:pPr>
    <w:rPr>
      <w:rFonts w:ascii="Times New Roman" w:hAnsi="Times New Roman"/>
      <w:color w:val="000000" w:themeColor="text1"/>
      <w:szCs w:val="22"/>
      <w:lang w:val="en-GB"/>
    </w:rPr>
  </w:style>
  <w:style w:type="paragraph" w:styleId="TOCHeading">
    <w:name w:val="TOC Heading"/>
    <w:basedOn w:val="Heading1"/>
    <w:next w:val="Normal"/>
    <w:uiPriority w:val="39"/>
    <w:unhideWhenUsed/>
    <w:qFormat/>
    <w:rsid w:val="004F5EEC"/>
    <w:pPr>
      <w:spacing w:before="480" w:line="276" w:lineRule="auto"/>
      <w:jc w:val="left"/>
      <w:outlineLvl w:val="9"/>
    </w:pPr>
    <w:rPr>
      <w:rFonts w:asciiTheme="majorHAnsi" w:hAnsiTheme="majorHAnsi"/>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4F5EEC"/>
    <w:pPr>
      <w:spacing w:before="360" w:after="360"/>
      <w:jc w:val="left"/>
    </w:pPr>
    <w:rPr>
      <w:rFonts w:asciiTheme="minorHAnsi" w:hAnsiTheme="minorHAnsi" w:cstheme="minorHAnsi"/>
      <w:b/>
      <w:bCs/>
      <w:caps/>
      <w:sz w:val="22"/>
      <w:u w:val="single"/>
    </w:rPr>
  </w:style>
  <w:style w:type="character" w:styleId="Hyperlink">
    <w:name w:val="Hyperlink"/>
    <w:basedOn w:val="DefaultParagraphFont"/>
    <w:uiPriority w:val="99"/>
    <w:unhideWhenUsed/>
    <w:rsid w:val="004F5EEC"/>
    <w:rPr>
      <w:color w:val="0563C1" w:themeColor="hyperlink"/>
      <w:u w:val="single"/>
    </w:rPr>
  </w:style>
  <w:style w:type="paragraph" w:styleId="TOC2">
    <w:name w:val="toc 2"/>
    <w:basedOn w:val="Normal"/>
    <w:next w:val="Normal"/>
    <w:autoRedefine/>
    <w:uiPriority w:val="39"/>
    <w:semiHidden/>
    <w:unhideWhenUsed/>
    <w:rsid w:val="004F5EEC"/>
    <w:pPr>
      <w:spacing w:after="0"/>
      <w:jc w:val="left"/>
    </w:pPr>
    <w:rPr>
      <w:rFonts w:asciiTheme="minorHAnsi" w:hAnsiTheme="minorHAnsi" w:cstheme="minorHAnsi"/>
      <w:b/>
      <w:bCs/>
      <w:smallCaps/>
      <w:sz w:val="22"/>
    </w:rPr>
  </w:style>
  <w:style w:type="paragraph" w:styleId="TOC3">
    <w:name w:val="toc 3"/>
    <w:basedOn w:val="Normal"/>
    <w:next w:val="Normal"/>
    <w:autoRedefine/>
    <w:uiPriority w:val="39"/>
    <w:semiHidden/>
    <w:unhideWhenUsed/>
    <w:rsid w:val="004F5EEC"/>
    <w:pPr>
      <w:spacing w:after="0"/>
      <w:jc w:val="left"/>
    </w:pPr>
    <w:rPr>
      <w:rFonts w:asciiTheme="minorHAnsi" w:hAnsiTheme="minorHAnsi" w:cstheme="minorHAnsi"/>
      <w:smallCaps/>
      <w:sz w:val="22"/>
    </w:rPr>
  </w:style>
  <w:style w:type="paragraph" w:styleId="TOC4">
    <w:name w:val="toc 4"/>
    <w:basedOn w:val="Normal"/>
    <w:next w:val="Normal"/>
    <w:autoRedefine/>
    <w:uiPriority w:val="39"/>
    <w:semiHidden/>
    <w:unhideWhenUsed/>
    <w:rsid w:val="004F5EEC"/>
    <w:pPr>
      <w:spacing w:after="0"/>
      <w:jc w:val="left"/>
    </w:pPr>
    <w:rPr>
      <w:rFonts w:asciiTheme="minorHAnsi" w:hAnsiTheme="minorHAnsi" w:cstheme="minorHAnsi"/>
      <w:sz w:val="22"/>
    </w:rPr>
  </w:style>
  <w:style w:type="paragraph" w:styleId="TOC5">
    <w:name w:val="toc 5"/>
    <w:basedOn w:val="Normal"/>
    <w:next w:val="Normal"/>
    <w:autoRedefine/>
    <w:uiPriority w:val="39"/>
    <w:semiHidden/>
    <w:unhideWhenUsed/>
    <w:rsid w:val="004F5EEC"/>
    <w:pPr>
      <w:spacing w:after="0"/>
      <w:jc w:val="left"/>
    </w:pPr>
    <w:rPr>
      <w:rFonts w:asciiTheme="minorHAnsi" w:hAnsiTheme="minorHAnsi" w:cstheme="minorHAnsi"/>
      <w:sz w:val="22"/>
    </w:rPr>
  </w:style>
  <w:style w:type="paragraph" w:styleId="TOC6">
    <w:name w:val="toc 6"/>
    <w:basedOn w:val="Normal"/>
    <w:next w:val="Normal"/>
    <w:autoRedefine/>
    <w:uiPriority w:val="39"/>
    <w:semiHidden/>
    <w:unhideWhenUsed/>
    <w:rsid w:val="004F5EEC"/>
    <w:pPr>
      <w:spacing w:after="0"/>
      <w:jc w:val="left"/>
    </w:pPr>
    <w:rPr>
      <w:rFonts w:asciiTheme="minorHAnsi" w:hAnsiTheme="minorHAnsi" w:cstheme="minorHAnsi"/>
      <w:sz w:val="22"/>
    </w:rPr>
  </w:style>
  <w:style w:type="paragraph" w:styleId="TOC7">
    <w:name w:val="toc 7"/>
    <w:basedOn w:val="Normal"/>
    <w:next w:val="Normal"/>
    <w:autoRedefine/>
    <w:uiPriority w:val="39"/>
    <w:semiHidden/>
    <w:unhideWhenUsed/>
    <w:rsid w:val="004F5EEC"/>
    <w:pPr>
      <w:spacing w:after="0"/>
      <w:jc w:val="left"/>
    </w:pPr>
    <w:rPr>
      <w:rFonts w:asciiTheme="minorHAnsi" w:hAnsiTheme="minorHAnsi" w:cstheme="minorHAnsi"/>
      <w:sz w:val="22"/>
    </w:rPr>
  </w:style>
  <w:style w:type="paragraph" w:styleId="TOC8">
    <w:name w:val="toc 8"/>
    <w:basedOn w:val="Normal"/>
    <w:next w:val="Normal"/>
    <w:autoRedefine/>
    <w:uiPriority w:val="39"/>
    <w:semiHidden/>
    <w:unhideWhenUsed/>
    <w:rsid w:val="004F5EEC"/>
    <w:pPr>
      <w:spacing w:after="0"/>
      <w:jc w:val="left"/>
    </w:pPr>
    <w:rPr>
      <w:rFonts w:asciiTheme="minorHAnsi" w:hAnsiTheme="minorHAnsi" w:cstheme="minorHAnsi"/>
      <w:sz w:val="22"/>
    </w:rPr>
  </w:style>
  <w:style w:type="paragraph" w:styleId="TOC9">
    <w:name w:val="toc 9"/>
    <w:basedOn w:val="Normal"/>
    <w:next w:val="Normal"/>
    <w:autoRedefine/>
    <w:uiPriority w:val="39"/>
    <w:semiHidden/>
    <w:unhideWhenUsed/>
    <w:rsid w:val="004F5EEC"/>
    <w:pPr>
      <w:spacing w:after="0"/>
      <w:jc w:val="left"/>
    </w:pPr>
    <w:rPr>
      <w:rFonts w:asciiTheme="minorHAnsi" w:hAnsiTheme="minorHAnsi" w:cstheme="minorHAnsi"/>
      <w:sz w:val="22"/>
    </w:rPr>
  </w:style>
  <w:style w:type="paragraph" w:styleId="Title">
    <w:name w:val="Title"/>
    <w:basedOn w:val="Normal"/>
    <w:next w:val="Normal"/>
    <w:link w:val="TitleChar"/>
    <w:uiPriority w:val="10"/>
    <w:qFormat/>
    <w:rsid w:val="004F5EEC"/>
    <w:pPr>
      <w:spacing w:after="0"/>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4F5EEC"/>
    <w:rPr>
      <w:rFonts w:ascii="Times New Roman" w:eastAsiaTheme="majorEastAsia" w:hAnsi="Times New Roman" w:cstheme="majorBidi"/>
      <w:b/>
      <w:color w:val="000000" w:themeColor="text1"/>
      <w:spacing w:val="-10"/>
      <w:kern w:val="28"/>
      <w:sz w:val="36"/>
      <w:szCs w:val="56"/>
      <w:u w:val="single"/>
      <w:lang w:val="en-GB"/>
    </w:rPr>
  </w:style>
  <w:style w:type="character" w:customStyle="1" w:styleId="UnresolvedMention1">
    <w:name w:val="Unresolved Mention1"/>
    <w:basedOn w:val="DefaultParagraphFont"/>
    <w:uiPriority w:val="99"/>
    <w:semiHidden/>
    <w:unhideWhenUsed/>
    <w:rsid w:val="00EA2F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06904">
      <w:bodyDiv w:val="1"/>
      <w:marLeft w:val="0"/>
      <w:marRight w:val="0"/>
      <w:marTop w:val="0"/>
      <w:marBottom w:val="0"/>
      <w:divBdr>
        <w:top w:val="none" w:sz="0" w:space="0" w:color="auto"/>
        <w:left w:val="none" w:sz="0" w:space="0" w:color="auto"/>
        <w:bottom w:val="none" w:sz="0" w:space="0" w:color="auto"/>
        <w:right w:val="none" w:sz="0" w:space="0" w:color="auto"/>
      </w:divBdr>
    </w:div>
    <w:div w:id="1006588674">
      <w:bodyDiv w:val="1"/>
      <w:marLeft w:val="0"/>
      <w:marRight w:val="0"/>
      <w:marTop w:val="0"/>
      <w:marBottom w:val="0"/>
      <w:divBdr>
        <w:top w:val="none" w:sz="0" w:space="0" w:color="auto"/>
        <w:left w:val="none" w:sz="0" w:space="0" w:color="auto"/>
        <w:bottom w:val="none" w:sz="0" w:space="0" w:color="auto"/>
        <w:right w:val="none" w:sz="0" w:space="0" w:color="auto"/>
      </w:divBdr>
    </w:div>
    <w:div w:id="1050498580">
      <w:bodyDiv w:val="1"/>
      <w:marLeft w:val="0"/>
      <w:marRight w:val="0"/>
      <w:marTop w:val="0"/>
      <w:marBottom w:val="0"/>
      <w:divBdr>
        <w:top w:val="none" w:sz="0" w:space="0" w:color="auto"/>
        <w:left w:val="none" w:sz="0" w:space="0" w:color="auto"/>
        <w:bottom w:val="none" w:sz="0" w:space="0" w:color="auto"/>
        <w:right w:val="none" w:sz="0" w:space="0" w:color="auto"/>
      </w:divBdr>
    </w:div>
    <w:div w:id="1124809197">
      <w:bodyDiv w:val="1"/>
      <w:marLeft w:val="0"/>
      <w:marRight w:val="0"/>
      <w:marTop w:val="0"/>
      <w:marBottom w:val="0"/>
      <w:divBdr>
        <w:top w:val="none" w:sz="0" w:space="0" w:color="auto"/>
        <w:left w:val="none" w:sz="0" w:space="0" w:color="auto"/>
        <w:bottom w:val="none" w:sz="0" w:space="0" w:color="auto"/>
        <w:right w:val="none" w:sz="0" w:space="0" w:color="auto"/>
      </w:divBdr>
    </w:div>
    <w:div w:id="1228765951">
      <w:bodyDiv w:val="1"/>
      <w:marLeft w:val="0"/>
      <w:marRight w:val="0"/>
      <w:marTop w:val="0"/>
      <w:marBottom w:val="0"/>
      <w:divBdr>
        <w:top w:val="none" w:sz="0" w:space="0" w:color="auto"/>
        <w:left w:val="none" w:sz="0" w:space="0" w:color="auto"/>
        <w:bottom w:val="none" w:sz="0" w:space="0" w:color="auto"/>
        <w:right w:val="none" w:sz="0" w:space="0" w:color="auto"/>
      </w:divBdr>
    </w:div>
    <w:div w:id="1357656581">
      <w:bodyDiv w:val="1"/>
      <w:marLeft w:val="0"/>
      <w:marRight w:val="0"/>
      <w:marTop w:val="0"/>
      <w:marBottom w:val="0"/>
      <w:divBdr>
        <w:top w:val="none" w:sz="0" w:space="0" w:color="auto"/>
        <w:left w:val="none" w:sz="0" w:space="0" w:color="auto"/>
        <w:bottom w:val="none" w:sz="0" w:space="0" w:color="auto"/>
        <w:right w:val="none" w:sz="0" w:space="0" w:color="auto"/>
      </w:divBdr>
    </w:div>
    <w:div w:id="1566598657">
      <w:bodyDiv w:val="1"/>
      <w:marLeft w:val="0"/>
      <w:marRight w:val="0"/>
      <w:marTop w:val="0"/>
      <w:marBottom w:val="0"/>
      <w:divBdr>
        <w:top w:val="none" w:sz="0" w:space="0" w:color="auto"/>
        <w:left w:val="none" w:sz="0" w:space="0" w:color="auto"/>
        <w:bottom w:val="none" w:sz="0" w:space="0" w:color="auto"/>
        <w:right w:val="none" w:sz="0" w:space="0" w:color="auto"/>
      </w:divBdr>
    </w:div>
    <w:div w:id="1574507028">
      <w:bodyDiv w:val="1"/>
      <w:marLeft w:val="0"/>
      <w:marRight w:val="0"/>
      <w:marTop w:val="0"/>
      <w:marBottom w:val="0"/>
      <w:divBdr>
        <w:top w:val="none" w:sz="0" w:space="0" w:color="auto"/>
        <w:left w:val="none" w:sz="0" w:space="0" w:color="auto"/>
        <w:bottom w:val="none" w:sz="0" w:space="0" w:color="auto"/>
        <w:right w:val="none" w:sz="0" w:space="0" w:color="auto"/>
      </w:divBdr>
    </w:div>
    <w:div w:id="1636986615">
      <w:bodyDiv w:val="1"/>
      <w:marLeft w:val="0"/>
      <w:marRight w:val="0"/>
      <w:marTop w:val="0"/>
      <w:marBottom w:val="0"/>
      <w:divBdr>
        <w:top w:val="none" w:sz="0" w:space="0" w:color="auto"/>
        <w:left w:val="none" w:sz="0" w:space="0" w:color="auto"/>
        <w:bottom w:val="none" w:sz="0" w:space="0" w:color="auto"/>
        <w:right w:val="none" w:sz="0" w:space="0" w:color="auto"/>
      </w:divBdr>
    </w:div>
    <w:div w:id="1779451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7C8A20-0537-444F-81D1-4B773F528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1504</Words>
  <Characters>8768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Hajdu</dc:creator>
  <cp:keywords/>
  <dc:description/>
  <cp:lastModifiedBy>Cosmina Hajdu (2242302)</cp:lastModifiedBy>
  <cp:revision>2</cp:revision>
  <dcterms:created xsi:type="dcterms:W3CDTF">2023-11-29T10:58:00Z</dcterms:created>
  <dcterms:modified xsi:type="dcterms:W3CDTF">2023-11-29T10:58:00Z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7aea8c41247f1f3eea8fd1970b3c9a5c5a4ab7cffe9cc6ebfa198aae950d49a6</vt:lpwstr>
  </property>
</Properties>
</file>